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17"/>
          <w:szCs w:val="17"/>
          <w:b w:val="1"/>
          <w:bCs w:val="1"/>
          <w:color w:val="auto"/>
        </w:rPr>
        <w:t>CONFIDENTIAL TREATMENT REQUESTED</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PURSUANT TO 17 C.F.R. SECTION 200.83</w:t>
      </w:r>
    </w:p>
    <w:p>
      <w:pPr>
        <w:spacing w:after="0" w:line="236" w:lineRule="exact"/>
        <w:rPr>
          <w:sz w:val="24"/>
          <w:szCs w:val="24"/>
          <w:color w:val="auto"/>
        </w:rPr>
      </w:pPr>
    </w:p>
    <w:p>
      <w:pPr>
        <w:jc w:val="center"/>
        <w:ind w:right="-339"/>
        <w:spacing w:after="0"/>
        <w:rPr>
          <w:sz w:val="20"/>
          <w:szCs w:val="20"/>
          <w:color w:val="auto"/>
        </w:rPr>
      </w:pPr>
      <w:r>
        <w:rPr>
          <w:rFonts w:ascii="Arial" w:cs="Arial" w:eastAsia="Arial" w:hAnsi="Arial"/>
          <w:sz w:val="13"/>
          <w:szCs w:val="13"/>
          <w:b w:val="1"/>
          <w:bCs w:val="1"/>
          <w:color w:val="auto"/>
        </w:rPr>
        <w:t>As confidentially submitted to the Securities and Exchange Commission on July 10, 2020.</w:t>
      </w:r>
    </w:p>
    <w:p>
      <w:pPr>
        <w:spacing w:after="0" w:line="13" w:lineRule="exact"/>
        <w:rPr>
          <w:sz w:val="24"/>
          <w:szCs w:val="24"/>
          <w:color w:val="auto"/>
        </w:rPr>
      </w:pPr>
    </w:p>
    <w:p>
      <w:pPr>
        <w:jc w:val="center"/>
        <w:ind w:right="-339"/>
        <w:spacing w:after="0"/>
        <w:rPr>
          <w:sz w:val="20"/>
          <w:szCs w:val="20"/>
          <w:color w:val="auto"/>
        </w:rPr>
      </w:pPr>
      <w:r>
        <w:rPr>
          <w:rFonts w:ascii="Arial" w:cs="Arial" w:eastAsia="Arial" w:hAnsi="Arial"/>
          <w:sz w:val="13"/>
          <w:szCs w:val="13"/>
          <w:b w:val="1"/>
          <w:bCs w:val="1"/>
          <w:color w:val="auto"/>
        </w:rPr>
        <w:t>This draft registration statement has not been publicly filed with the Securities and Exchange Commission and all information herein remains strictly confidential.</w:t>
      </w:r>
    </w:p>
    <w:p>
      <w:pPr>
        <w:spacing w:after="0" w:line="147"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52070</wp:posOffset>
            </wp:positionV>
            <wp:extent cx="1225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93" w:lineRule="exact"/>
        <w:rPr>
          <w:sz w:val="24"/>
          <w:szCs w:val="24"/>
          <w:color w:val="auto"/>
        </w:rPr>
      </w:pPr>
    </w:p>
    <w:p>
      <w:pPr>
        <w:jc w:val="center"/>
        <w:ind w:right="-339"/>
        <w:spacing w:after="0"/>
        <w:rPr>
          <w:sz w:val="20"/>
          <w:szCs w:val="20"/>
          <w:color w:val="auto"/>
        </w:rPr>
      </w:pPr>
      <w:r>
        <w:rPr>
          <w:rFonts w:ascii="Arial" w:cs="Arial" w:eastAsia="Arial" w:hAnsi="Arial"/>
          <w:sz w:val="20"/>
          <w:szCs w:val="20"/>
          <w:b w:val="1"/>
          <w:bCs w:val="1"/>
          <w:color w:val="auto"/>
        </w:rPr>
        <w:t>FORM S-1</w:t>
      </w:r>
    </w:p>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20"/>
          <w:szCs w:val="20"/>
          <w:b w:val="1"/>
          <w:bCs w:val="1"/>
          <w:color w:val="auto"/>
        </w:rPr>
        <w:t>REGISTRATION STATEMENT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52070</wp:posOffset>
            </wp:positionV>
            <wp:extent cx="1225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88"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ZoomInfo Technologies Inc.</w:t>
      </w:r>
    </w:p>
    <w:p>
      <w:pPr>
        <w:spacing w:after="0" w:line="33" w:lineRule="exact"/>
        <w:rPr>
          <w:sz w:val="24"/>
          <w:szCs w:val="24"/>
          <w:color w:val="auto"/>
        </w:rPr>
      </w:pPr>
    </w:p>
    <w:p>
      <w:pPr>
        <w:jc w:val="center"/>
        <w:ind w:right="-3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53340</wp:posOffset>
            </wp:positionV>
            <wp:extent cx="1225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8" w:lineRule="exact"/>
        <w:rPr>
          <w:sz w:val="24"/>
          <w:szCs w:val="24"/>
          <w:color w:val="auto"/>
        </w:rPr>
      </w:pPr>
    </w:p>
    <w:tbl>
      <w:tblPr>
        <w:tblLayout w:type="fixed"/>
        <w:tblInd w:w="1060" w:type="dxa"/>
        <w:tblCellMar>
          <w:top w:w="0" w:type="dxa"/>
          <w:left w:w="0" w:type="dxa"/>
          <w:bottom w:w="0" w:type="dxa"/>
          <w:right w:w="0" w:type="dxa"/>
        </w:tblCellMar>
      </w:tblPr>
      <w:tr>
        <w:trPr>
          <w:trHeight w:val="164"/>
        </w:trPr>
        <w:tc>
          <w:tcPr>
            <w:tcW w:w="3760" w:type="dxa"/>
            <w:vAlign w:val="bottom"/>
          </w:tcPr>
          <w:p>
            <w:pPr>
              <w:jc w:val="center"/>
              <w:ind w:right="2037"/>
              <w:spacing w:after="0"/>
              <w:rPr>
                <w:sz w:val="20"/>
                <w:szCs w:val="20"/>
                <w:color w:val="auto"/>
              </w:rPr>
            </w:pPr>
            <w:r>
              <w:rPr>
                <w:rFonts w:ascii="Arial" w:cs="Arial" w:eastAsia="Arial" w:hAnsi="Arial"/>
                <w:sz w:val="13"/>
                <w:szCs w:val="13"/>
                <w:b w:val="1"/>
                <w:bCs w:val="1"/>
                <w:color w:val="auto"/>
                <w:w w:val="87"/>
              </w:rPr>
              <w:t>Delaware</w:t>
            </w:r>
          </w:p>
        </w:tc>
        <w:tc>
          <w:tcPr>
            <w:tcW w:w="1940" w:type="dxa"/>
            <w:vAlign w:val="bottom"/>
          </w:tcPr>
          <w:p>
            <w:pPr>
              <w:jc w:val="center"/>
              <w:ind w:right="217"/>
              <w:spacing w:after="0"/>
              <w:rPr>
                <w:sz w:val="20"/>
                <w:szCs w:val="20"/>
                <w:color w:val="auto"/>
              </w:rPr>
            </w:pPr>
            <w:r>
              <w:rPr>
                <w:rFonts w:ascii="Arial" w:cs="Arial" w:eastAsia="Arial" w:hAnsi="Arial"/>
                <w:sz w:val="13"/>
                <w:szCs w:val="13"/>
                <w:b w:val="1"/>
                <w:bCs w:val="1"/>
                <w:color w:val="auto"/>
                <w:w w:val="89"/>
              </w:rPr>
              <w:t>7372</w:t>
            </w:r>
          </w:p>
        </w:tc>
        <w:tc>
          <w:tcPr>
            <w:tcW w:w="3120" w:type="dxa"/>
            <w:vAlign w:val="bottom"/>
          </w:tcPr>
          <w:p>
            <w:pPr>
              <w:jc w:val="center"/>
              <w:ind w:left="2057"/>
              <w:spacing w:after="0"/>
              <w:rPr>
                <w:sz w:val="20"/>
                <w:szCs w:val="20"/>
                <w:color w:val="auto"/>
              </w:rPr>
            </w:pPr>
            <w:r>
              <w:rPr>
                <w:rFonts w:ascii="Arial" w:cs="Arial" w:eastAsia="Arial" w:hAnsi="Arial"/>
                <w:sz w:val="13"/>
                <w:szCs w:val="13"/>
                <w:b w:val="1"/>
                <w:bCs w:val="1"/>
                <w:color w:val="auto"/>
                <w:w w:val="86"/>
              </w:rPr>
              <w:t>84-3721253</w:t>
            </w:r>
          </w:p>
        </w:tc>
      </w:tr>
      <w:tr>
        <w:trPr>
          <w:trHeight w:val="160"/>
        </w:trPr>
        <w:tc>
          <w:tcPr>
            <w:tcW w:w="3760" w:type="dxa"/>
            <w:vAlign w:val="bottom"/>
          </w:tcPr>
          <w:p>
            <w:pPr>
              <w:jc w:val="center"/>
              <w:ind w:right="2037"/>
              <w:spacing w:after="0"/>
              <w:rPr>
                <w:sz w:val="20"/>
                <w:szCs w:val="20"/>
                <w:color w:val="auto"/>
              </w:rPr>
            </w:pPr>
            <w:r>
              <w:rPr>
                <w:rFonts w:ascii="Arial" w:cs="Arial" w:eastAsia="Arial" w:hAnsi="Arial"/>
                <w:sz w:val="13"/>
                <w:szCs w:val="13"/>
                <w:b w:val="1"/>
                <w:bCs w:val="1"/>
                <w:color w:val="auto"/>
                <w:w w:val="88"/>
              </w:rPr>
              <w:t>(State or other jurisdiction of</w:t>
            </w:r>
          </w:p>
        </w:tc>
        <w:tc>
          <w:tcPr>
            <w:tcW w:w="1940" w:type="dxa"/>
            <w:vAlign w:val="bottom"/>
          </w:tcPr>
          <w:p>
            <w:pPr>
              <w:jc w:val="center"/>
              <w:ind w:right="237"/>
              <w:spacing w:after="0"/>
              <w:rPr>
                <w:sz w:val="20"/>
                <w:szCs w:val="20"/>
                <w:color w:val="auto"/>
              </w:rPr>
            </w:pPr>
            <w:r>
              <w:rPr>
                <w:rFonts w:ascii="Arial" w:cs="Arial" w:eastAsia="Arial" w:hAnsi="Arial"/>
                <w:sz w:val="13"/>
                <w:szCs w:val="13"/>
                <w:b w:val="1"/>
                <w:bCs w:val="1"/>
                <w:color w:val="auto"/>
                <w:w w:val="91"/>
              </w:rPr>
              <w:t>(Primary Standard Industrial</w:t>
            </w:r>
          </w:p>
        </w:tc>
        <w:tc>
          <w:tcPr>
            <w:tcW w:w="3120" w:type="dxa"/>
            <w:vAlign w:val="bottom"/>
          </w:tcPr>
          <w:p>
            <w:pPr>
              <w:jc w:val="center"/>
              <w:ind w:left="2057"/>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760" w:type="dxa"/>
            <w:vAlign w:val="bottom"/>
          </w:tcPr>
          <w:p>
            <w:pPr>
              <w:jc w:val="center"/>
              <w:ind w:right="2037"/>
              <w:spacing w:after="0"/>
              <w:rPr>
                <w:sz w:val="20"/>
                <w:szCs w:val="20"/>
                <w:color w:val="auto"/>
              </w:rPr>
            </w:pPr>
            <w:r>
              <w:rPr>
                <w:rFonts w:ascii="Arial" w:cs="Arial" w:eastAsia="Arial" w:hAnsi="Arial"/>
                <w:sz w:val="13"/>
                <w:szCs w:val="13"/>
                <w:b w:val="1"/>
                <w:bCs w:val="1"/>
                <w:color w:val="auto"/>
                <w:w w:val="89"/>
              </w:rPr>
              <w:t>incorporation or organization)</w:t>
            </w:r>
          </w:p>
        </w:tc>
        <w:tc>
          <w:tcPr>
            <w:tcW w:w="1940" w:type="dxa"/>
            <w:vAlign w:val="bottom"/>
          </w:tcPr>
          <w:p>
            <w:pPr>
              <w:jc w:val="center"/>
              <w:ind w:right="237"/>
              <w:spacing w:after="0"/>
              <w:rPr>
                <w:sz w:val="20"/>
                <w:szCs w:val="20"/>
                <w:color w:val="auto"/>
              </w:rPr>
            </w:pPr>
            <w:r>
              <w:rPr>
                <w:rFonts w:ascii="Arial" w:cs="Arial" w:eastAsia="Arial" w:hAnsi="Arial"/>
                <w:sz w:val="13"/>
                <w:szCs w:val="13"/>
                <w:b w:val="1"/>
                <w:bCs w:val="1"/>
                <w:color w:val="auto"/>
                <w:w w:val="87"/>
              </w:rPr>
              <w:t>Classification Code Number)</w:t>
            </w:r>
          </w:p>
        </w:tc>
        <w:tc>
          <w:tcPr>
            <w:tcW w:w="3120" w:type="dxa"/>
            <w:vAlign w:val="bottom"/>
          </w:tcPr>
          <w:p>
            <w:pPr>
              <w:jc w:val="center"/>
              <w:ind w:left="2057"/>
              <w:spacing w:after="0"/>
              <w:rPr>
                <w:sz w:val="20"/>
                <w:szCs w:val="20"/>
                <w:color w:val="auto"/>
              </w:rPr>
            </w:pPr>
            <w:r>
              <w:rPr>
                <w:rFonts w:ascii="Arial" w:cs="Arial" w:eastAsia="Arial" w:hAnsi="Arial"/>
                <w:sz w:val="13"/>
                <w:szCs w:val="13"/>
                <w:b w:val="1"/>
                <w:bCs w:val="1"/>
                <w:color w:val="auto"/>
                <w:w w:val="91"/>
              </w:rPr>
              <w:t>Identification No.)</w:t>
            </w:r>
          </w:p>
        </w:tc>
      </w:tr>
      <w:tr>
        <w:trPr>
          <w:trHeight w:val="200"/>
        </w:trPr>
        <w:tc>
          <w:tcPr>
            <w:tcW w:w="37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87"/>
              </w:rPr>
              <w:t>805 Broadway Street, Suite 900</w:t>
            </w:r>
          </w:p>
        </w:tc>
        <w:tc>
          <w:tcPr>
            <w:tcW w:w="3120" w:type="dxa"/>
            <w:vAlign w:val="bottom"/>
          </w:tcPr>
          <w:p>
            <w:pPr>
              <w:spacing w:after="0"/>
              <w:rPr>
                <w:sz w:val="17"/>
                <w:szCs w:val="17"/>
                <w:color w:val="auto"/>
              </w:rPr>
            </w:pPr>
          </w:p>
        </w:tc>
      </w:tr>
      <w:tr>
        <w:trPr>
          <w:trHeight w:val="148"/>
        </w:trPr>
        <w:tc>
          <w:tcPr>
            <w:tcW w:w="37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86"/>
              </w:rPr>
              <w:t>Vancouver, Washington 98660</w:t>
            </w:r>
          </w:p>
        </w:tc>
        <w:tc>
          <w:tcPr>
            <w:tcW w:w="3120" w:type="dxa"/>
            <w:vAlign w:val="bottom"/>
          </w:tcPr>
          <w:p>
            <w:pPr>
              <w:spacing w:after="0"/>
              <w:rPr>
                <w:sz w:val="12"/>
                <w:szCs w:val="12"/>
                <w:color w:val="auto"/>
              </w:rPr>
            </w:pPr>
          </w:p>
        </w:tc>
      </w:tr>
      <w:tr>
        <w:trPr>
          <w:trHeight w:val="149"/>
        </w:trPr>
        <w:tc>
          <w:tcPr>
            <w:tcW w:w="37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87"/>
              </w:rPr>
              <w:t>Telephone: (800) 914-1220</w:t>
            </w:r>
          </w:p>
        </w:tc>
        <w:tc>
          <w:tcPr>
            <w:tcW w:w="3120" w:type="dxa"/>
            <w:vAlign w:val="bottom"/>
          </w:tcPr>
          <w:p>
            <w:pPr>
              <w:spacing w:after="0"/>
              <w:rPr>
                <w:sz w:val="12"/>
                <w:szCs w:val="12"/>
                <w:color w:val="auto"/>
              </w:rPr>
            </w:pPr>
          </w:p>
        </w:tc>
      </w:tr>
      <w:tr>
        <w:trPr>
          <w:trHeight w:val="164"/>
        </w:trPr>
        <w:tc>
          <w:tcPr>
            <w:tcW w:w="8820" w:type="dxa"/>
            <w:vAlign w:val="bottom"/>
            <w:gridSpan w:val="3"/>
          </w:tcPr>
          <w:p>
            <w:pPr>
              <w:jc w:val="center"/>
              <w:ind w:left="577"/>
              <w:spacing w:after="0"/>
              <w:rPr>
                <w:sz w:val="20"/>
                <w:szCs w:val="20"/>
                <w:color w:val="auto"/>
              </w:rPr>
            </w:pPr>
            <w:r>
              <w:rPr>
                <w:rFonts w:ascii="Arial" w:cs="Arial" w:eastAsia="Arial" w:hAnsi="Arial"/>
                <w:sz w:val="13"/>
                <w:szCs w:val="13"/>
                <w:b w:val="1"/>
                <w:bCs w:val="1"/>
                <w:color w:val="auto"/>
                <w:w w:val="86"/>
              </w:rPr>
              <w:t>(Address, including zip code, and telephone number, including area code, of registrant’s principal executive offices)</w:t>
            </w:r>
          </w:p>
        </w:tc>
      </w:tr>
      <w:tr>
        <w:trPr>
          <w:trHeight w:val="83"/>
        </w:trPr>
        <w:tc>
          <w:tcPr>
            <w:tcW w:w="376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120" w:type="dxa"/>
            <w:vAlign w:val="bottom"/>
          </w:tcPr>
          <w:p>
            <w:pPr>
              <w:spacing w:after="0"/>
              <w:rPr>
                <w:sz w:val="7"/>
                <w:szCs w:val="7"/>
                <w:color w:val="auto"/>
              </w:rPr>
            </w:pPr>
          </w:p>
        </w:tc>
      </w:tr>
      <w:tr>
        <w:trPr>
          <w:trHeight w:val="164"/>
        </w:trPr>
        <w:tc>
          <w:tcPr>
            <w:tcW w:w="376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89"/>
              </w:rPr>
              <w:t>Anthony Stark</w:t>
            </w:r>
          </w:p>
        </w:tc>
        <w:tc>
          <w:tcPr>
            <w:tcW w:w="3120" w:type="dxa"/>
            <w:vAlign w:val="bottom"/>
          </w:tcPr>
          <w:p>
            <w:pPr>
              <w:spacing w:after="0"/>
              <w:rPr>
                <w:sz w:val="14"/>
                <w:szCs w:val="14"/>
                <w:color w:val="auto"/>
              </w:rPr>
            </w:pPr>
          </w:p>
        </w:tc>
      </w:tr>
      <w:tr>
        <w:trPr>
          <w:trHeight w:val="148"/>
        </w:trPr>
        <w:tc>
          <w:tcPr>
            <w:tcW w:w="37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87"/>
              </w:rPr>
              <w:t>General Counsel</w:t>
            </w:r>
          </w:p>
        </w:tc>
        <w:tc>
          <w:tcPr>
            <w:tcW w:w="3120" w:type="dxa"/>
            <w:vAlign w:val="bottom"/>
          </w:tcPr>
          <w:p>
            <w:pPr>
              <w:spacing w:after="0"/>
              <w:rPr>
                <w:sz w:val="12"/>
                <w:szCs w:val="12"/>
                <w:color w:val="auto"/>
              </w:rPr>
            </w:pPr>
          </w:p>
        </w:tc>
      </w:tr>
      <w:tr>
        <w:trPr>
          <w:trHeight w:val="148"/>
        </w:trPr>
        <w:tc>
          <w:tcPr>
            <w:tcW w:w="37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86"/>
              </w:rPr>
              <w:t>ZoomInfo Technologies Inc.</w:t>
            </w:r>
          </w:p>
        </w:tc>
        <w:tc>
          <w:tcPr>
            <w:tcW w:w="3120" w:type="dxa"/>
            <w:vAlign w:val="bottom"/>
          </w:tcPr>
          <w:p>
            <w:pPr>
              <w:spacing w:after="0"/>
              <w:rPr>
                <w:sz w:val="12"/>
                <w:szCs w:val="12"/>
                <w:color w:val="auto"/>
              </w:rPr>
            </w:pPr>
          </w:p>
        </w:tc>
      </w:tr>
      <w:tr>
        <w:trPr>
          <w:trHeight w:val="148"/>
        </w:trPr>
        <w:tc>
          <w:tcPr>
            <w:tcW w:w="37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87"/>
              </w:rPr>
              <w:t>805 Broadway Street, Suite 900</w:t>
            </w:r>
          </w:p>
        </w:tc>
        <w:tc>
          <w:tcPr>
            <w:tcW w:w="3120" w:type="dxa"/>
            <w:vAlign w:val="bottom"/>
          </w:tcPr>
          <w:p>
            <w:pPr>
              <w:spacing w:after="0"/>
              <w:rPr>
                <w:sz w:val="12"/>
                <w:szCs w:val="12"/>
                <w:color w:val="auto"/>
              </w:rPr>
            </w:pPr>
          </w:p>
        </w:tc>
      </w:tr>
      <w:tr>
        <w:trPr>
          <w:trHeight w:val="149"/>
        </w:trPr>
        <w:tc>
          <w:tcPr>
            <w:tcW w:w="37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86"/>
              </w:rPr>
              <w:t>Vancouver, Washington 98660</w:t>
            </w:r>
          </w:p>
        </w:tc>
        <w:tc>
          <w:tcPr>
            <w:tcW w:w="3120" w:type="dxa"/>
            <w:vAlign w:val="bottom"/>
          </w:tcPr>
          <w:p>
            <w:pPr>
              <w:spacing w:after="0"/>
              <w:rPr>
                <w:sz w:val="12"/>
                <w:szCs w:val="12"/>
                <w:color w:val="auto"/>
              </w:rPr>
            </w:pPr>
          </w:p>
        </w:tc>
      </w:tr>
      <w:tr>
        <w:trPr>
          <w:trHeight w:val="148"/>
        </w:trPr>
        <w:tc>
          <w:tcPr>
            <w:tcW w:w="37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87"/>
              </w:rPr>
              <w:t>Telephone: (800) 914-1220</w:t>
            </w:r>
          </w:p>
        </w:tc>
        <w:tc>
          <w:tcPr>
            <w:tcW w:w="3120" w:type="dxa"/>
            <w:vAlign w:val="bottom"/>
          </w:tcPr>
          <w:p>
            <w:pPr>
              <w:spacing w:after="0"/>
              <w:rPr>
                <w:sz w:val="12"/>
                <w:szCs w:val="12"/>
                <w:color w:val="auto"/>
              </w:rPr>
            </w:pPr>
          </w:p>
        </w:tc>
      </w:tr>
      <w:tr>
        <w:trPr>
          <w:trHeight w:val="164"/>
        </w:trPr>
        <w:tc>
          <w:tcPr>
            <w:tcW w:w="8820" w:type="dxa"/>
            <w:vAlign w:val="bottom"/>
            <w:gridSpan w:val="3"/>
          </w:tcPr>
          <w:p>
            <w:pPr>
              <w:jc w:val="center"/>
              <w:ind w:left="557"/>
              <w:spacing w:after="0"/>
              <w:rPr>
                <w:sz w:val="20"/>
                <w:szCs w:val="20"/>
                <w:color w:val="auto"/>
              </w:rPr>
            </w:pPr>
            <w:r>
              <w:rPr>
                <w:rFonts w:ascii="Arial" w:cs="Arial" w:eastAsia="Arial" w:hAnsi="Arial"/>
                <w:sz w:val="13"/>
                <w:szCs w:val="13"/>
                <w:b w:val="1"/>
                <w:bCs w:val="1"/>
                <w:color w:val="auto"/>
                <w:w w:val="85"/>
              </w:rPr>
              <w:t>(Name, address, including zip code, and telephone number, including area code, of agent for service)</w:t>
            </w:r>
          </w:p>
        </w:tc>
      </w:tr>
      <w:tr>
        <w:trPr>
          <w:trHeight w:val="83"/>
        </w:trPr>
        <w:tc>
          <w:tcPr>
            <w:tcW w:w="376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120" w:type="dxa"/>
            <w:vAlign w:val="bottom"/>
          </w:tcPr>
          <w:p>
            <w:pPr>
              <w:spacing w:after="0"/>
              <w:rPr>
                <w:sz w:val="7"/>
                <w:szCs w:val="7"/>
                <w:color w:val="auto"/>
              </w:rPr>
            </w:pPr>
          </w:p>
        </w:tc>
      </w:tr>
      <w:tr>
        <w:trPr>
          <w:trHeight w:val="180"/>
        </w:trPr>
        <w:tc>
          <w:tcPr>
            <w:tcW w:w="37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84"/>
              </w:rPr>
              <w:t>Copies to:</w:t>
            </w:r>
          </w:p>
        </w:tc>
        <w:tc>
          <w:tcPr>
            <w:tcW w:w="3120" w:type="dxa"/>
            <w:vAlign w:val="bottom"/>
          </w:tcPr>
          <w:p>
            <w:pPr>
              <w:spacing w:after="0"/>
              <w:rPr>
                <w:sz w:val="15"/>
                <w:szCs w:val="15"/>
                <w:color w:val="auto"/>
              </w:rPr>
            </w:pPr>
          </w:p>
        </w:tc>
      </w:tr>
      <w:tr>
        <w:trPr>
          <w:trHeight w:val="173"/>
        </w:trPr>
        <w:tc>
          <w:tcPr>
            <w:tcW w:w="3760" w:type="dxa"/>
            <w:vAlign w:val="bottom"/>
          </w:tcPr>
          <w:p>
            <w:pPr>
              <w:jc w:val="center"/>
              <w:ind w:right="177"/>
              <w:spacing w:after="0"/>
              <w:rPr>
                <w:sz w:val="20"/>
                <w:szCs w:val="20"/>
                <w:color w:val="auto"/>
              </w:rPr>
            </w:pPr>
            <w:r>
              <w:rPr>
                <w:rFonts w:ascii="Arial" w:cs="Arial" w:eastAsia="Arial" w:hAnsi="Arial"/>
                <w:sz w:val="13"/>
                <w:szCs w:val="13"/>
                <w:b w:val="1"/>
                <w:bCs w:val="1"/>
                <w:color w:val="auto"/>
                <w:w w:val="88"/>
              </w:rPr>
              <w:t>Richard A. Fenyes</w:t>
            </w:r>
          </w:p>
        </w:tc>
        <w:tc>
          <w:tcPr>
            <w:tcW w:w="1940" w:type="dxa"/>
            <w:vAlign w:val="bottom"/>
          </w:tcPr>
          <w:p>
            <w:pPr>
              <w:spacing w:after="0"/>
              <w:rPr>
                <w:sz w:val="15"/>
                <w:szCs w:val="15"/>
                <w:color w:val="auto"/>
              </w:rPr>
            </w:pPr>
          </w:p>
        </w:tc>
        <w:tc>
          <w:tcPr>
            <w:tcW w:w="3120" w:type="dxa"/>
            <w:vAlign w:val="bottom"/>
          </w:tcPr>
          <w:p>
            <w:pPr>
              <w:jc w:val="center"/>
              <w:ind w:left="177"/>
              <w:spacing w:after="0"/>
              <w:rPr>
                <w:sz w:val="20"/>
                <w:szCs w:val="20"/>
                <w:color w:val="auto"/>
              </w:rPr>
            </w:pPr>
            <w:r>
              <w:rPr>
                <w:rFonts w:ascii="Arial" w:cs="Arial" w:eastAsia="Arial" w:hAnsi="Arial"/>
                <w:sz w:val="13"/>
                <w:szCs w:val="13"/>
                <w:b w:val="1"/>
                <w:bCs w:val="1"/>
                <w:color w:val="auto"/>
                <w:w w:val="93"/>
              </w:rPr>
              <w:t>Marc D. Jaffe</w:t>
            </w:r>
          </w:p>
        </w:tc>
      </w:tr>
      <w:tr>
        <w:trPr>
          <w:trHeight w:val="135"/>
        </w:trPr>
        <w:tc>
          <w:tcPr>
            <w:tcW w:w="376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90"/>
              </w:rPr>
              <w:t>Simpson Thacher &amp; Bartlett LLP</w:t>
            </w:r>
          </w:p>
        </w:tc>
        <w:tc>
          <w:tcPr>
            <w:tcW w:w="1940" w:type="dxa"/>
            <w:vAlign w:val="bottom"/>
          </w:tcPr>
          <w:p>
            <w:pPr>
              <w:spacing w:after="0"/>
              <w:rPr>
                <w:sz w:val="11"/>
                <w:szCs w:val="11"/>
                <w:color w:val="auto"/>
              </w:rPr>
            </w:pPr>
          </w:p>
        </w:tc>
        <w:tc>
          <w:tcPr>
            <w:tcW w:w="312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88"/>
              </w:rPr>
              <w:t>Jason M. Licht</w:t>
            </w:r>
          </w:p>
        </w:tc>
      </w:tr>
      <w:tr>
        <w:trPr>
          <w:trHeight w:val="135"/>
        </w:trPr>
        <w:tc>
          <w:tcPr>
            <w:tcW w:w="376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86"/>
              </w:rPr>
              <w:t>425 Lexington Avenue</w:t>
            </w:r>
          </w:p>
        </w:tc>
        <w:tc>
          <w:tcPr>
            <w:tcW w:w="1940" w:type="dxa"/>
            <w:vAlign w:val="bottom"/>
          </w:tcPr>
          <w:p>
            <w:pPr>
              <w:spacing w:after="0"/>
              <w:rPr>
                <w:sz w:val="11"/>
                <w:szCs w:val="11"/>
                <w:color w:val="auto"/>
              </w:rPr>
            </w:pPr>
          </w:p>
        </w:tc>
        <w:tc>
          <w:tcPr>
            <w:tcW w:w="312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85"/>
              </w:rPr>
              <w:t>Stelios G. Saffos</w:t>
            </w:r>
          </w:p>
        </w:tc>
      </w:tr>
      <w:tr>
        <w:trPr>
          <w:trHeight w:val="135"/>
        </w:trPr>
        <w:tc>
          <w:tcPr>
            <w:tcW w:w="376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89"/>
              </w:rPr>
              <w:t>New York, New York 10017</w:t>
            </w:r>
          </w:p>
        </w:tc>
        <w:tc>
          <w:tcPr>
            <w:tcW w:w="1940" w:type="dxa"/>
            <w:vAlign w:val="bottom"/>
          </w:tcPr>
          <w:p>
            <w:pPr>
              <w:spacing w:after="0"/>
              <w:rPr>
                <w:sz w:val="11"/>
                <w:szCs w:val="11"/>
                <w:color w:val="auto"/>
              </w:rPr>
            </w:pPr>
          </w:p>
        </w:tc>
        <w:tc>
          <w:tcPr>
            <w:tcW w:w="312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3"/>
              </w:rPr>
              <w:t>Latham &amp; Watkins LLP</w:t>
            </w:r>
          </w:p>
        </w:tc>
      </w:tr>
      <w:tr>
        <w:trPr>
          <w:trHeight w:val="135"/>
        </w:trPr>
        <w:tc>
          <w:tcPr>
            <w:tcW w:w="376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86"/>
              </w:rPr>
              <w:t>Telephone: (212) 455-2000</w:t>
            </w:r>
          </w:p>
        </w:tc>
        <w:tc>
          <w:tcPr>
            <w:tcW w:w="1940" w:type="dxa"/>
            <w:vAlign w:val="bottom"/>
          </w:tcPr>
          <w:p>
            <w:pPr>
              <w:spacing w:after="0"/>
              <w:rPr>
                <w:sz w:val="11"/>
                <w:szCs w:val="11"/>
                <w:color w:val="auto"/>
              </w:rPr>
            </w:pPr>
          </w:p>
        </w:tc>
        <w:tc>
          <w:tcPr>
            <w:tcW w:w="312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88"/>
              </w:rPr>
              <w:t>885 Third Avenue</w:t>
            </w:r>
          </w:p>
        </w:tc>
      </w:tr>
      <w:tr>
        <w:trPr>
          <w:trHeight w:val="135"/>
        </w:trPr>
        <w:tc>
          <w:tcPr>
            <w:tcW w:w="37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12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89"/>
              </w:rPr>
              <w:t>New York, New York 10022</w:t>
            </w:r>
          </w:p>
        </w:tc>
      </w:tr>
      <w:tr>
        <w:trPr>
          <w:trHeight w:val="164"/>
        </w:trPr>
        <w:tc>
          <w:tcPr>
            <w:tcW w:w="3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120" w:type="dxa"/>
            <w:vAlign w:val="bottom"/>
          </w:tcPr>
          <w:p>
            <w:pPr>
              <w:jc w:val="center"/>
              <w:ind w:left="177"/>
              <w:spacing w:after="0"/>
              <w:rPr>
                <w:sz w:val="20"/>
                <w:szCs w:val="20"/>
                <w:color w:val="auto"/>
              </w:rPr>
            </w:pPr>
            <w:r>
              <w:rPr>
                <w:rFonts w:ascii="Arial" w:cs="Arial" w:eastAsia="Arial" w:hAnsi="Arial"/>
                <w:sz w:val="13"/>
                <w:szCs w:val="13"/>
                <w:b w:val="1"/>
                <w:bCs w:val="1"/>
                <w:color w:val="auto"/>
                <w:w w:val="86"/>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27305</wp:posOffset>
            </wp:positionV>
            <wp:extent cx="1225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5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 xml:space="preserve">Approximate date of commencement of proposed sale to the public: </w:t>
      </w:r>
      <w:r>
        <w:rPr>
          <w:rFonts w:ascii="Arial" w:cs="Arial" w:eastAsia="Arial" w:hAnsi="Arial"/>
          <w:sz w:val="13"/>
          <w:szCs w:val="13"/>
          <w:b w:val="1"/>
          <w:bCs w:val="1"/>
          <w:color w:val="auto"/>
        </w:rPr>
        <w:t>As soon as practicable after this Registration Statement is declared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62230</wp:posOffset>
            </wp:positionV>
            <wp:extent cx="122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93"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right="300" w:firstLine="324"/>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140" w:firstLine="324"/>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140" w:firstLine="324"/>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500" w:firstLine="324"/>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3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0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620"/>
              <w:spacing w:after="0"/>
              <w:rPr>
                <w:sz w:val="20"/>
                <w:szCs w:val="20"/>
                <w:color w:val="auto"/>
              </w:rPr>
            </w:pPr>
            <w:r>
              <w:rPr>
                <w:rFonts w:ascii="Arial" w:cs="Arial" w:eastAsia="Arial" w:hAnsi="Arial"/>
                <w:sz w:val="13"/>
                <w:szCs w:val="13"/>
                <w:color w:val="auto"/>
              </w:rPr>
              <w:t>Accelerated filer</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1380" w:type="dxa"/>
            <w:vAlign w:val="bottom"/>
          </w:tcPr>
          <w:p>
            <w:pPr>
              <w:spacing w:after="0"/>
              <w:rPr>
                <w:sz w:val="20"/>
                <w:szCs w:val="20"/>
                <w:color w:val="auto"/>
              </w:rPr>
            </w:pPr>
            <w:r>
              <w:rPr>
                <w:rFonts w:ascii="Arial" w:cs="Arial" w:eastAsia="Arial" w:hAnsi="Arial"/>
                <w:sz w:val="13"/>
                <w:szCs w:val="13"/>
                <w:color w:val="auto"/>
              </w:rPr>
              <w:t>Non-accelerated filer</w:t>
            </w:r>
          </w:p>
        </w:tc>
        <w:tc>
          <w:tcPr>
            <w:tcW w:w="40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620"/>
              <w:spacing w:after="0"/>
              <w:rPr>
                <w:sz w:val="20"/>
                <w:szCs w:val="20"/>
                <w:color w:val="auto"/>
              </w:rPr>
            </w:pPr>
            <w:r>
              <w:rPr>
                <w:rFonts w:ascii="Arial" w:cs="Arial" w:eastAsia="Arial" w:hAnsi="Arial"/>
                <w:sz w:val="13"/>
                <w:szCs w:val="13"/>
                <w:color w:val="auto"/>
              </w:rPr>
              <w:t>Smaller reporting company</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1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280" w:type="dxa"/>
            <w:vAlign w:val="bottom"/>
          </w:tcPr>
          <w:p>
            <w:pPr>
              <w:ind w:left="3620"/>
              <w:spacing w:after="0"/>
              <w:rPr>
                <w:sz w:val="20"/>
                <w:szCs w:val="20"/>
                <w:color w:val="auto"/>
              </w:rPr>
            </w:pPr>
            <w:r>
              <w:rPr>
                <w:rFonts w:ascii="Arial" w:cs="Arial" w:eastAsia="Arial" w:hAnsi="Arial"/>
                <w:sz w:val="13"/>
                <w:szCs w:val="13"/>
                <w:color w:val="auto"/>
              </w:rPr>
              <w:t>Emerging growth company</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120" w:firstLine="324"/>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44450</wp:posOffset>
            </wp:positionV>
            <wp:extent cx="1225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85" w:lineRule="exact"/>
        <w:rPr>
          <w:sz w:val="24"/>
          <w:szCs w:val="24"/>
          <w:color w:val="auto"/>
        </w:rPr>
      </w:pPr>
    </w:p>
    <w:p>
      <w:pPr>
        <w:jc w:val="center"/>
        <w:ind w:right="-339"/>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Title of Each Class of Securities to be</w:t>
            </w:r>
          </w:p>
        </w:tc>
        <w:tc>
          <w:tcPr>
            <w:tcW w:w="226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13"/>
                <w:szCs w:val="13"/>
                <w:b w:val="1"/>
                <w:bCs w:val="1"/>
                <w:color w:val="auto"/>
              </w:rPr>
              <w:t>Amount to be Registered</w:t>
            </w:r>
            <w:r>
              <w:rPr>
                <w:rFonts w:ascii="Arial" w:cs="Arial" w:eastAsia="Arial" w:hAnsi="Arial"/>
                <w:sz w:val="8"/>
                <w:szCs w:val="8"/>
                <w:b w:val="1"/>
                <w:bCs w:val="1"/>
                <w:color w:val="auto"/>
              </w:rPr>
              <w:t>(1)</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Proposed Maximum Offering Price per</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Proposed Maximum Aggregate</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70"/>
        </w:trPr>
        <w:tc>
          <w:tcPr>
            <w:tcW w:w="800" w:type="dxa"/>
            <w:vAlign w:val="bottom"/>
            <w:tcBorders>
              <w:bottom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ind w:right="757"/>
              <w:spacing w:after="0"/>
              <w:rPr>
                <w:sz w:val="20"/>
                <w:szCs w:val="20"/>
                <w:color w:val="auto"/>
              </w:rPr>
            </w:pPr>
            <w:r>
              <w:rPr>
                <w:rFonts w:ascii="Arial" w:cs="Arial" w:eastAsia="Arial" w:hAnsi="Arial"/>
                <w:sz w:val="13"/>
                <w:szCs w:val="13"/>
                <w:b w:val="1"/>
                <w:bCs w:val="1"/>
                <w:color w:val="auto"/>
                <w:w w:val="83"/>
              </w:rPr>
              <w:t>Registered</w:t>
            </w:r>
          </w:p>
        </w:tc>
        <w:tc>
          <w:tcPr>
            <w:tcW w:w="2260" w:type="dxa"/>
            <w:vAlign w:val="bottom"/>
            <w:tcBorders>
              <w:bottom w:val="single" w:sz="8" w:color="auto"/>
              <w:right w:val="single" w:sz="8" w:color="auto"/>
            </w:tcBorders>
            <w:vMerge w:val="continue"/>
          </w:tcPr>
          <w:p>
            <w:pPr>
              <w:spacing w:after="0"/>
              <w:rPr>
                <w:sz w:val="14"/>
                <w:szCs w:val="14"/>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Share</w:t>
            </w:r>
            <w:r>
              <w:rPr>
                <w:rFonts w:ascii="Arial" w:cs="Arial" w:eastAsia="Arial" w:hAnsi="Arial"/>
                <w:sz w:val="8"/>
                <w:szCs w:val="8"/>
                <w:b w:val="1"/>
                <w:bCs w:val="1"/>
                <w:color w:val="auto"/>
                <w:w w:val="91"/>
              </w:rPr>
              <w:t>(2)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w:t>
            </w:r>
            <w:r>
              <w:rPr>
                <w:rFonts w:ascii="Arial" w:cs="Arial" w:eastAsia="Arial" w:hAnsi="Arial"/>
                <w:sz w:val="8"/>
                <w:szCs w:val="8"/>
                <w:b w:val="1"/>
                <w:bCs w:val="1"/>
                <w:color w:val="auto"/>
                <w:w w:val="90"/>
              </w:rPr>
              <w:t>(1)(2)</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Registration Fee</w:t>
            </w:r>
          </w:p>
        </w:tc>
        <w:tc>
          <w:tcPr>
            <w:tcW w:w="0" w:type="dxa"/>
            <w:vAlign w:val="bottom"/>
          </w:tcPr>
          <w:p>
            <w:pPr>
              <w:spacing w:after="0"/>
              <w:rPr>
                <w:sz w:val="1"/>
                <w:szCs w:val="1"/>
                <w:color w:val="auto"/>
              </w:rPr>
            </w:pPr>
          </w:p>
        </w:tc>
      </w:tr>
      <w:tr>
        <w:trPr>
          <w:trHeight w:val="121"/>
        </w:trPr>
        <w:tc>
          <w:tcPr>
            <w:tcW w:w="2300" w:type="dxa"/>
            <w:vAlign w:val="bottom"/>
            <w:tcBorders>
              <w:right w:val="single" w:sz="8" w:color="auto"/>
            </w:tcBorders>
            <w:gridSpan w:val="2"/>
          </w:tcPr>
          <w:p>
            <w:pPr>
              <w:ind w:left="20"/>
              <w:spacing w:after="0" w:line="121" w:lineRule="exact"/>
              <w:rPr>
                <w:sz w:val="20"/>
                <w:szCs w:val="20"/>
                <w:color w:val="auto"/>
              </w:rPr>
            </w:pPr>
            <w:r>
              <w:rPr>
                <w:rFonts w:ascii="Arial" w:cs="Arial" w:eastAsia="Arial" w:hAnsi="Arial"/>
                <w:sz w:val="13"/>
                <w:szCs w:val="13"/>
                <w:color w:val="auto"/>
                <w:w w:val="95"/>
              </w:rPr>
              <w:t>Class A Common Stock, par value $0.01</w:t>
            </w:r>
          </w:p>
        </w:tc>
        <w:tc>
          <w:tcPr>
            <w:tcW w:w="226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2"/>
              </w:rPr>
              <w:t>$</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2"/>
              </w:rPr>
              <w:t>$</w:t>
            </w:r>
          </w:p>
        </w:tc>
        <w:tc>
          <w:tcPr>
            <w:tcW w:w="2200" w:type="dxa"/>
            <w:vAlign w:val="bottom"/>
            <w:vMerge w:val="restart"/>
          </w:tcPr>
          <w:p>
            <w:pPr>
              <w:jc w:val="center"/>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169"/>
        </w:trPr>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per share</w:t>
            </w:r>
          </w:p>
        </w:tc>
        <w:tc>
          <w:tcPr>
            <w:tcW w:w="150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vMerge w:val="continue"/>
          </w:tcPr>
          <w:p>
            <w:pPr>
              <w:spacing w:after="0"/>
              <w:rPr>
                <w:sz w:val="14"/>
                <w:szCs w:val="14"/>
                <w:color w:val="auto"/>
              </w:rPr>
            </w:pPr>
          </w:p>
        </w:tc>
        <w:tc>
          <w:tcPr>
            <w:tcW w:w="2240" w:type="dxa"/>
            <w:vAlign w:val="bottom"/>
            <w:tcBorders>
              <w:bottom w:val="single" w:sz="8" w:color="auto"/>
              <w:right w:val="single" w:sz="8" w:color="auto"/>
            </w:tcBorders>
            <w:vMerge w:val="continue"/>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800" w:type="dxa"/>
            <w:vAlign w:val="bottom"/>
          </w:tcPr>
          <w:p>
            <w:pPr>
              <w:spacing w:after="0" w:line="138" w:lineRule="exact"/>
              <w:rPr>
                <w:sz w:val="20"/>
                <w:szCs w:val="20"/>
                <w:color w:val="auto"/>
              </w:rPr>
            </w:pPr>
            <w:r>
              <w:rPr>
                <w:rFonts w:ascii="Arial" w:cs="Arial" w:eastAsia="Arial" w:hAnsi="Arial"/>
                <w:sz w:val="13"/>
                <w:szCs w:val="13"/>
                <w:color w:val="auto"/>
              </w:rPr>
              <w:t>(1)   Includes</w:t>
            </w:r>
          </w:p>
        </w:tc>
        <w:tc>
          <w:tcPr>
            <w:tcW w:w="6000" w:type="dxa"/>
            <w:vAlign w:val="bottom"/>
            <w:gridSpan w:val="3"/>
          </w:tcPr>
          <w:p>
            <w:pPr>
              <w:ind w:left="280"/>
              <w:spacing w:after="0" w:line="138" w:lineRule="exact"/>
              <w:rPr>
                <w:sz w:val="20"/>
                <w:szCs w:val="20"/>
                <w:color w:val="auto"/>
              </w:rPr>
            </w:pPr>
            <w:r>
              <w:rPr>
                <w:rFonts w:ascii="Arial" w:cs="Arial" w:eastAsia="Arial" w:hAnsi="Arial"/>
                <w:sz w:val="13"/>
                <w:szCs w:val="13"/>
                <w:color w:val="auto"/>
                <w:w w:val="92"/>
              </w:rPr>
              <w:t>shares of Class A common stock that are subject to the underwriters’ option to purchase additional shares.</w:t>
            </w:r>
          </w:p>
        </w:tc>
        <w:tc>
          <w:tcPr>
            <w:tcW w:w="22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
        </w:numPr>
        <w:rPr>
          <w:rFonts w:ascii="Arial" w:cs="Arial" w:eastAsia="Arial" w:hAnsi="Arial"/>
          <w:sz w:val="10"/>
          <w:szCs w:val="10"/>
          <w:color w:val="auto"/>
        </w:rPr>
      </w:pPr>
      <w:r>
        <w:rPr>
          <w:rFonts w:ascii="Arial" w:cs="Arial" w:eastAsia="Arial" w:hAnsi="Arial"/>
          <w:sz w:val="10"/>
          <w:szCs w:val="10"/>
          <w:color w:val="auto"/>
        </w:rPr>
        <w:t>Estimated solely for the purpose of computing the amount of the registration fee in accordance with Rule 457(c) under the Securities Act of 1933, as amended. The proposed maximum offering price per share and</w:t>
      </w:r>
    </w:p>
    <w:p>
      <w:pPr>
        <w:spacing w:after="0" w:line="34" w:lineRule="exact"/>
        <w:rPr>
          <w:sz w:val="24"/>
          <w:szCs w:val="24"/>
          <w:color w:val="auto"/>
        </w:rPr>
      </w:pPr>
    </w:p>
    <w:tbl>
      <w:tblPr>
        <w:tblLayout w:type="fixed"/>
        <w:tblInd w:w="340" w:type="dxa"/>
        <w:tblCellMar>
          <w:top w:w="0" w:type="dxa"/>
          <w:left w:w="0" w:type="dxa"/>
          <w:bottom w:w="0" w:type="dxa"/>
          <w:right w:w="0" w:type="dxa"/>
        </w:tblCellMar>
      </w:tblPr>
      <w:tr>
        <w:trPr>
          <w:trHeight w:val="160"/>
        </w:trPr>
        <w:tc>
          <w:tcPr>
            <w:tcW w:w="10160" w:type="dxa"/>
            <w:vAlign w:val="bottom"/>
          </w:tcPr>
          <w:p>
            <w:pPr>
              <w:spacing w:after="0"/>
              <w:rPr>
                <w:sz w:val="20"/>
                <w:szCs w:val="20"/>
                <w:color w:val="auto"/>
              </w:rPr>
            </w:pPr>
            <w:r>
              <w:rPr>
                <w:rFonts w:ascii="Arial" w:cs="Arial" w:eastAsia="Arial" w:hAnsi="Arial"/>
                <w:sz w:val="13"/>
                <w:szCs w:val="13"/>
                <w:color w:val="auto"/>
                <w:w w:val="89"/>
              </w:rPr>
              <w:t>proposed maximum aggregate offering price are based on the average of the high and low sales prices of the registrant’s Class A common stock as reported on the Nasdaq Global Select Market on</w:t>
            </w:r>
          </w:p>
        </w:tc>
        <w:tc>
          <w:tcPr>
            <w:tcW w:w="680" w:type="dxa"/>
            <w:vAlign w:val="bottom"/>
          </w:tcPr>
          <w:p>
            <w:pPr>
              <w:jc w:val="right"/>
              <w:spacing w:after="0"/>
              <w:rPr>
                <w:sz w:val="20"/>
                <w:szCs w:val="20"/>
                <w:color w:val="auto"/>
              </w:rPr>
            </w:pPr>
            <w:r>
              <w:rPr>
                <w:rFonts w:ascii="Arial" w:cs="Arial" w:eastAsia="Arial" w:hAnsi="Arial"/>
                <w:sz w:val="13"/>
                <w:szCs w:val="13"/>
                <w:color w:val="auto"/>
              </w:rPr>
              <w:t>, 2020.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12065</wp:posOffset>
            </wp:positionV>
            <wp:extent cx="122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35" w:lineRule="exact"/>
        <w:rPr>
          <w:sz w:val="24"/>
          <w:szCs w:val="24"/>
          <w:color w:val="auto"/>
        </w:rPr>
      </w:pPr>
    </w:p>
    <w:p>
      <w:pPr>
        <w:ind w:right="60" w:firstLine="324"/>
        <w:spacing w:after="0" w:line="25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jc w:val="center"/>
        <w:ind w:right="-379"/>
        <w:spacing w:after="0"/>
        <w:rPr>
          <w:sz w:val="20"/>
          <w:szCs w:val="20"/>
          <w:color w:val="auto"/>
        </w:rPr>
      </w:pPr>
      <w:r>
        <w:rPr>
          <w:rFonts w:ascii="Arial" w:cs="Arial" w:eastAsia="Arial" w:hAnsi="Arial"/>
          <w:sz w:val="17"/>
          <w:szCs w:val="17"/>
          <w:b w:val="1"/>
          <w:bCs w:val="1"/>
          <w:color w:val="auto"/>
        </w:rPr>
        <w:t>CONFIDENTIAL TREATMENT REQUESTED</w:t>
      </w:r>
    </w:p>
    <w:p>
      <w:pPr>
        <w:spacing w:after="0" w:line="2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84455</wp:posOffset>
            </wp:positionV>
            <wp:extent cx="6995160" cy="8606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606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right="40"/>
        <w:spacing w:after="0" w:line="250" w:lineRule="auto"/>
        <w:rPr>
          <w:sz w:val="20"/>
          <w:szCs w:val="20"/>
          <w:color w:val="auto"/>
        </w:rPr>
      </w:pPr>
      <w:r>
        <w:rPr>
          <w:rFonts w:ascii="Arial" w:cs="Arial" w:eastAsia="Arial" w:hAnsi="Arial"/>
          <w:sz w:val="13"/>
          <w:szCs w:val="13"/>
          <w:b w:val="1"/>
          <w:bCs w:val="1"/>
          <w:color w:val="EE2724"/>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EE2724"/>
        </w:rPr>
        <w:t>SUBJECT TO COMPLETION, DATED __________, 2020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FFFFFF"/>
        </w:rPr>
        <w:t>PROSPECTUS</w:t>
      </w:r>
    </w:p>
    <w:p>
      <w:pPr>
        <w:spacing w:after="0" w:line="375" w:lineRule="exact"/>
        <w:rPr>
          <w:sz w:val="20"/>
          <w:szCs w:val="20"/>
          <w:color w:val="auto"/>
        </w:rPr>
      </w:pPr>
    </w:p>
    <w:p>
      <w:pPr>
        <w:ind w:left="5160"/>
        <w:spacing w:after="0"/>
        <w:rPr>
          <w:sz w:val="20"/>
          <w:szCs w:val="20"/>
          <w:color w:val="auto"/>
        </w:rPr>
      </w:pPr>
      <w:r>
        <w:rPr>
          <w:rFonts w:ascii="Arial" w:cs="Arial" w:eastAsia="Arial" w:hAnsi="Arial"/>
          <w:sz w:val="31"/>
          <w:szCs w:val="31"/>
          <w:b w:val="1"/>
          <w:bCs w:val="1"/>
          <w:color w:val="FFFFFF"/>
        </w:rPr>
        <w:t>Shares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F"/>
        </w:rPr>
        <w:t>ZoomInfo Technologies Inc.</w:t>
      </w:r>
    </w:p>
    <w:p>
      <w:pPr>
        <w:spacing w:after="0" w:line="42" w:lineRule="exact"/>
        <w:rPr>
          <w:sz w:val="20"/>
          <w:szCs w:val="20"/>
          <w:color w:val="auto"/>
        </w:rPr>
      </w:pPr>
    </w:p>
    <w:p>
      <w:pPr>
        <w:ind w:left="3740"/>
        <w:spacing w:after="0"/>
        <w:rPr>
          <w:sz w:val="20"/>
          <w:szCs w:val="20"/>
          <w:color w:val="auto"/>
        </w:rPr>
      </w:pPr>
      <w:r>
        <w:rPr>
          <w:rFonts w:ascii="Arial" w:cs="Arial" w:eastAsia="Arial" w:hAnsi="Arial"/>
          <w:sz w:val="22"/>
          <w:szCs w:val="22"/>
          <w:b w:val="1"/>
          <w:bCs w:val="1"/>
          <w:i w:val="1"/>
          <w:iCs w:val="1"/>
          <w:color w:val="FFFFFF"/>
        </w:rPr>
        <w:t>Class A Common Stock</w:t>
      </w:r>
    </w:p>
    <w:p>
      <w:pPr>
        <w:spacing w:after="0" w:line="25" w:lineRule="exact"/>
        <w:rPr>
          <w:sz w:val="20"/>
          <w:szCs w:val="20"/>
          <w:color w:val="auto"/>
        </w:rPr>
      </w:pPr>
    </w:p>
    <w:p>
      <w:pPr>
        <w:ind w:left="4680"/>
        <w:spacing w:after="0"/>
        <w:rPr>
          <w:sz w:val="20"/>
          <w:szCs w:val="20"/>
          <w:color w:val="auto"/>
        </w:rPr>
      </w:pPr>
      <w:r>
        <w:rPr>
          <w:rFonts w:ascii="Arial" w:cs="Arial" w:eastAsia="Arial" w:hAnsi="Arial"/>
          <w:sz w:val="22"/>
          <w:szCs w:val="22"/>
          <w:b w:val="1"/>
          <w:bCs w:val="1"/>
          <w:i w:val="1"/>
          <w:iCs w:val="1"/>
          <w:color w:val="FFFFFF"/>
        </w:rPr>
        <w:t>per share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The selling stockholders identified in this prospectus are selling _____ shares of our Class A common stock. We are not selling any shares of Class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color w:val="FFFFFF"/>
        </w:rPr>
        <w:t>A common stock under this prospectus and will not receive any proceeds from the sale of the shares by the selling stockholders. Our Class A</w:t>
      </w:r>
    </w:p>
    <w:tbl>
      <w:tblPr>
        <w:tblLayout w:type="fixed"/>
        <w:tblInd w:w="20" w:type="dxa"/>
        <w:tblCellMar>
          <w:top w:w="0" w:type="dxa"/>
          <w:left w:w="0" w:type="dxa"/>
          <w:bottom w:w="0" w:type="dxa"/>
          <w:right w:w="0" w:type="dxa"/>
        </w:tblCellMar>
      </w:tblPr>
      <w:tr>
        <w:trPr>
          <w:trHeight w:val="148"/>
        </w:trPr>
        <w:tc>
          <w:tcPr>
            <w:tcW w:w="8480" w:type="dxa"/>
            <w:vAlign w:val="bottom"/>
            <w:gridSpan w:val="2"/>
          </w:tcPr>
          <w:p>
            <w:pPr>
              <w:spacing w:after="0" w:line="148" w:lineRule="exact"/>
              <w:rPr>
                <w:sz w:val="20"/>
                <w:szCs w:val="20"/>
                <w:color w:val="auto"/>
              </w:rPr>
            </w:pPr>
            <w:r>
              <w:rPr>
                <w:rFonts w:ascii="Arial" w:cs="Arial" w:eastAsia="Arial" w:hAnsi="Arial"/>
                <w:sz w:val="16"/>
                <w:szCs w:val="16"/>
                <w:color w:val="FFFFFF"/>
                <w:w w:val="99"/>
              </w:rPr>
              <w:t>common stock is listed and traded on the Nasdaq Global Select Market (the “Nasdaq”) under the trading symbol “ZI.” On</w:t>
            </w:r>
          </w:p>
        </w:tc>
        <w:tc>
          <w:tcPr>
            <w:tcW w:w="1080" w:type="dxa"/>
            <w:vAlign w:val="bottom"/>
          </w:tcPr>
          <w:p>
            <w:pPr>
              <w:ind w:left="400"/>
              <w:spacing w:after="0" w:line="148" w:lineRule="exact"/>
              <w:rPr>
                <w:sz w:val="20"/>
                <w:szCs w:val="20"/>
                <w:color w:val="auto"/>
              </w:rPr>
            </w:pPr>
            <w:r>
              <w:rPr>
                <w:rFonts w:ascii="Arial" w:cs="Arial" w:eastAsia="Arial" w:hAnsi="Arial"/>
                <w:sz w:val="16"/>
                <w:szCs w:val="16"/>
                <w:color w:val="FFFFFF"/>
                <w:w w:val="92"/>
              </w:rPr>
              <w:t>, 2020 the</w:t>
            </w:r>
          </w:p>
        </w:tc>
      </w:tr>
      <w:tr>
        <w:trPr>
          <w:trHeight w:val="206"/>
        </w:trPr>
        <w:tc>
          <w:tcPr>
            <w:tcW w:w="5160" w:type="dxa"/>
            <w:vAlign w:val="bottom"/>
          </w:tcPr>
          <w:p>
            <w:pPr>
              <w:spacing w:after="0"/>
              <w:rPr>
                <w:sz w:val="20"/>
                <w:szCs w:val="20"/>
                <w:color w:val="auto"/>
              </w:rPr>
            </w:pPr>
            <w:r>
              <w:rPr>
                <w:rFonts w:ascii="Arial" w:cs="Arial" w:eastAsia="Arial" w:hAnsi="Arial"/>
                <w:sz w:val="16"/>
                <w:szCs w:val="16"/>
                <w:color w:val="FFFFFF"/>
                <w:w w:val="94"/>
              </w:rPr>
              <w:t>closing price of our Class A common stock as reported on the Nasdaq was $</w:t>
            </w:r>
          </w:p>
        </w:tc>
        <w:tc>
          <w:tcPr>
            <w:tcW w:w="3320" w:type="dxa"/>
            <w:vAlign w:val="bottom"/>
          </w:tcPr>
          <w:p>
            <w:pPr>
              <w:ind w:left="220"/>
              <w:spacing w:after="0"/>
              <w:rPr>
                <w:sz w:val="20"/>
                <w:szCs w:val="20"/>
                <w:color w:val="auto"/>
              </w:rPr>
            </w:pPr>
            <w:r>
              <w:rPr>
                <w:rFonts w:ascii="Arial" w:cs="Arial" w:eastAsia="Arial" w:hAnsi="Arial"/>
                <w:sz w:val="16"/>
                <w:szCs w:val="16"/>
                <w:color w:val="FFFFFF"/>
              </w:rPr>
              <w:t>per share.</w:t>
            </w:r>
          </w:p>
        </w:tc>
        <w:tc>
          <w:tcPr>
            <w:tcW w:w="1080" w:type="dxa"/>
            <w:vAlign w:val="bottom"/>
          </w:tcPr>
          <w:p>
            <w:pPr>
              <w:spacing w:after="0"/>
              <w:rPr>
                <w:sz w:val="17"/>
                <w:szCs w:val="17"/>
                <w:color w:val="auto"/>
              </w:rPr>
            </w:pPr>
          </w:p>
        </w:tc>
      </w:tr>
    </w:tbl>
    <w:p>
      <w:pPr>
        <w:spacing w:after="0" w:line="23" w:lineRule="exact"/>
        <w:rPr>
          <w:sz w:val="20"/>
          <w:szCs w:val="20"/>
          <w:color w:val="auto"/>
        </w:rPr>
      </w:pPr>
    </w:p>
    <w:p>
      <w:pPr>
        <w:jc w:val="both"/>
        <w:ind w:left="20" w:right="20"/>
        <w:spacing w:after="0" w:line="229" w:lineRule="auto"/>
        <w:rPr>
          <w:sz w:val="20"/>
          <w:szCs w:val="20"/>
          <w:color w:val="auto"/>
        </w:rPr>
      </w:pPr>
      <w:r>
        <w:rPr>
          <w:rFonts w:ascii="Arial" w:cs="Arial" w:eastAsia="Arial" w:hAnsi="Arial"/>
          <w:sz w:val="15"/>
          <w:szCs w:val="15"/>
          <w:color w:val="FFFFFF"/>
        </w:rPr>
        <w:t>We have three classes of common stock: Class A common stock, Class B common stock, and Class C common stock. Holders of shares of our Class A common stock are entitled to one vote for each share of Class A common stock held of record on all matters on which stockholders are entitled to vote generally. Holders of shares of our Class B common stock are entitled to ten votes for each share of Class B common stock held of record (for so long as the aggregate number of outstanding shares of our Class B common stock and Class C common stock represents at least 5% of the aggregate number of outstanding shares of common stock, and thereafter, one vote per share) on all matters on which stockholders of ZoomInfo Technologies Inc. are entitled to vote generally. Holders of shares of our Class C common stock are entitled to ten votes for each share of Class C common stock held of record (for so long as the aggregate number of outstanding shares of our Class B common stock and Class C common stock represents at least 5% of the aggregate number of our outstanding shares of common stock, and thereafter, one vote per share upon the automatic conversion into shares of Class A common stock) on all matters on which stockholders of ZoomInfo Technologies Inc. are entitled to vote generally. See “Description of Capital Stock.” ZoomInfo Technologies Inc. is a holding company whose sole material asset is a controlling equity interest in ZoomInfo HoldCo (as defined herein), which is a holding company whose sole material asset is a controlling equity interest in ZoomInfo OpCo (as defined herein). The number of outstanding OpCo Units (as defined herein) of ZoomInfo OpCo equals the aggregate number of outstanding shares of Class A common stock, Class B common stock, and Class C common stock. See “Organizational Structure—Offering Transactions.”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Certain affiliates of each of TA Associates, Carlyle, and our Founders (each as defined herein) are parties to a stockholders agreement and, after</w:t>
      </w:r>
    </w:p>
    <w:p>
      <w:pPr>
        <w:spacing w:after="0" w:line="15" w:lineRule="exact"/>
        <w:rPr>
          <w:sz w:val="20"/>
          <w:szCs w:val="20"/>
          <w:color w:val="auto"/>
        </w:rPr>
      </w:pPr>
    </w:p>
    <w:p>
      <w:pPr>
        <w:jc w:val="both"/>
        <w:ind w:left="20" w:right="20"/>
        <w:spacing w:after="0" w:line="225" w:lineRule="auto"/>
        <w:rPr>
          <w:sz w:val="20"/>
          <w:szCs w:val="20"/>
          <w:color w:val="auto"/>
        </w:rPr>
      </w:pPr>
      <w:r>
        <w:rPr>
          <w:rFonts w:ascii="Arial" w:cs="Arial" w:eastAsia="Arial" w:hAnsi="Arial"/>
          <w:sz w:val="15"/>
          <w:szCs w:val="15"/>
          <w:color w:val="FFFFFF"/>
        </w:rPr>
        <w:t>giving effect to this offering, will beneficially own approximately % of the combined voting power of our Class A, Class B, and Class C common stock (or % if the underwriters exercise in full their option to purchase additional shares of Class A common stock). As a result, we</w:t>
      </w:r>
    </w:p>
    <w:p>
      <w:pPr>
        <w:spacing w:after="0" w:line="1" w:lineRule="exact"/>
        <w:rPr>
          <w:sz w:val="20"/>
          <w:szCs w:val="20"/>
          <w:color w:val="auto"/>
        </w:rPr>
      </w:pPr>
    </w:p>
    <w:p>
      <w:pPr>
        <w:jc w:val="both"/>
        <w:ind w:left="20" w:right="20"/>
        <w:spacing w:after="0" w:line="231" w:lineRule="auto"/>
        <w:rPr>
          <w:sz w:val="20"/>
          <w:szCs w:val="20"/>
          <w:color w:val="auto"/>
        </w:rPr>
      </w:pPr>
      <w:r>
        <w:rPr>
          <w:rFonts w:ascii="Arial" w:cs="Arial" w:eastAsia="Arial" w:hAnsi="Arial"/>
          <w:sz w:val="16"/>
          <w:szCs w:val="16"/>
          <w:color w:val="FFFFFF"/>
        </w:rPr>
        <w:t>will continue to be a “controlled company” within the meaning of the Nasdaq corporate governance standards. See “Management—Controlled Company Exception” and “Principal and Selling Stockholders.”</w:t>
      </w:r>
    </w:p>
    <w:p>
      <w:pPr>
        <w:spacing w:after="0" w:line="37" w:lineRule="exact"/>
        <w:rPr>
          <w:sz w:val="20"/>
          <w:szCs w:val="20"/>
          <w:color w:val="auto"/>
        </w:rPr>
      </w:pPr>
    </w:p>
    <w:p>
      <w:pPr>
        <w:jc w:val="both"/>
        <w:ind w:left="20" w:right="20"/>
        <w:spacing w:after="0"/>
        <w:rPr>
          <w:sz w:val="20"/>
          <w:szCs w:val="20"/>
          <w:color w:val="auto"/>
        </w:rPr>
      </w:pPr>
      <w:r>
        <w:rPr>
          <w:rFonts w:ascii="Arial" w:cs="Arial" w:eastAsia="Arial" w:hAnsi="Arial"/>
          <w:sz w:val="16"/>
          <w:szCs w:val="16"/>
          <w:color w:val="FFFFFF"/>
        </w:rPr>
        <w:t>We are an “emerging growth company” as defined under the federal securities laws and, as such, have elected to comply with certain reduced public company reporting requirements. See “Summary—Implications of Being an Emerging Growth Company.”</w:t>
      </w:r>
    </w:p>
    <w:p>
      <w:pPr>
        <w:spacing w:after="0" w:line="20" w:lineRule="exact"/>
        <w:rPr>
          <w:sz w:val="20"/>
          <w:szCs w:val="20"/>
          <w:color w:val="auto"/>
        </w:rPr>
      </w:pPr>
    </w:p>
    <w:p>
      <w:pPr>
        <w:ind w:left="20"/>
        <w:spacing w:after="0"/>
        <w:rPr>
          <w:rFonts w:ascii="Arial" w:cs="Arial" w:eastAsia="Arial" w:hAnsi="Arial"/>
          <w:sz w:val="16"/>
          <w:szCs w:val="16"/>
          <w:b w:val="1"/>
          <w:bCs w:val="1"/>
          <w:color w:val="FFFFFF"/>
        </w:rPr>
      </w:pPr>
      <w:r>
        <w:rPr>
          <w:rFonts w:ascii="Arial" w:cs="Arial" w:eastAsia="Arial" w:hAnsi="Arial"/>
          <w:sz w:val="16"/>
          <w:szCs w:val="16"/>
          <w:b w:val="1"/>
          <w:bCs w:val="1"/>
          <w:color w:val="FFFFFF"/>
        </w:rPr>
        <w:t xml:space="preserve">Investing in shares of our Class A common stock involves risks. See “Risk Factors” beginning on page </w:t>
      </w:r>
      <w:hyperlink w:anchor="page34">
        <w:r>
          <w:rPr>
            <w:rFonts w:ascii="Arial" w:cs="Arial" w:eastAsia="Arial" w:hAnsi="Arial"/>
            <w:sz w:val="16"/>
            <w:szCs w:val="16"/>
            <w:b w:val="1"/>
            <w:bCs w:val="1"/>
            <w:color w:val="FFFFFF"/>
          </w:rPr>
          <w:t>29.</w:t>
        </w:r>
      </w:hyperlink>
    </w:p>
    <w:p>
      <w:pPr>
        <w:spacing w:after="0" w:line="50" w:lineRule="exact"/>
        <w:rPr>
          <w:sz w:val="20"/>
          <w:szCs w:val="20"/>
          <w:color w:val="auto"/>
        </w:rPr>
      </w:pPr>
    </w:p>
    <w:p>
      <w:pPr>
        <w:jc w:val="both"/>
        <w:ind w:left="20" w:right="40"/>
        <w:spacing w:after="0"/>
        <w:rPr>
          <w:sz w:val="20"/>
          <w:szCs w:val="20"/>
          <w:color w:val="auto"/>
        </w:rPr>
      </w:pPr>
      <w:r>
        <w:rPr>
          <w:rFonts w:ascii="Arial" w:cs="Arial" w:eastAsia="Arial" w:hAnsi="Arial"/>
          <w:sz w:val="16"/>
          <w:szCs w:val="16"/>
          <w:color w:val="FFFFFF"/>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74" w:lineRule="exact"/>
        <w:rPr>
          <w:sz w:val="20"/>
          <w:szCs w:val="20"/>
          <w:color w:val="auto"/>
        </w:rPr>
      </w:pPr>
    </w:p>
    <w:tbl>
      <w:tblPr>
        <w:tblLayout w:type="fixed"/>
        <w:tblInd w:w="3760" w:type="dxa"/>
        <w:tblCellMar>
          <w:top w:w="0" w:type="dxa"/>
          <w:left w:w="0" w:type="dxa"/>
          <w:bottom w:w="0" w:type="dxa"/>
          <w:right w:w="0" w:type="dxa"/>
        </w:tblCellMar>
      </w:tblPr>
      <w:tr>
        <w:trPr>
          <w:trHeight w:val="203"/>
        </w:trPr>
        <w:tc>
          <w:tcPr>
            <w:tcW w:w="4640" w:type="dxa"/>
            <w:vAlign w:val="bottom"/>
            <w:shd w:val="clear" w:color="auto" w:fill="231F20"/>
          </w:tcPr>
          <w:p>
            <w:pPr>
              <w:ind w:left="3480"/>
              <w:spacing w:after="0"/>
              <w:rPr>
                <w:sz w:val="20"/>
                <w:szCs w:val="20"/>
                <w:color w:val="auto"/>
              </w:rPr>
            </w:pPr>
            <w:r>
              <w:rPr>
                <w:rFonts w:ascii="Arial" w:cs="Arial" w:eastAsia="Arial" w:hAnsi="Arial"/>
                <w:sz w:val="15"/>
                <w:szCs w:val="15"/>
                <w:b w:val="1"/>
                <w:bCs w:val="1"/>
                <w:color w:val="FFFFFF"/>
              </w:rPr>
              <w:t>Per Share</w:t>
            </w:r>
          </w:p>
        </w:tc>
        <w:tc>
          <w:tcPr>
            <w:tcW w:w="1200" w:type="dxa"/>
            <w:vAlign w:val="bottom"/>
            <w:shd w:val="clear" w:color="auto" w:fill="231F20"/>
          </w:tcPr>
          <w:p>
            <w:pPr>
              <w:ind w:left="480"/>
              <w:spacing w:after="0"/>
              <w:rPr>
                <w:sz w:val="20"/>
                <w:szCs w:val="20"/>
                <w:color w:val="auto"/>
              </w:rPr>
            </w:pPr>
            <w:r>
              <w:rPr>
                <w:rFonts w:ascii="Arial" w:cs="Arial" w:eastAsia="Arial" w:hAnsi="Arial"/>
                <w:sz w:val="15"/>
                <w:szCs w:val="15"/>
                <w:b w:val="1"/>
                <w:bCs w:val="1"/>
                <w:color w:val="FFFFFF"/>
              </w:rPr>
              <w:t>Total</w:t>
            </w: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5"/>
          <w:szCs w:val="15"/>
          <w:color w:val="FFFFFF"/>
        </w:rPr>
        <w:t>Public offering price...................................................................................................................................</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5"/>
          <w:szCs w:val="15"/>
          <w:color w:val="FFFFFF"/>
        </w:rPr>
        <w:t>Underwriting discount</w:t>
      </w:r>
      <w:r>
        <w:rPr>
          <w:rFonts w:ascii="Arial" w:cs="Arial" w:eastAsia="Arial" w:hAnsi="Arial"/>
          <w:sz w:val="20"/>
          <w:szCs w:val="20"/>
          <w:color w:val="FFFFFF"/>
          <w:vertAlign w:val="superscript"/>
        </w:rPr>
        <w:t>(1)</w:t>
      </w:r>
      <w:r>
        <w:rPr>
          <w:rFonts w:ascii="Arial" w:cs="Arial" w:eastAsia="Arial" w:hAnsi="Arial"/>
          <w:sz w:val="15"/>
          <w:szCs w:val="15"/>
          <w:color w:val="FFFFFF"/>
        </w:rPr>
        <w: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5"/>
          <w:szCs w:val="15"/>
          <w:color w:val="FFFFFF"/>
        </w:rPr>
        <w:t>Proceeds, before expenses, to the selling stockholders.............................................................................</w:t>
      </w:r>
    </w:p>
    <w:p>
      <w:pPr>
        <w:spacing w:after="0" w:line="147" w:lineRule="exact"/>
        <w:rPr>
          <w:sz w:val="20"/>
          <w:szCs w:val="20"/>
          <w:color w:val="auto"/>
        </w:rPr>
      </w:pPr>
    </w:p>
    <w:p>
      <w:pPr>
        <w:ind w:left="340" w:hanging="324"/>
        <w:spacing w:after="0"/>
        <w:tabs>
          <w:tab w:leader="none" w:pos="340" w:val="left"/>
        </w:tabs>
        <w:numPr>
          <w:ilvl w:val="0"/>
          <w:numId w:val="2"/>
        </w:numPr>
        <w:rPr>
          <w:rFonts w:ascii="Arial" w:cs="Arial" w:eastAsia="Arial" w:hAnsi="Arial"/>
          <w:sz w:val="13"/>
          <w:szCs w:val="13"/>
          <w:color w:val="FFFFFF"/>
        </w:rPr>
      </w:pPr>
      <w:r>
        <w:rPr>
          <w:rFonts w:ascii="Arial" w:cs="Arial" w:eastAsia="Arial" w:hAnsi="Arial"/>
          <w:sz w:val="13"/>
          <w:szCs w:val="13"/>
          <w:color w:val="FFFFFF"/>
        </w:rPr>
        <w:t>Please see the section entitled “Underwriting” for a description of compensation payable to the underwriters.</w:t>
      </w:r>
    </w:p>
    <w:p>
      <w:pPr>
        <w:spacing w:after="0" w:line="260" w:lineRule="exact"/>
        <w:rPr>
          <w:sz w:val="20"/>
          <w:szCs w:val="20"/>
          <w:color w:val="auto"/>
        </w:rPr>
      </w:pPr>
    </w:p>
    <w:p>
      <w:pPr>
        <w:jc w:val="both"/>
        <w:ind w:left="20" w:right="20"/>
        <w:spacing w:after="0" w:line="235" w:lineRule="auto"/>
        <w:rPr>
          <w:sz w:val="20"/>
          <w:szCs w:val="20"/>
          <w:color w:val="auto"/>
        </w:rPr>
      </w:pPr>
      <w:r>
        <w:rPr>
          <w:rFonts w:ascii="Arial" w:cs="Arial" w:eastAsia="Arial" w:hAnsi="Arial"/>
          <w:sz w:val="15"/>
          <w:szCs w:val="15"/>
          <w:color w:val="FFFFFF"/>
        </w:rPr>
        <w:t>To the extent that the underwriters sell more than shares of our Class A common stock, the underwriters have the option, within 30 days from the date of this prospectus, to purchase up to an additional shares of our Class A common stock from the selling stockholders at the</w:t>
      </w:r>
    </w:p>
    <w:p>
      <w:pPr>
        <w:jc w:val="both"/>
        <w:ind w:left="20" w:right="40"/>
        <w:spacing w:after="0" w:line="231" w:lineRule="auto"/>
        <w:rPr>
          <w:sz w:val="20"/>
          <w:szCs w:val="20"/>
          <w:color w:val="auto"/>
        </w:rPr>
      </w:pPr>
      <w:r>
        <w:rPr>
          <w:rFonts w:ascii="Arial" w:cs="Arial" w:eastAsia="Arial" w:hAnsi="Arial"/>
          <w:sz w:val="16"/>
          <w:szCs w:val="16"/>
          <w:color w:val="FFFFFF"/>
        </w:rPr>
        <w:t>public offering price less the underwriting discount. We will not receive any proceeds from the sale of our Class A common stock pursuant to any exercise of the underwriters’ option to purchase additional shares.</w:t>
      </w: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i w:val="1"/>
          <w:iCs w:val="1"/>
          <w:color w:val="FFFFFF"/>
        </w:rPr>
        <w:t>Joint Book-Running Managers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060"/>
        </w:trPr>
        <w:tc>
          <w:tcPr>
            <w:tcW w:w="5440" w:type="dxa"/>
            <w:vAlign w:val="bottom"/>
            <w:shd w:val="clear" w:color="auto" w:fill="231F20"/>
          </w:tcPr>
          <w:p>
            <w:pPr>
              <w:ind w:left="3480"/>
              <w:spacing w:after="0"/>
              <w:rPr>
                <w:sz w:val="20"/>
                <w:szCs w:val="20"/>
                <w:color w:val="auto"/>
              </w:rPr>
            </w:pPr>
            <w:r>
              <w:rPr>
                <w:rFonts w:ascii="Arial" w:cs="Arial" w:eastAsia="Arial" w:hAnsi="Arial"/>
                <w:sz w:val="14"/>
                <w:szCs w:val="14"/>
                <w:color w:val="FFFFFF"/>
              </w:rPr>
              <w:t>The date of this prospectus is</w:t>
            </w:r>
          </w:p>
        </w:tc>
        <w:tc>
          <w:tcPr>
            <w:tcW w:w="4160" w:type="dxa"/>
            <w:vAlign w:val="bottom"/>
            <w:shd w:val="clear" w:color="auto" w:fill="231F20"/>
          </w:tcPr>
          <w:p>
            <w:pPr>
              <w:jc w:val="right"/>
              <w:ind w:right="3428"/>
              <w:spacing w:after="0"/>
              <w:rPr>
                <w:sz w:val="20"/>
                <w:szCs w:val="20"/>
                <w:color w:val="auto"/>
              </w:rPr>
            </w:pPr>
            <w:r>
              <w:rPr>
                <w:rFonts w:ascii="Arial" w:cs="Arial" w:eastAsia="Arial" w:hAnsi="Arial"/>
                <w:sz w:val="14"/>
                <w:szCs w:val="14"/>
                <w:color w:val="FFFFFF"/>
              </w:rPr>
              <w:t>, 2020.</w:t>
            </w:r>
          </w:p>
        </w:tc>
      </w:tr>
      <w:tr>
        <w:trPr>
          <w:trHeight w:val="930"/>
        </w:trPr>
        <w:tc>
          <w:tcPr>
            <w:tcW w:w="5440" w:type="dxa"/>
            <w:vAlign w:val="bottom"/>
            <w:shd w:val="clear" w:color="auto" w:fill="231F20"/>
          </w:tcPr>
          <w:p>
            <w:pPr>
              <w:spacing w:after="0"/>
              <w:rPr>
                <w:sz w:val="24"/>
                <w:szCs w:val="24"/>
                <w:color w:val="auto"/>
              </w:rPr>
            </w:pPr>
          </w:p>
        </w:tc>
        <w:tc>
          <w:tcPr>
            <w:tcW w:w="4160" w:type="dxa"/>
            <w:vAlign w:val="bottom"/>
            <w:shd w:val="clear" w:color="auto" w:fill="231F20"/>
          </w:tcPr>
          <w:p>
            <w:pPr>
              <w:spacing w:after="0"/>
              <w:rPr>
                <w:sz w:val="24"/>
                <w:szCs w:val="24"/>
                <w:color w:val="auto"/>
              </w:rPr>
            </w:pPr>
          </w:p>
        </w:tc>
      </w:tr>
    </w:tbl>
    <w:p>
      <w:pPr>
        <w:sectPr>
          <w:pgSz w:w="11900" w:h="16838" w:orient="portrait"/>
          <w:cols w:equalWidth="0" w:num="1">
            <w:col w:w="9600"/>
          </w:cols>
          <w:pgMar w:left="1120" w:top="118" w:right="11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60" w:type="dxa"/>
            <w:vAlign w:val="bottom"/>
          </w:tcPr>
          <w:p>
            <w:pPr>
              <w:ind w:left="492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r>
      <w:tr>
        <w:trPr>
          <w:trHeight w:val="385"/>
        </w:trPr>
        <w:tc>
          <w:tcPr>
            <w:tcW w:w="1046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Summary</w:t>
              </w:r>
            </w:hyperlink>
          </w:p>
        </w:tc>
        <w:tc>
          <w:tcPr>
            <w:tcW w:w="760" w:type="dxa"/>
            <w:vAlign w:val="bottom"/>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1</w:t>
              </w:r>
            </w:hyperlink>
          </w:p>
        </w:tc>
      </w:tr>
      <w:tr>
        <w:trPr>
          <w:trHeight w:val="230"/>
        </w:trPr>
        <w:tc>
          <w:tcPr>
            <w:tcW w:w="10460" w:type="dxa"/>
            <w:vAlign w:val="bottom"/>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Risk Factors</w:t>
              </w:r>
            </w:hyperlink>
          </w:p>
        </w:tc>
        <w:tc>
          <w:tcPr>
            <w:tcW w:w="760" w:type="dxa"/>
            <w:vAlign w:val="bottom"/>
          </w:tcPr>
          <w:p>
            <w:pPr>
              <w:jc w:val="cente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29</w:t>
              </w:r>
            </w:hyperlink>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Forward-Looking Statements</w:t>
              </w:r>
            </w:hyperlink>
          </w:p>
        </w:tc>
        <w:tc>
          <w:tcPr>
            <w:tcW w:w="760" w:type="dxa"/>
            <w:vAlign w:val="bottom"/>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75</w:t>
              </w:r>
            </w:hyperlink>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Market and Industry Data</w:t>
              </w:r>
            </w:hyperlink>
          </w:p>
        </w:tc>
        <w:tc>
          <w:tcPr>
            <w:tcW w:w="760" w:type="dxa"/>
            <w:vAlign w:val="bottom"/>
          </w:tcPr>
          <w:p>
            <w:pPr>
              <w:jc w:val="center"/>
              <w:spacing w:after="0"/>
              <w:rPr>
                <w:rFonts w:ascii="Arial" w:cs="Arial" w:eastAsia="Arial" w:hAnsi="Arial"/>
                <w:sz w:val="18"/>
                <w:szCs w:val="18"/>
                <w:color w:val="auto"/>
                <w:w w:val="89"/>
              </w:rPr>
            </w:pPr>
            <w:hyperlink w:anchor="page82">
              <w:r>
                <w:rPr>
                  <w:rFonts w:ascii="Arial" w:cs="Arial" w:eastAsia="Arial" w:hAnsi="Arial"/>
                  <w:sz w:val="18"/>
                  <w:szCs w:val="18"/>
                  <w:color w:val="auto"/>
                  <w:w w:val="89"/>
                </w:rPr>
                <w:t>77</w:t>
              </w:r>
            </w:hyperlink>
          </w:p>
        </w:tc>
      </w:tr>
      <w:tr>
        <w:trPr>
          <w:trHeight w:val="230"/>
        </w:trPr>
        <w:tc>
          <w:tcPr>
            <w:tcW w:w="10460" w:type="dxa"/>
            <w:vAlign w:val="bottom"/>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Organizational Structure</w:t>
              </w:r>
            </w:hyperlink>
          </w:p>
        </w:tc>
        <w:tc>
          <w:tcPr>
            <w:tcW w:w="760" w:type="dxa"/>
            <w:vAlign w:val="bottom"/>
          </w:tcPr>
          <w:p>
            <w:pPr>
              <w:jc w:val="center"/>
              <w:spacing w:after="0"/>
              <w:rPr>
                <w:rFonts w:ascii="Arial" w:cs="Arial" w:eastAsia="Arial" w:hAnsi="Arial"/>
                <w:sz w:val="18"/>
                <w:szCs w:val="18"/>
                <w:color w:val="auto"/>
                <w:w w:val="89"/>
              </w:rPr>
            </w:pPr>
            <w:hyperlink w:anchor="page83">
              <w:r>
                <w:rPr>
                  <w:rFonts w:ascii="Arial" w:cs="Arial" w:eastAsia="Arial" w:hAnsi="Arial"/>
                  <w:sz w:val="18"/>
                  <w:szCs w:val="18"/>
                  <w:color w:val="auto"/>
                  <w:w w:val="89"/>
                </w:rPr>
                <w:t>78</w:t>
              </w:r>
            </w:hyperlink>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Use of Proceeds</w:t>
              </w:r>
            </w:hyperlink>
          </w:p>
        </w:tc>
        <w:tc>
          <w:tcPr>
            <w:tcW w:w="760" w:type="dxa"/>
            <w:vAlign w:val="bottom"/>
          </w:tcPr>
          <w:p>
            <w:pPr>
              <w:jc w:val="center"/>
              <w:spacing w:after="0"/>
              <w:rPr>
                <w:rFonts w:ascii="Arial" w:cs="Arial" w:eastAsia="Arial" w:hAnsi="Arial"/>
                <w:sz w:val="18"/>
                <w:szCs w:val="18"/>
                <w:color w:val="auto"/>
                <w:w w:val="89"/>
              </w:rPr>
            </w:pPr>
            <w:hyperlink w:anchor="page90">
              <w:r>
                <w:rPr>
                  <w:rFonts w:ascii="Arial" w:cs="Arial" w:eastAsia="Arial" w:hAnsi="Arial"/>
                  <w:sz w:val="18"/>
                  <w:szCs w:val="18"/>
                  <w:color w:val="auto"/>
                  <w:w w:val="89"/>
                </w:rPr>
                <w:t>85</w:t>
              </w:r>
            </w:hyperlink>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Dividend Policy</w:t>
              </w:r>
            </w:hyperlink>
          </w:p>
        </w:tc>
        <w:tc>
          <w:tcPr>
            <w:tcW w:w="760" w:type="dxa"/>
            <w:vAlign w:val="bottom"/>
          </w:tcPr>
          <w:p>
            <w:pPr>
              <w:jc w:val="center"/>
              <w:spacing w:after="0"/>
              <w:rPr>
                <w:rFonts w:ascii="Arial" w:cs="Arial" w:eastAsia="Arial" w:hAnsi="Arial"/>
                <w:sz w:val="18"/>
                <w:szCs w:val="18"/>
                <w:color w:val="auto"/>
                <w:w w:val="89"/>
              </w:rPr>
            </w:pPr>
            <w:hyperlink w:anchor="page91">
              <w:r>
                <w:rPr>
                  <w:rFonts w:ascii="Arial" w:cs="Arial" w:eastAsia="Arial" w:hAnsi="Arial"/>
                  <w:sz w:val="18"/>
                  <w:szCs w:val="18"/>
                  <w:color w:val="auto"/>
                  <w:w w:val="89"/>
                </w:rPr>
                <w:t>86</w:t>
              </w:r>
            </w:hyperlink>
          </w:p>
        </w:tc>
      </w:tr>
      <w:tr>
        <w:trPr>
          <w:trHeight w:val="230"/>
        </w:trPr>
        <w:tc>
          <w:tcPr>
            <w:tcW w:w="10460" w:type="dxa"/>
            <w:vAlign w:val="bottom"/>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Capitalization</w:t>
              </w:r>
            </w:hyperlink>
          </w:p>
        </w:tc>
        <w:tc>
          <w:tcPr>
            <w:tcW w:w="760" w:type="dxa"/>
            <w:vAlign w:val="bottom"/>
          </w:tcPr>
          <w:p>
            <w:pPr>
              <w:jc w:val="center"/>
              <w:spacing w:after="0"/>
              <w:rPr>
                <w:rFonts w:ascii="Arial" w:cs="Arial" w:eastAsia="Arial" w:hAnsi="Arial"/>
                <w:sz w:val="18"/>
                <w:szCs w:val="18"/>
                <w:color w:val="auto"/>
                <w:w w:val="89"/>
              </w:rPr>
            </w:pPr>
            <w:hyperlink w:anchor="page93">
              <w:r>
                <w:rPr>
                  <w:rFonts w:ascii="Arial" w:cs="Arial" w:eastAsia="Arial" w:hAnsi="Arial"/>
                  <w:sz w:val="18"/>
                  <w:szCs w:val="18"/>
                  <w:color w:val="auto"/>
                  <w:w w:val="89"/>
                </w:rPr>
                <w:t>88</w:t>
              </w:r>
            </w:hyperlink>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Unaudited Pro Forma Combined and Consolidated Financial Information</w:t>
              </w:r>
            </w:hyperlink>
          </w:p>
        </w:tc>
        <w:tc>
          <w:tcPr>
            <w:tcW w:w="760" w:type="dxa"/>
            <w:vAlign w:val="bottom"/>
          </w:tcPr>
          <w:p>
            <w:pPr>
              <w:jc w:val="center"/>
              <w:spacing w:after="0"/>
              <w:rPr>
                <w:rFonts w:ascii="Arial" w:cs="Arial" w:eastAsia="Arial" w:hAnsi="Arial"/>
                <w:sz w:val="18"/>
                <w:szCs w:val="18"/>
                <w:color w:val="auto"/>
                <w:w w:val="89"/>
              </w:rPr>
            </w:pPr>
            <w:hyperlink w:anchor="page95">
              <w:r>
                <w:rPr>
                  <w:rFonts w:ascii="Arial" w:cs="Arial" w:eastAsia="Arial" w:hAnsi="Arial"/>
                  <w:sz w:val="18"/>
                  <w:szCs w:val="18"/>
                  <w:color w:val="auto"/>
                  <w:w w:val="89"/>
                </w:rPr>
                <w:t>90</w:t>
              </w:r>
            </w:hyperlink>
          </w:p>
        </w:tc>
      </w:tr>
      <w:tr>
        <w:trPr>
          <w:trHeight w:val="230"/>
        </w:trPr>
        <w:tc>
          <w:tcPr>
            <w:tcW w:w="10460" w:type="dxa"/>
            <w:vAlign w:val="bottom"/>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Selected Historical Consolidated Financial Data</w:t>
              </w:r>
            </w:hyperlink>
          </w:p>
        </w:tc>
        <w:tc>
          <w:tcPr>
            <w:tcW w:w="760" w:type="dxa"/>
            <w:vAlign w:val="bottom"/>
          </w:tcPr>
          <w:p>
            <w:pPr>
              <w:jc w:val="center"/>
              <w:spacing w:after="0"/>
              <w:rPr>
                <w:rFonts w:ascii="Arial" w:cs="Arial" w:eastAsia="Arial" w:hAnsi="Arial"/>
                <w:sz w:val="18"/>
                <w:szCs w:val="18"/>
                <w:color w:val="auto"/>
                <w:w w:val="93"/>
              </w:rPr>
            </w:pPr>
            <w:hyperlink w:anchor="page108">
              <w:r>
                <w:rPr>
                  <w:rFonts w:ascii="Arial" w:cs="Arial" w:eastAsia="Arial" w:hAnsi="Arial"/>
                  <w:sz w:val="18"/>
                  <w:szCs w:val="18"/>
                  <w:color w:val="auto"/>
                  <w:w w:val="93"/>
                </w:rPr>
                <w:t>103</w:t>
              </w:r>
            </w:hyperlink>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Management’s Discussion and Analysis of Financial Condition and Results of Operations</w:t>
              </w:r>
            </w:hyperlink>
          </w:p>
        </w:tc>
        <w:tc>
          <w:tcPr>
            <w:tcW w:w="760" w:type="dxa"/>
            <w:vAlign w:val="bottom"/>
          </w:tcPr>
          <w:p>
            <w:pPr>
              <w:jc w:val="center"/>
              <w:spacing w:after="0"/>
              <w:rPr>
                <w:rFonts w:ascii="Arial" w:cs="Arial" w:eastAsia="Arial" w:hAnsi="Arial"/>
                <w:sz w:val="18"/>
                <w:szCs w:val="18"/>
                <w:color w:val="auto"/>
                <w:w w:val="93"/>
              </w:rPr>
            </w:pPr>
            <w:hyperlink w:anchor="page111">
              <w:r>
                <w:rPr>
                  <w:rFonts w:ascii="Arial" w:cs="Arial" w:eastAsia="Arial" w:hAnsi="Arial"/>
                  <w:sz w:val="18"/>
                  <w:szCs w:val="18"/>
                  <w:color w:val="auto"/>
                  <w:w w:val="93"/>
                </w:rPr>
                <w:t>106</w:t>
              </w:r>
            </w:hyperlink>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Business</w:t>
              </w:r>
            </w:hyperlink>
          </w:p>
        </w:tc>
        <w:tc>
          <w:tcPr>
            <w:tcW w:w="760" w:type="dxa"/>
            <w:vAlign w:val="bottom"/>
          </w:tcPr>
          <w:p>
            <w:pPr>
              <w:jc w:val="center"/>
              <w:spacing w:after="0"/>
              <w:rPr>
                <w:rFonts w:ascii="Arial" w:cs="Arial" w:eastAsia="Arial" w:hAnsi="Arial"/>
                <w:sz w:val="18"/>
                <w:szCs w:val="18"/>
                <w:color w:val="auto"/>
                <w:w w:val="93"/>
              </w:rPr>
            </w:pPr>
            <w:hyperlink w:anchor="page146">
              <w:r>
                <w:rPr>
                  <w:rFonts w:ascii="Arial" w:cs="Arial" w:eastAsia="Arial" w:hAnsi="Arial"/>
                  <w:sz w:val="18"/>
                  <w:szCs w:val="18"/>
                  <w:color w:val="auto"/>
                  <w:w w:val="93"/>
                </w:rPr>
                <w:t>141</w:t>
              </w:r>
            </w:hyperlink>
          </w:p>
        </w:tc>
      </w:tr>
      <w:tr>
        <w:trPr>
          <w:trHeight w:val="230"/>
        </w:trPr>
        <w:tc>
          <w:tcPr>
            <w:tcW w:w="10460" w:type="dxa"/>
            <w:vAlign w:val="bottom"/>
          </w:tcPr>
          <w:p>
            <w:pPr>
              <w:spacing w:after="0"/>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Management</w:t>
              </w:r>
            </w:hyperlink>
          </w:p>
        </w:tc>
        <w:tc>
          <w:tcPr>
            <w:tcW w:w="760" w:type="dxa"/>
            <w:vAlign w:val="bottom"/>
          </w:tcPr>
          <w:p>
            <w:pPr>
              <w:jc w:val="center"/>
              <w:spacing w:after="0"/>
              <w:rPr>
                <w:rFonts w:ascii="Arial" w:cs="Arial" w:eastAsia="Arial" w:hAnsi="Arial"/>
                <w:sz w:val="18"/>
                <w:szCs w:val="18"/>
                <w:color w:val="auto"/>
                <w:w w:val="93"/>
              </w:rPr>
            </w:pPr>
            <w:hyperlink w:anchor="page165">
              <w:r>
                <w:rPr>
                  <w:rFonts w:ascii="Arial" w:cs="Arial" w:eastAsia="Arial" w:hAnsi="Arial"/>
                  <w:sz w:val="18"/>
                  <w:szCs w:val="18"/>
                  <w:color w:val="auto"/>
                  <w:w w:val="93"/>
                </w:rPr>
                <w:t>160</w:t>
              </w:r>
            </w:hyperlink>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Executive Compensation</w:t>
              </w:r>
            </w:hyperlink>
          </w:p>
        </w:tc>
        <w:tc>
          <w:tcPr>
            <w:tcW w:w="760" w:type="dxa"/>
            <w:vAlign w:val="bottom"/>
          </w:tcPr>
          <w:p>
            <w:pPr>
              <w:jc w:val="center"/>
              <w:spacing w:after="0"/>
              <w:rPr>
                <w:rFonts w:ascii="Arial" w:cs="Arial" w:eastAsia="Arial" w:hAnsi="Arial"/>
                <w:sz w:val="18"/>
                <w:szCs w:val="18"/>
                <w:color w:val="auto"/>
                <w:w w:val="93"/>
              </w:rPr>
            </w:pPr>
            <w:hyperlink w:anchor="page171">
              <w:r>
                <w:rPr>
                  <w:rFonts w:ascii="Arial" w:cs="Arial" w:eastAsia="Arial" w:hAnsi="Arial"/>
                  <w:sz w:val="18"/>
                  <w:szCs w:val="18"/>
                  <w:color w:val="auto"/>
                  <w:w w:val="93"/>
                </w:rPr>
                <w:t>166</w:t>
              </w:r>
            </w:hyperlink>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188">
              <w:r>
                <w:rPr>
                  <w:rFonts w:ascii="Arial" w:cs="Arial" w:eastAsia="Arial" w:hAnsi="Arial"/>
                  <w:sz w:val="18"/>
                  <w:szCs w:val="18"/>
                  <w:u w:val="single" w:color="auto"/>
                  <w:color w:val="0000FF"/>
                </w:rPr>
                <w:t>Certain Relationships and Related Person Transactions</w:t>
              </w:r>
            </w:hyperlink>
          </w:p>
        </w:tc>
        <w:tc>
          <w:tcPr>
            <w:tcW w:w="760" w:type="dxa"/>
            <w:vAlign w:val="bottom"/>
          </w:tcPr>
          <w:p>
            <w:pPr>
              <w:jc w:val="center"/>
              <w:spacing w:after="0"/>
              <w:rPr>
                <w:rFonts w:ascii="Arial" w:cs="Arial" w:eastAsia="Arial" w:hAnsi="Arial"/>
                <w:sz w:val="18"/>
                <w:szCs w:val="18"/>
                <w:color w:val="auto"/>
                <w:w w:val="93"/>
              </w:rPr>
            </w:pPr>
            <w:hyperlink w:anchor="page188">
              <w:r>
                <w:rPr>
                  <w:rFonts w:ascii="Arial" w:cs="Arial" w:eastAsia="Arial" w:hAnsi="Arial"/>
                  <w:sz w:val="18"/>
                  <w:szCs w:val="18"/>
                  <w:color w:val="auto"/>
                  <w:w w:val="93"/>
                </w:rPr>
                <w:t>183</w:t>
              </w:r>
            </w:hyperlink>
          </w:p>
        </w:tc>
      </w:tr>
      <w:tr>
        <w:trPr>
          <w:trHeight w:val="230"/>
        </w:trPr>
        <w:tc>
          <w:tcPr>
            <w:tcW w:w="10460" w:type="dxa"/>
            <w:vAlign w:val="bottom"/>
          </w:tcPr>
          <w:p>
            <w:pPr>
              <w:spacing w:after="0"/>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Principal and Selling Stockholders</w:t>
              </w:r>
            </w:hyperlink>
          </w:p>
        </w:tc>
        <w:tc>
          <w:tcPr>
            <w:tcW w:w="760" w:type="dxa"/>
            <w:vAlign w:val="bottom"/>
          </w:tcPr>
          <w:p>
            <w:pPr>
              <w:jc w:val="center"/>
              <w:spacing w:after="0"/>
              <w:rPr>
                <w:rFonts w:ascii="Arial" w:cs="Arial" w:eastAsia="Arial" w:hAnsi="Arial"/>
                <w:sz w:val="18"/>
                <w:szCs w:val="18"/>
                <w:color w:val="auto"/>
                <w:w w:val="93"/>
              </w:rPr>
            </w:pPr>
            <w:hyperlink w:anchor="page195">
              <w:r>
                <w:rPr>
                  <w:rFonts w:ascii="Arial" w:cs="Arial" w:eastAsia="Arial" w:hAnsi="Arial"/>
                  <w:sz w:val="18"/>
                  <w:szCs w:val="18"/>
                  <w:color w:val="auto"/>
                  <w:w w:val="93"/>
                </w:rPr>
                <w:t>190</w:t>
              </w:r>
            </w:hyperlink>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199">
              <w:r>
                <w:rPr>
                  <w:rFonts w:ascii="Arial" w:cs="Arial" w:eastAsia="Arial" w:hAnsi="Arial"/>
                  <w:sz w:val="18"/>
                  <w:szCs w:val="18"/>
                  <w:u w:val="single" w:color="auto"/>
                  <w:color w:val="0000FF"/>
                </w:rPr>
                <w:t>Description of Certain Indebtedness</w:t>
              </w:r>
            </w:hyperlink>
          </w:p>
        </w:tc>
        <w:tc>
          <w:tcPr>
            <w:tcW w:w="760" w:type="dxa"/>
            <w:vAlign w:val="bottom"/>
          </w:tcPr>
          <w:p>
            <w:pPr>
              <w:jc w:val="center"/>
              <w:spacing w:after="0"/>
              <w:rPr>
                <w:rFonts w:ascii="Arial" w:cs="Arial" w:eastAsia="Arial" w:hAnsi="Arial"/>
                <w:sz w:val="18"/>
                <w:szCs w:val="18"/>
                <w:color w:val="auto"/>
                <w:w w:val="93"/>
              </w:rPr>
            </w:pPr>
            <w:hyperlink w:anchor="page199">
              <w:r>
                <w:rPr>
                  <w:rFonts w:ascii="Arial" w:cs="Arial" w:eastAsia="Arial" w:hAnsi="Arial"/>
                  <w:sz w:val="18"/>
                  <w:szCs w:val="18"/>
                  <w:color w:val="auto"/>
                  <w:w w:val="93"/>
                </w:rPr>
                <w:t>194</w:t>
              </w:r>
            </w:hyperlink>
          </w:p>
        </w:tc>
      </w:tr>
      <w:tr>
        <w:trPr>
          <w:trHeight w:val="230"/>
        </w:trPr>
        <w:tc>
          <w:tcPr>
            <w:tcW w:w="10460" w:type="dxa"/>
            <w:vAlign w:val="bottom"/>
          </w:tcPr>
          <w:p>
            <w:pPr>
              <w:spacing w:after="0"/>
              <w:rPr>
                <w:rFonts w:ascii="Arial" w:cs="Arial" w:eastAsia="Arial" w:hAnsi="Arial"/>
                <w:sz w:val="18"/>
                <w:szCs w:val="18"/>
                <w:u w:val="single" w:color="auto"/>
                <w:color w:val="0000FF"/>
              </w:rPr>
            </w:pPr>
            <w:hyperlink w:anchor="page202">
              <w:r>
                <w:rPr>
                  <w:rFonts w:ascii="Arial" w:cs="Arial" w:eastAsia="Arial" w:hAnsi="Arial"/>
                  <w:sz w:val="18"/>
                  <w:szCs w:val="18"/>
                  <w:u w:val="single" w:color="auto"/>
                  <w:color w:val="0000FF"/>
                </w:rPr>
                <w:t>Description of Capital Stock</w:t>
              </w:r>
            </w:hyperlink>
          </w:p>
        </w:tc>
        <w:tc>
          <w:tcPr>
            <w:tcW w:w="760" w:type="dxa"/>
            <w:vAlign w:val="bottom"/>
          </w:tcPr>
          <w:p>
            <w:pPr>
              <w:jc w:val="center"/>
              <w:spacing w:after="0"/>
              <w:rPr>
                <w:rFonts w:ascii="Arial" w:cs="Arial" w:eastAsia="Arial" w:hAnsi="Arial"/>
                <w:sz w:val="18"/>
                <w:szCs w:val="18"/>
                <w:color w:val="auto"/>
                <w:w w:val="93"/>
              </w:rPr>
            </w:pPr>
            <w:hyperlink w:anchor="page202">
              <w:r>
                <w:rPr>
                  <w:rFonts w:ascii="Arial" w:cs="Arial" w:eastAsia="Arial" w:hAnsi="Arial"/>
                  <w:sz w:val="18"/>
                  <w:szCs w:val="18"/>
                  <w:color w:val="auto"/>
                  <w:w w:val="93"/>
                </w:rPr>
                <w:t>197</w:t>
              </w:r>
            </w:hyperlink>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211">
              <w:r>
                <w:rPr>
                  <w:rFonts w:ascii="Arial" w:cs="Arial" w:eastAsia="Arial" w:hAnsi="Arial"/>
                  <w:sz w:val="18"/>
                  <w:szCs w:val="18"/>
                  <w:u w:val="single" w:color="auto"/>
                  <w:color w:val="0000FF"/>
                </w:rPr>
                <w:t>Certain U.S. Federal Income and Estate Tax Consequences to Non-U.S. Holders</w:t>
              </w:r>
            </w:hyperlink>
          </w:p>
        </w:tc>
        <w:tc>
          <w:tcPr>
            <w:tcW w:w="760" w:type="dxa"/>
            <w:vAlign w:val="bottom"/>
          </w:tcPr>
          <w:p>
            <w:pPr>
              <w:jc w:val="center"/>
              <w:spacing w:after="0"/>
              <w:rPr>
                <w:rFonts w:ascii="Arial" w:cs="Arial" w:eastAsia="Arial" w:hAnsi="Arial"/>
                <w:sz w:val="18"/>
                <w:szCs w:val="18"/>
                <w:color w:val="auto"/>
                <w:w w:val="93"/>
              </w:rPr>
            </w:pPr>
            <w:hyperlink w:anchor="page211">
              <w:r>
                <w:rPr>
                  <w:rFonts w:ascii="Arial" w:cs="Arial" w:eastAsia="Arial" w:hAnsi="Arial"/>
                  <w:sz w:val="18"/>
                  <w:szCs w:val="18"/>
                  <w:color w:val="auto"/>
                  <w:w w:val="93"/>
                </w:rPr>
                <w:t>206</w:t>
              </w:r>
            </w:hyperlink>
          </w:p>
        </w:tc>
      </w:tr>
      <w:tr>
        <w:trPr>
          <w:trHeight w:val="230"/>
        </w:trPr>
        <w:tc>
          <w:tcPr>
            <w:tcW w:w="10460" w:type="dxa"/>
            <w:vAlign w:val="bottom"/>
          </w:tcPr>
          <w:p>
            <w:pPr>
              <w:spacing w:after="0"/>
              <w:rPr>
                <w:rFonts w:ascii="Arial" w:cs="Arial" w:eastAsia="Arial" w:hAnsi="Arial"/>
                <w:sz w:val="18"/>
                <w:szCs w:val="18"/>
                <w:u w:val="single" w:color="auto"/>
                <w:color w:val="0000FF"/>
              </w:rPr>
            </w:pPr>
            <w:hyperlink w:anchor="page214">
              <w:r>
                <w:rPr>
                  <w:rFonts w:ascii="Arial" w:cs="Arial" w:eastAsia="Arial" w:hAnsi="Arial"/>
                  <w:sz w:val="18"/>
                  <w:szCs w:val="18"/>
                  <w:u w:val="single" w:color="auto"/>
                  <w:color w:val="0000FF"/>
                </w:rPr>
                <w:t>Shares Eligible for Future Sale</w:t>
              </w:r>
            </w:hyperlink>
          </w:p>
        </w:tc>
        <w:tc>
          <w:tcPr>
            <w:tcW w:w="760" w:type="dxa"/>
            <w:vAlign w:val="bottom"/>
          </w:tcPr>
          <w:p>
            <w:pPr>
              <w:jc w:val="center"/>
              <w:spacing w:after="0"/>
              <w:rPr>
                <w:rFonts w:ascii="Arial" w:cs="Arial" w:eastAsia="Arial" w:hAnsi="Arial"/>
                <w:sz w:val="18"/>
                <w:szCs w:val="18"/>
                <w:color w:val="auto"/>
                <w:w w:val="93"/>
              </w:rPr>
            </w:pPr>
            <w:hyperlink w:anchor="page214">
              <w:r>
                <w:rPr>
                  <w:rFonts w:ascii="Arial" w:cs="Arial" w:eastAsia="Arial" w:hAnsi="Arial"/>
                  <w:sz w:val="18"/>
                  <w:szCs w:val="18"/>
                  <w:color w:val="auto"/>
                  <w:w w:val="93"/>
                </w:rPr>
                <w:t>209</w:t>
              </w:r>
            </w:hyperlink>
          </w:p>
        </w:tc>
      </w:tr>
      <w:tr>
        <w:trPr>
          <w:trHeight w:val="229"/>
        </w:trPr>
        <w:tc>
          <w:tcPr>
            <w:tcW w:w="10460" w:type="dxa"/>
            <w:vAlign w:val="bottom"/>
          </w:tcPr>
          <w:p>
            <w:pPr>
              <w:spacing w:after="0"/>
              <w:rPr>
                <w:rFonts w:ascii="Arial" w:cs="Arial" w:eastAsia="Arial" w:hAnsi="Arial"/>
                <w:sz w:val="18"/>
                <w:szCs w:val="18"/>
                <w:u w:val="single" w:color="auto"/>
                <w:color w:val="0000FF"/>
              </w:rPr>
            </w:pPr>
            <w:hyperlink w:anchor="page217">
              <w:r>
                <w:rPr>
                  <w:rFonts w:ascii="Arial" w:cs="Arial" w:eastAsia="Arial" w:hAnsi="Arial"/>
                  <w:sz w:val="18"/>
                  <w:szCs w:val="18"/>
                  <w:u w:val="single" w:color="auto"/>
                  <w:color w:val="0000FF"/>
                </w:rPr>
                <w:t>Underwriting</w:t>
              </w:r>
            </w:hyperlink>
          </w:p>
        </w:tc>
        <w:tc>
          <w:tcPr>
            <w:tcW w:w="760" w:type="dxa"/>
            <w:vAlign w:val="bottom"/>
          </w:tcPr>
          <w:p>
            <w:pPr>
              <w:jc w:val="center"/>
              <w:spacing w:after="0"/>
              <w:rPr>
                <w:rFonts w:ascii="Arial" w:cs="Arial" w:eastAsia="Arial" w:hAnsi="Arial"/>
                <w:sz w:val="18"/>
                <w:szCs w:val="18"/>
                <w:color w:val="auto"/>
                <w:w w:val="93"/>
              </w:rPr>
            </w:pPr>
            <w:hyperlink w:anchor="page217">
              <w:r>
                <w:rPr>
                  <w:rFonts w:ascii="Arial" w:cs="Arial" w:eastAsia="Arial" w:hAnsi="Arial"/>
                  <w:sz w:val="18"/>
                  <w:szCs w:val="18"/>
                  <w:color w:val="auto"/>
                  <w:w w:val="93"/>
                </w:rPr>
                <w:t>212</w:t>
              </w:r>
            </w:hyperlink>
          </w:p>
        </w:tc>
      </w:tr>
      <w:tr>
        <w:trPr>
          <w:trHeight w:val="230"/>
        </w:trPr>
        <w:tc>
          <w:tcPr>
            <w:tcW w:w="10460" w:type="dxa"/>
            <w:vAlign w:val="bottom"/>
          </w:tcPr>
          <w:p>
            <w:pPr>
              <w:spacing w:after="0"/>
              <w:rPr>
                <w:rFonts w:ascii="Arial" w:cs="Arial" w:eastAsia="Arial" w:hAnsi="Arial"/>
                <w:sz w:val="18"/>
                <w:szCs w:val="18"/>
                <w:u w:val="single" w:color="auto"/>
                <w:color w:val="0000FF"/>
              </w:rPr>
            </w:pPr>
            <w:hyperlink w:anchor="page225">
              <w:r>
                <w:rPr>
                  <w:rFonts w:ascii="Arial" w:cs="Arial" w:eastAsia="Arial" w:hAnsi="Arial"/>
                  <w:sz w:val="18"/>
                  <w:szCs w:val="18"/>
                  <w:u w:val="single" w:color="auto"/>
                  <w:color w:val="0000FF"/>
                </w:rPr>
                <w:t>Legal Matters</w:t>
              </w:r>
            </w:hyperlink>
          </w:p>
        </w:tc>
        <w:tc>
          <w:tcPr>
            <w:tcW w:w="760" w:type="dxa"/>
            <w:vAlign w:val="bottom"/>
          </w:tcPr>
          <w:p>
            <w:pPr>
              <w:jc w:val="center"/>
              <w:spacing w:after="0"/>
              <w:rPr>
                <w:rFonts w:ascii="Arial" w:cs="Arial" w:eastAsia="Arial" w:hAnsi="Arial"/>
                <w:sz w:val="18"/>
                <w:szCs w:val="18"/>
                <w:color w:val="auto"/>
                <w:w w:val="93"/>
              </w:rPr>
            </w:pPr>
            <w:hyperlink w:anchor="page225">
              <w:r>
                <w:rPr>
                  <w:rFonts w:ascii="Arial" w:cs="Arial" w:eastAsia="Arial" w:hAnsi="Arial"/>
                  <w:sz w:val="18"/>
                  <w:szCs w:val="18"/>
                  <w:color w:val="auto"/>
                  <w:w w:val="93"/>
                </w:rPr>
                <w:t>220</w:t>
              </w:r>
            </w:hyperlink>
          </w:p>
        </w:tc>
      </w:tr>
      <w:tr>
        <w:trPr>
          <w:trHeight w:val="230"/>
        </w:trPr>
        <w:tc>
          <w:tcPr>
            <w:tcW w:w="10460" w:type="dxa"/>
            <w:vAlign w:val="bottom"/>
          </w:tcPr>
          <w:p>
            <w:pPr>
              <w:spacing w:after="0"/>
              <w:rPr>
                <w:rFonts w:ascii="Arial" w:cs="Arial" w:eastAsia="Arial" w:hAnsi="Arial"/>
                <w:sz w:val="18"/>
                <w:szCs w:val="18"/>
                <w:u w:val="single" w:color="auto"/>
                <w:color w:val="0000FF"/>
              </w:rPr>
            </w:pPr>
            <w:hyperlink w:anchor="page226">
              <w:r>
                <w:rPr>
                  <w:rFonts w:ascii="Arial" w:cs="Arial" w:eastAsia="Arial" w:hAnsi="Arial"/>
                  <w:sz w:val="18"/>
                  <w:szCs w:val="18"/>
                  <w:u w:val="single" w:color="auto"/>
                  <w:color w:val="0000FF"/>
                </w:rPr>
                <w:t>Experts</w:t>
              </w:r>
            </w:hyperlink>
          </w:p>
        </w:tc>
        <w:tc>
          <w:tcPr>
            <w:tcW w:w="760" w:type="dxa"/>
            <w:vAlign w:val="bottom"/>
          </w:tcPr>
          <w:p>
            <w:pPr>
              <w:jc w:val="center"/>
              <w:spacing w:after="0"/>
              <w:rPr>
                <w:rFonts w:ascii="Arial" w:cs="Arial" w:eastAsia="Arial" w:hAnsi="Arial"/>
                <w:sz w:val="18"/>
                <w:szCs w:val="18"/>
                <w:color w:val="auto"/>
                <w:w w:val="93"/>
              </w:rPr>
            </w:pPr>
            <w:hyperlink w:anchor="page226">
              <w:r>
                <w:rPr>
                  <w:rFonts w:ascii="Arial" w:cs="Arial" w:eastAsia="Arial" w:hAnsi="Arial"/>
                  <w:sz w:val="18"/>
                  <w:szCs w:val="18"/>
                  <w:color w:val="auto"/>
                  <w:w w:val="93"/>
                </w:rPr>
                <w:t>220</w:t>
              </w:r>
            </w:hyperlink>
          </w:p>
        </w:tc>
      </w:tr>
      <w:tr>
        <w:trPr>
          <w:trHeight w:val="230"/>
        </w:trPr>
        <w:tc>
          <w:tcPr>
            <w:tcW w:w="10460" w:type="dxa"/>
            <w:vAlign w:val="bottom"/>
          </w:tcPr>
          <w:p>
            <w:pPr>
              <w:spacing w:after="0"/>
              <w:rPr>
                <w:rFonts w:ascii="Arial" w:cs="Arial" w:eastAsia="Arial" w:hAnsi="Arial"/>
                <w:sz w:val="18"/>
                <w:szCs w:val="18"/>
                <w:u w:val="single" w:color="auto"/>
                <w:color w:val="0000FF"/>
              </w:rPr>
            </w:pPr>
            <w:hyperlink w:anchor="page226">
              <w:r>
                <w:rPr>
                  <w:rFonts w:ascii="Arial" w:cs="Arial" w:eastAsia="Arial" w:hAnsi="Arial"/>
                  <w:sz w:val="18"/>
                  <w:szCs w:val="18"/>
                  <w:u w:val="single" w:color="auto"/>
                  <w:color w:val="0000FF"/>
                </w:rPr>
                <w:t>Where You Can Find More Information</w:t>
              </w:r>
            </w:hyperlink>
          </w:p>
        </w:tc>
        <w:tc>
          <w:tcPr>
            <w:tcW w:w="760" w:type="dxa"/>
            <w:vAlign w:val="bottom"/>
          </w:tcPr>
          <w:p>
            <w:pPr>
              <w:jc w:val="center"/>
              <w:spacing w:after="0"/>
              <w:rPr>
                <w:rFonts w:ascii="Arial" w:cs="Arial" w:eastAsia="Arial" w:hAnsi="Arial"/>
                <w:sz w:val="18"/>
                <w:szCs w:val="18"/>
                <w:color w:val="auto"/>
                <w:w w:val="93"/>
              </w:rPr>
            </w:pPr>
            <w:hyperlink w:anchor="page226">
              <w:r>
                <w:rPr>
                  <w:rFonts w:ascii="Arial" w:cs="Arial" w:eastAsia="Arial" w:hAnsi="Arial"/>
                  <w:sz w:val="18"/>
                  <w:szCs w:val="18"/>
                  <w:color w:val="auto"/>
                  <w:w w:val="93"/>
                </w:rPr>
                <w:t>220</w:t>
              </w:r>
            </w:hyperlink>
          </w:p>
        </w:tc>
      </w:tr>
      <w:tr>
        <w:trPr>
          <w:trHeight w:val="230"/>
        </w:trPr>
        <w:tc>
          <w:tcPr>
            <w:tcW w:w="10460" w:type="dxa"/>
            <w:vAlign w:val="bottom"/>
          </w:tcPr>
          <w:p>
            <w:pPr>
              <w:spacing w:after="0"/>
              <w:rPr>
                <w:rFonts w:ascii="Arial" w:cs="Arial" w:eastAsia="Arial" w:hAnsi="Arial"/>
                <w:sz w:val="18"/>
                <w:szCs w:val="18"/>
                <w:u w:val="single" w:color="auto"/>
                <w:color w:val="0000FF"/>
              </w:rPr>
            </w:pPr>
            <w:hyperlink w:anchor="page226">
              <w:r>
                <w:rPr>
                  <w:rFonts w:ascii="Arial" w:cs="Arial" w:eastAsia="Arial" w:hAnsi="Arial"/>
                  <w:sz w:val="18"/>
                  <w:szCs w:val="18"/>
                  <w:u w:val="single" w:color="auto"/>
                  <w:color w:val="0000FF"/>
                </w:rPr>
                <w:t>Index to Financial Statements</w:t>
              </w:r>
            </w:hyperlink>
          </w:p>
        </w:tc>
        <w:tc>
          <w:tcPr>
            <w:tcW w:w="760" w:type="dxa"/>
            <w:vAlign w:val="bottom"/>
          </w:tcPr>
          <w:p>
            <w:pPr>
              <w:jc w:val="center"/>
              <w:spacing w:after="0"/>
              <w:rPr>
                <w:rFonts w:ascii="Arial" w:cs="Arial" w:eastAsia="Arial" w:hAnsi="Arial"/>
                <w:sz w:val="18"/>
                <w:szCs w:val="18"/>
                <w:color w:val="auto"/>
                <w:w w:val="88"/>
              </w:rPr>
            </w:pPr>
            <w:hyperlink w:anchor="page226">
              <w:r>
                <w:rPr>
                  <w:rFonts w:ascii="Arial" w:cs="Arial" w:eastAsia="Arial" w:hAnsi="Arial"/>
                  <w:sz w:val="18"/>
                  <w:szCs w:val="18"/>
                  <w:color w:val="auto"/>
                  <w:w w:val="88"/>
                </w:rPr>
                <w:t>F-1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111125</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You should rely only on the information contained in this prospectus, any amendment or supplement to this prospectus, or any free writing prospectus we may authorize to be delivered or made available to you. This prospectus is an offer to sell only the shares offered hereby, but only under the circumstances and in jurisdictions where it is lawful to do so. Neither we, the selling stockholders, nor the underwriters have authorized anyone to provide you with information different from that contained in this prospectus, any amendment or supplement to this prospectus, or any free writing prospectus prepared by us or on our behalf. Neither we, the selling stockholders, nor the underwriters take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 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shares of our Class A common stock. Our business, financial condition, results of operations, and prospects may have changed since that date.</w:t>
      </w:r>
    </w:p>
    <w:p>
      <w:pPr>
        <w:spacing w:after="0" w:line="12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For Investors Outside the United States</w:t>
      </w:r>
      <w:r>
        <w:rPr>
          <w:rFonts w:ascii="Arial" w:cs="Arial" w:eastAsia="Arial" w:hAnsi="Arial"/>
          <w:sz w:val="16"/>
          <w:szCs w:val="16"/>
          <w:color w:val="auto"/>
        </w:rPr>
        <w:t>: The selling stockholders and the underwriters are offering to sell, and seeking offers to buy, shares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Class A common stock only in jurisdictions where offers and sales are permitted. Neither we, the selling stockholders,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1240"/>
          </w:cols>
          <w:pgMar w:left="320" w:top="121" w:right="33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prospectus includes certain historical combined and consolidated financial and other data for ZoomInfo OpCo.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our initial public offering of our Class A common stock (the “IPO”) on June 8, 2020, in which we issued and sold 51,175,000 shares of our Class A common stock at an initial public price of $21.00 per share.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through ZoomInfo HoldCo on its consolidated financial statements and record a non-controlling interest related to the OpCo Units and HoldCo Units held by our pre-IPO owners (as defined below) on its consolidated balance sheet and statement of operations.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periods prior to the Zoom Information Acquisition may not be comparable to those for the periods after the Zoom Information Acquisition.</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prospectus, unless otherwise noted or the context requires otherwise:</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“22C Capital” refers to investment funds associated with 22C Capital LLC and its predecessor.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“ACV” refers to annual contract value, or the total annualized value that a customer has agreed to pay for subscription services at any particular point in time under contract(s) that are or were enforceable at that point in time.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“Blocker Companies” refers to certain of our Pre-IPO OpCo Unitholders that are taxable as corporations for U.S. federal income tax purposes.</w:t>
      </w:r>
    </w:p>
    <w:p>
      <w:pPr>
        <w:spacing w:after="0" w:line="194" w:lineRule="exact"/>
        <w:rPr>
          <w:rFonts w:ascii="Arial" w:cs="Arial" w:eastAsia="Arial" w:hAnsi="Arial"/>
          <w:sz w:val="16"/>
          <w:szCs w:val="16"/>
          <w:color w:val="auto"/>
        </w:rPr>
      </w:pPr>
    </w:p>
    <w:p>
      <w:pPr>
        <w:jc w:val="both"/>
        <w:ind w:left="660" w:hanging="328"/>
        <w:spacing w:after="0" w:line="31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“CAC” refers to customer acquisition cost, or the cost of acquiring a new customer. We calculate CAC as (i) our adjusted sales and marketing expense, which excludes expenses that are non-cash or one-time in nature, including equity compensation costs, amortization related to acquired technology, and acquisition-related integration and compensation expenses, divided by (ii) the number of new customers added during the period.</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“Carlyle” refers to investment funds associated with The Carlyle Group.</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“Class P Units” refers to Class P Units (including, without limitation, any indirectly held Class P Units) of ZoomInfo OpCo. The Class P Units are “profits interests” having economic characteristics similar to stock options and have the right to share in any equity value of ZoomInfo OpCo above specified participation thresholds which are referred to as “strike prices”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21" w:right="339" w:bottom="1440" w:gutter="0" w:footer="0" w:header="0"/>
        </w:sectPr>
      </w:pPr>
    </w:p>
    <w:bookmarkStart w:id="4" w:name="page5"/>
    <w:bookmarkEnd w:id="4"/>
    <w:p>
      <w:pPr>
        <w:jc w:val="center"/>
        <w:ind w:right="-7"/>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Class P Unitholders” refers to certain pre-IPO owners who continue to hold Class P Units following the consummation of the Reorganization Transactions and the Offering Transactions.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“contact record event” refers to receipt of additional information or confirmatory evidence about a contact.</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“Datanyze” refers, collectively, to Datanyze, Inc. and Datanyze Rus, LLC.</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Units” refers to the portion of HoldCo Units into which certain existing Class P Units (including, without limitation, certain indirectly held Class P Units) were converted in the Reorganization Transactions.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 Tax Receivable Agreement” refers to the tax receivable agreement entered into with certain Pre-IPO OpCo Unitholders.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“Founders” refers to Henry Schuck, our Chief Executive Officer, and Kirk Brown.</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“HoldCo Units” refers to the class of units of ZoomInfo HoldCo created by the Reclassification. Each OpCo Unit and HoldCo Unit has equivalent value and exchange rights for Class A common stock, subject to applicable vesting.</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“HSKB” refers to HSKB Funds, LLC, a privately held limited liability company formed on February 9, 2016 for the purpose of issuing equity to certain persons who had performed and would continue to perform services for ZoomInfo OpCo.</w:t>
      </w:r>
    </w:p>
    <w:p>
      <w:pPr>
        <w:spacing w:after="0" w:line="116"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“LTIP Units” refers to a class of partnership units that are intended to qualify as “profit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w:t>
      </w:r>
    </w:p>
    <w:p>
      <w:pPr>
        <w:spacing w:after="0" w:line="133"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“LTV” refers to lifetime value, or the value that we expect to generate from a customer during the period that the customer continues to use our services. We calculate LTV as the product of (i) our average ACV per customer, multiplied by (ii) our adjusted gross margin, which excludes expenses that are non-cash or one-time in nature, including equity compensation costs, amortization related to acquired technology, and acquisition-related integration and compensation expenses, multiplied by (iii) the fraction that is one divided by the annual rate that customers cancel subscriptions, which is defined as the percentage of ACV for customers that cancel during the period divided by the ACV at the beginning of the period.</w:t>
      </w:r>
    </w:p>
    <w:p>
      <w:pPr>
        <w:spacing w:after="0" w:line="138"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“NeverBounce” refers to Metrics Delivered LLC.</w:t>
      </w:r>
    </w:p>
    <w:p>
      <w:pPr>
        <w:spacing w:after="0" w:line="171" w:lineRule="exact"/>
        <w:rPr>
          <w:rFonts w:ascii="Arial" w:cs="Arial" w:eastAsia="Arial" w:hAnsi="Arial"/>
          <w:sz w:val="18"/>
          <w:szCs w:val="18"/>
          <w:color w:val="auto"/>
        </w:rPr>
      </w:pPr>
    </w:p>
    <w:p>
      <w:pPr>
        <w:ind w:left="328" w:right="20" w:hanging="328"/>
        <w:spacing w:after="0" w:line="308"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“OpCo Units” refers to the class of units of ZoomInfo OpCo created by the Reclassification, and does not include Class P Units. Each OpCo Unit and HoldCo Unit has equivalent value and exchange rights for Class A common stock, subject to applicable vesting.</w:t>
      </w:r>
    </w:p>
    <w:p>
      <w:pPr>
        <w:spacing w:after="0" w:line="92"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“paid users” refers to employees or other affiliated persons of a customer that have been granted access to our system under the terms of a contract with a customer.</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“Pre-IPO Blocker Holders” refers to the pre-IPO owners that held their interests in us through the Blocker Companies immediately prior to the consummation of the IPO.</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“Pre-IPO HoldCo Unitholders” refers to the pre-IPO owners that held HoldCo Units immediately prior to the consummation of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08"/>
          </w:cols>
          <w:pgMar w:left="652" w:top="121" w:right="339" w:bottom="1440" w:gutter="0" w:footer="0" w:header="0"/>
        </w:sectPr>
      </w:pPr>
    </w:p>
    <w:bookmarkStart w:id="5" w:name="page6"/>
    <w:bookmarkEnd w:id="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“Pre-IPO OpCo Unitholders” refers to the pre-IPO owners that held OpCo Units immediately prior to the consummation of the IPO.</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“pre-IPO owners” refers, collectively, to the Sponsors, the Founders, and the management and other equity holders who were the owners of ZoomInfo OpCo immediately prior to the Transactions (as defined herein).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“RainKing” refers to Rain King Software,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Tax Receivable Agreement” refers to the tax receivable agreement entered into with the Pre-IPO Blocker Holders.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“Series A Preferred Units” refers to the Series A preferred units of ZoomInfo OpCo outstanding immediately prior to the consummation of the IPO and the use of proceeds therefrom.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“Sponsors” refers, collectively, to TA Associates, Carlyle, and 22C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 Associates” refers to investment funds associated with TA Associates.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receivable agreements” refers, collectively, to the Exchange Tax Receivable Agreement and the Reorganization Tax Receivable Agreement.</w:t>
      </w:r>
    </w:p>
    <w:p>
      <w:pPr>
        <w:spacing w:after="0" w:line="194" w:lineRule="exact"/>
        <w:rPr>
          <w:rFonts w:ascii="Arial" w:cs="Arial" w:eastAsia="Arial" w:hAnsi="Arial"/>
          <w:sz w:val="16"/>
          <w:szCs w:val="16"/>
          <w:color w:val="auto"/>
        </w:rPr>
      </w:pPr>
    </w:p>
    <w:p>
      <w:pPr>
        <w:jc w:val="both"/>
        <w:ind w:left="66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addressable market” or “TAM” refers to the revenue opportunity that we believe is available to go-to-market intelligence solutions, such as ours. We calculate our TAM as the sum of (i) the product of (a) the number of specifically identified companies in our system with 10 to 99 employees and who sell to other businesses, multiplied by (b) the average ACV that we generate from companies with 10 to 99 employees, plus (ii) the product of (a) the number of specifically identified companies in our system with 100 to 999 employees and who sell to other businesses, multiplied by (b) the average ACV that we generate from companies with 100 to 999 employees, plus (iii) the product of (a) the number of specifically identified companies in our system with 1,000 or more employees, multiplied by (b) the average ACV that we generated from the top quartile of customers with 1,000 or more employees.</w:t>
      </w:r>
    </w:p>
    <w:p>
      <w:pPr>
        <w:spacing w:after="0" w:line="14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“ZoomInfo,” the “Company,” “we,” “us,” and “our” refer, (1) prior to the consummation of the Reorganization Transactions and the Offering Transactions, to ZoomInfo OpCo and its consolidated subsidiaries and, (2) after the consummation of the Reorganization Transactions and the Offering Transactions, to ZoomInfo Technologies Inc. and its consolidated subsidiaries.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“ZoomInfo HoldCo” refers to ZoomInfo Intermediate Holdings LLC, a Delaware limited liability company, and a direct subsidiary of ZoomInfo Technologies Inc. following the Reorganization Transactions.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“ZoomInfo OpCo” refers to ZoomInfo Holdings LLC (formerly known as DiscoverOrg Holdings, LLC), a Delaware limited liability company, and a direct subsidiary of ZoomInfo HoldCo and indirect subsidiary of ZoomInfo Technologies Inc. following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70485</wp:posOffset>
            </wp:positionV>
            <wp:extent cx="14147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indicated otherwise, the information included in this prospectus assumes no exercise by the underwriters of their option to purchase up to an</w:t>
      </w:r>
    </w:p>
    <w:p>
      <w:pPr>
        <w:spacing w:after="0" w:line="46"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additional</w:t>
      </w:r>
      <w:r>
        <w:rPr>
          <w:sz w:val="20"/>
          <w:szCs w:val="20"/>
          <w:color w:val="auto"/>
        </w:rPr>
        <w:tab/>
      </w:r>
      <w:r>
        <w:rPr>
          <w:rFonts w:ascii="Arial" w:cs="Arial" w:eastAsia="Arial" w:hAnsi="Arial"/>
          <w:sz w:val="18"/>
          <w:szCs w:val="18"/>
          <w:color w:val="auto"/>
        </w:rPr>
        <w:t>shares of Class A common stock from the selling stockholders solely to cover over-allotments.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21" w:right="339" w:bottom="1440" w:gutter="0" w:footer="0" w:header="0"/>
        </w:sectPr>
      </w:pPr>
    </w:p>
    <w:bookmarkStart w:id="6" w:name="page7"/>
    <w:bookmarkEnd w:id="6"/>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4693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469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shares of our Class A common stock. Before you decide to invest in shares of our Class A common stock, you should read this entire prospectus carefully, including the sections entitled “Risk Factors” and “Management’s Discussion and Analysis of Financial Condition and Results of Operations” and our consolidated financial statements and the related notes thereto included elsewhere in this prospectus. This summary contains forward-looking statements that involve risks and uncertainties.</w:t>
      </w:r>
    </w:p>
    <w:p>
      <w:pPr>
        <w:spacing w:after="0" w:line="11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Today, approximately 202,000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go-to-market intelligence platform delivers comprehensive and high-quality intelligence and analytics on approximately 14 million companies, including advanced attributes, technologies used by companies, intent signals, and decision-maker contact information. Our intelligence is kept up to date in real time.</w:t>
      </w:r>
    </w:p>
    <w:p>
      <w:pPr>
        <w:spacing w:after="0" w:line="10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By leveraging artificial intelligence (“AI”) and machine learning techniques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840" w:top="121" w:right="839" w:bottom="1440" w:gutter="0" w:footer="0" w:header="0"/>
        </w:sectPr>
      </w:pPr>
    </w:p>
    <w:bookmarkStart w:id="7" w:name="page8"/>
    <w:bookmarkEnd w:id="7"/>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282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28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software, insights, and data enable over 15,000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 such as prioritizing accounts, automating workflows and campaigns, crafting nuanced pitches, and monitoring deal momentum. Our robust suite of software and insights supports every step along that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Independent of size or industry, we believe our platform can make almost any sales and marketing team more effective and more efficient.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broad applicability drives our TAM of approximately $24 billion, according to our estimates. Using the ZoomInfo platform, we have identified over 740,000 global businesses that sell to other businesses and have more than ten employees, which represent our potential customers. Our current customer base of over 15,000 implies penetration of approximately 2%.</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March 31, 2020, our median new business sales cycle from opportunity creation to close was less than 30 days, and our average LTV compared to our average CAC was over 10x. Our focus on customer adoption, success, and expansion helps us to deliver continued value and creates opportunities for increased usage. Today, over 630 of our customers spend more than $100,000 in ACV, with 15 customers spending over $1,000,000 in ACV.</w:t>
      </w:r>
    </w:p>
    <w:p>
      <w:pPr>
        <w:spacing w:after="0" w:line="12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$54.6</w:t>
      </w:r>
    </w:p>
    <w:p>
      <w:pPr>
        <w:sectPr>
          <w:pgSz w:w="11900" w:h="16838" w:orient="portrait"/>
          <w:cols w:equalWidth="0" w:num="1">
            <w:col w:w="10220"/>
          </w:cols>
          <w:pgMar w:left="840" w:top="121"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220"/>
          </w:cols>
          <w:pgMar w:left="840" w:top="121" w:right="839" w:bottom="1440" w:gutter="0" w:footer="0" w:header="0"/>
          <w:type w:val="continuous"/>
        </w:sectPr>
      </w:pPr>
    </w:p>
    <w:bookmarkStart w:id="8" w:name="page9"/>
    <w:bookmarkEnd w:id="8"/>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230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million and $102.2 million for the three months ended March 31, 2019 and March 31, 2020, respectively. We and Pre-Acquisition ZI generated net income (loss) of $(28.6) million and $(27.5) million in 2018, respectively, and $(78.0) million in 2019 and $0.8 million for the one month ended January 31, 2019, respectively. We generated net income (loss) of $(40.2) million and $(5.9) million for the three months ended March 31, 2019 and March 31, 2020, respectively. We generated Adjusted Operating Income of $83.7 million and $167.1 million in 2018 and 2019, respectively. We generated Adjusted Operating Income of $31.7 million and $49.1 million for the three months ended March 31, 2019 and March 31, 2020, respectively.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Background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is Fundamental to Every Business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every company, sales and marketing is a fundamental function that defines its success. As a result, businesses typically spend significantly on sales and marketing activities. For example, Forbes Global 2000 companies collectively spent over $2 trillion on sales and marketing activities alone in 2018 according to Capital IQ.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Business-to-Business (“B2B”) Sales and Marketing has Changed</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Prior to the advent of sales and marketing technologies, businesses that sold to other businesses operated in an analog world, relying on field sales representatives to gather customer information and navigate sales processes. This process was manual, expensive, and inefficient. The data gathered was limited in depth, breadth, and accuracy, and began decaying as soon as it was captured. To address these problems, businesses invested in new technologies like customer relationship management (“CRM”) to digitally transform the way they sell. The CRM market grew from $12 billion in 2009 to $42 billion in 2018, representing a nearly 250% increase, according to a 2019 Global Industry Analysts, Inc. report. CRM systems were adopted primarily to manage the sales process, while marketing automation systems and new forms of customer engagement were developed to automate different go-to-market tasks. 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is Still Inefficient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70" w:lineRule="exact"/>
        <w:rPr>
          <w:sz w:val="20"/>
          <w:szCs w:val="20"/>
          <w:color w:val="auto"/>
        </w:rPr>
      </w:pPr>
    </w:p>
    <w:p>
      <w:pPr>
        <w:ind w:left="640" w:right="20" w:hanging="324"/>
        <w:spacing w:after="0" w:line="277"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It’s hard to find and engage with decision makers. </w:t>
      </w:r>
      <w:r>
        <w:rPr>
          <w:rFonts w:ascii="Arial" w:cs="Arial" w:eastAsia="Arial" w:hAnsi="Arial"/>
          <w:sz w:val="18"/>
          <w:szCs w:val="18"/>
          <w:color w:val="auto"/>
        </w:rPr>
        <w:t>Inaccurate or missing contact information plagues efforts to engage with a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of targets quickly and efficiently.</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It’s hard to know when to engage. </w:t>
      </w:r>
      <w:r>
        <w:rPr>
          <w:rFonts w:ascii="Arial" w:cs="Arial" w:eastAsia="Arial" w:hAnsi="Arial"/>
          <w:sz w:val="18"/>
          <w:szCs w:val="18"/>
          <w:color w:val="auto"/>
        </w:rPr>
        <w:t>Sales and marketing professionals need to manually gather information across various sources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when a potential customer intends to make a purchase.</w:t>
      </w:r>
    </w:p>
    <w:p>
      <w:pPr>
        <w:spacing w:after="0" w:line="116" w:lineRule="exact"/>
        <w:rPr>
          <w:rFonts w:ascii="Arial" w:cs="Arial" w:eastAsia="Arial" w:hAnsi="Arial"/>
          <w:sz w:val="18"/>
          <w:szCs w:val="18"/>
          <w:color w:val="auto"/>
        </w:rPr>
      </w:pPr>
    </w:p>
    <w:p>
      <w:pPr>
        <w:ind w:left="640" w:hanging="324"/>
        <w:spacing w:after="0" w:line="277"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data-driven way to prioritize targets. </w:t>
      </w:r>
      <w:r>
        <w:rPr>
          <w:rFonts w:ascii="Arial" w:cs="Arial" w:eastAsia="Arial" w:hAnsi="Arial"/>
          <w:sz w:val="18"/>
          <w:szCs w:val="18"/>
          <w:color w:val="auto"/>
        </w:rPr>
        <w:t>Prioritization decisions for sales and marketing resources are often made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intuition, random knowledge gathering, or incomplete and inaccurate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Need for a Comprehensive Go-to-Market Intelligence Solution</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systems—the systems nearly every company uses to manage its sales and marketing processes.</w:t>
      </w:r>
    </w:p>
    <w:p>
      <w:pPr>
        <w:spacing w:after="0" w:line="10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Today, point solutions exist to aid in go-to-market intelligence efforts, but they only address a fraction of the 360-degree view of the customer, and often lack the accuracy required to be effective. According to a Forrester report we commissioned, only 1.2% of companies have mature B2B intelligence practices and technology.</w:t>
      </w:r>
    </w:p>
    <w:p>
      <w:pPr>
        <w:sectPr>
          <w:pgSz w:w="11900" w:h="16838" w:orient="portrait"/>
          <w:cols w:equalWidth="0" w:num="1">
            <w:col w:w="10220"/>
          </w:cols>
          <w:pgMar w:left="840" w:top="121"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220"/>
          </w:cols>
          <w:pgMar w:left="840" w:top="121" w:right="839" w:bottom="1440" w:gutter="0" w:footer="0" w:header="0"/>
          <w:type w:val="continuous"/>
        </w:sectPr>
      </w:pPr>
    </w:p>
    <w:bookmarkStart w:id="9" w:name="page10"/>
    <w:bookmarkEnd w:id="9"/>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265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Companies that have implemented some B2B intelligence practices and technology have realized 35% more leads and 45% higher-quality leads, leading to higher revenue and faster growth.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ZoomInfo Platform</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cloud-based go-to-market intelligence platform give sales and marketing professionals highly accurate and comprehensive information and insights on the organizations and professionals they target.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provide a comprehensive 360-degree view on approximately 14 million companies and over 120 million professionals. We combine this with deep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 Our intelligence is kept up to date in real time. This enables us to provide our customers with a contractual guarantee that at least 95% of the employment information they access will be current.</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Our Data Engine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Machine Learning and Artificial Intelligence Technologies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able to deliver high-quality intelligence at scale by leveraging an AI- and ML-powered engine that gathers data from millions of sources and standardizes, matches to entities, verifies, cleans, and applies the processed data to companies and people. To help train our AI and ML technologies and augment our contributory network, we have a team of 300 research analysts with deep expertise in cleaning B2B data.</w:t>
      </w:r>
    </w:p>
    <w:p>
      <w:pPr>
        <w:spacing w:after="0" w:line="12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Our Data Sources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a number of data sources, including proprietary sources, that enrich our platform:</w:t>
      </w:r>
    </w:p>
    <w:p>
      <w:pPr>
        <w:spacing w:after="0" w:line="171" w:lineRule="exact"/>
        <w:rPr>
          <w:sz w:val="20"/>
          <w:szCs w:val="20"/>
          <w:color w:val="auto"/>
        </w:rPr>
      </w:pPr>
    </w:p>
    <w:p>
      <w:pPr>
        <w:ind w:left="640" w:hanging="324"/>
        <w:spacing w:after="0" w:line="27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Contributory Network. </w:t>
      </w:r>
      <w:r>
        <w:rPr>
          <w:rFonts w:ascii="Arial" w:cs="Arial" w:eastAsia="Arial" w:hAnsi="Arial"/>
          <w:sz w:val="18"/>
          <w:szCs w:val="18"/>
          <w:color w:val="auto"/>
        </w:rPr>
        <w:t>Our free users and many of our paying customers contribute data that enhances our platform.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contributory network captures data on approximately 50 million contact record events daily.</w:t>
      </w:r>
    </w:p>
    <w:p>
      <w:pPr>
        <w:spacing w:after="0" w:line="116" w:lineRule="exact"/>
        <w:rPr>
          <w:rFonts w:ascii="Arial" w:cs="Arial" w:eastAsia="Arial" w:hAnsi="Arial"/>
          <w:sz w:val="18"/>
          <w:szCs w:val="18"/>
          <w:color w:val="auto"/>
        </w:rPr>
      </w:pPr>
    </w:p>
    <w:p>
      <w:pPr>
        <w:jc w:val="both"/>
        <w:ind w:left="640" w:hanging="324"/>
        <w:spacing w:after="0" w:line="26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Unstructured Public Information. </w:t>
      </w:r>
      <w:r>
        <w:rPr>
          <w:rFonts w:ascii="Arial" w:cs="Arial" w:eastAsia="Arial" w:hAnsi="Arial"/>
          <w:sz w:val="18"/>
          <w:szCs w:val="18"/>
          <w:color w:val="auto"/>
        </w:rPr>
        <w:t>Our patented and proprietary technologies extract and parse unstructured information found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webpages, newsfeeds, blogs, and other public sources, and then match that information with entities that we have previously identified.</w:t>
      </w:r>
    </w:p>
    <w:p>
      <w:pPr>
        <w:spacing w:after="0" w:line="129" w:lineRule="exact"/>
        <w:rPr>
          <w:rFonts w:ascii="Arial" w:cs="Arial" w:eastAsia="Arial" w:hAnsi="Arial"/>
          <w:sz w:val="18"/>
          <w:szCs w:val="18"/>
          <w:color w:val="auto"/>
        </w:rPr>
      </w:pPr>
    </w:p>
    <w:p>
      <w:pPr>
        <w:ind w:left="640" w:hanging="324"/>
        <w:spacing w:after="0" w:line="27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Training Lab. </w:t>
      </w:r>
      <w:r>
        <w:rPr>
          <w:rFonts w:ascii="Arial" w:cs="Arial" w:eastAsia="Arial" w:hAnsi="Arial"/>
          <w:sz w:val="18"/>
          <w:szCs w:val="18"/>
          <w:color w:val="auto"/>
        </w:rPr>
        <w:t>We have developed hundreds of processes, largely automated, to gather information from sources, such as PBX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directories, website traffic and source code, and proprietary surveys.</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Generally Available Information. </w:t>
      </w:r>
      <w:r>
        <w:rPr>
          <w:rFonts w:ascii="Arial" w:cs="Arial" w:eastAsia="Arial" w:hAnsi="Arial"/>
          <w:sz w:val="18"/>
          <w:szCs w:val="18"/>
          <w:color w:val="auto"/>
        </w:rPr>
        <w:t>Our technology adds value to public information and a limited amount of purchased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by combining them with our proprietary insights.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Benefits of Our Platform</w:t>
      </w:r>
    </w:p>
    <w:p>
      <w:pPr>
        <w:spacing w:after="0" w:line="175" w:lineRule="exact"/>
        <w:rPr>
          <w:sz w:val="20"/>
          <w:szCs w:val="20"/>
          <w:color w:val="auto"/>
        </w:rPr>
      </w:pPr>
    </w:p>
    <w:p>
      <w:pPr>
        <w:ind w:left="640" w:right="20" w:hanging="324"/>
        <w:spacing w:after="0" w:line="27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and Measurable Revenue Improvement. </w:t>
      </w:r>
      <w:r>
        <w:rPr>
          <w:rFonts w:ascii="Arial" w:cs="Arial" w:eastAsia="Arial" w:hAnsi="Arial"/>
          <w:sz w:val="18"/>
          <w:szCs w:val="18"/>
          <w:color w:val="auto"/>
        </w:rPr>
        <w:t>Our platform increases revenue for our customers who can easily measure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because we integrate with the systems that they use to attribute revenue.</w:t>
      </w:r>
    </w:p>
    <w:p>
      <w:pPr>
        <w:spacing w:after="0" w:line="116" w:lineRule="exact"/>
        <w:rPr>
          <w:rFonts w:ascii="Arial" w:cs="Arial" w:eastAsia="Arial" w:hAnsi="Arial"/>
          <w:sz w:val="18"/>
          <w:szCs w:val="18"/>
          <w:color w:val="auto"/>
        </w:rPr>
      </w:pPr>
    </w:p>
    <w:p>
      <w:pPr>
        <w:jc w:val="both"/>
        <w:ind w:left="640" w:hanging="324"/>
        <w:spacing w:after="0" w:line="311" w:lineRule="auto"/>
        <w:tabs>
          <w:tab w:leader="none" w:pos="63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Unmatched Accuracy, Depth, and Coverage of Data. </w:t>
      </w:r>
      <w:r>
        <w:rPr>
          <w:rFonts w:ascii="Arial" w:cs="Arial" w:eastAsia="Arial" w:hAnsi="Arial"/>
          <w:sz w:val="16"/>
          <w:szCs w:val="16"/>
          <w:color w:val="auto"/>
        </w:rPr>
        <w:t>We are able to provide a guarantee of 95%+ accuracy as a result of our focus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quality, coupled with proprietary methods to extract, parse, match, and clean data. We do not believe that any other solution provides the depth and breadth of data that we provide on approximately 14 million companies and over 120 million professionals.</w:t>
      </w:r>
    </w:p>
    <w:p>
      <w:pPr>
        <w:spacing w:after="0" w:line="94" w:lineRule="exact"/>
        <w:rPr>
          <w:rFonts w:ascii="Arial" w:cs="Arial" w:eastAsia="Arial" w:hAnsi="Arial"/>
          <w:sz w:val="16"/>
          <w:szCs w:val="16"/>
          <w:color w:val="auto"/>
        </w:rPr>
      </w:pPr>
    </w:p>
    <w:p>
      <w:pPr>
        <w:ind w:left="640" w:hanging="324"/>
        <w:spacing w:after="0" w:line="27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Unique Data Points Drive Valuable Insights. </w:t>
      </w:r>
      <w:r>
        <w:rPr>
          <w:rFonts w:ascii="Arial" w:cs="Arial" w:eastAsia="Arial" w:hAnsi="Arial"/>
          <w:sz w:val="18"/>
          <w:szCs w:val="18"/>
          <w:color w:val="auto"/>
        </w:rPr>
        <w:t>We integrate unique data points that are proprietary to ZoomInfo with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to enrich their information and develop unique insights.</w:t>
      </w:r>
    </w:p>
    <w:p>
      <w:pPr>
        <w:sectPr>
          <w:pgSz w:w="11900" w:h="16838" w:orient="portrait"/>
          <w:cols w:equalWidth="0" w:num="1">
            <w:col w:w="10220"/>
          </w:cols>
          <w:pgMar w:left="840" w:top="121"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220"/>
          </w:cols>
          <w:pgMar w:left="840" w:top="121" w:right="839" w:bottom="1440" w:gutter="0" w:footer="0" w:header="0"/>
          <w:type w:val="continuous"/>
        </w:sectPr>
      </w:pPr>
    </w:p>
    <w:bookmarkStart w:id="10" w:name="page11"/>
    <w:bookmarkEnd w:id="10"/>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333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640" w:hanging="324"/>
        <w:spacing w:after="0" w:line="26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Integrated and Automated Platform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insights are available on our cloud-based platform and can also be delivered directly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customers’ workflows and supporting infrastructure, including Salesforce, Marketo, HubSpot, Microsoft Dynamics, Oracle Sales Cloud, and other platforms. The vast majority of our customers integrate ZoomInfo with their most-used CRM or sales &amp; marketing automation system.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ind w:left="640" w:hanging="324"/>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Leader with a Comprehensive Go-to-Market Intelligence Platform. </w:t>
      </w:r>
      <w:r>
        <w:rPr>
          <w:rFonts w:ascii="Arial" w:cs="Arial" w:eastAsia="Arial" w:hAnsi="Arial"/>
          <w:sz w:val="18"/>
          <w:szCs w:val="18"/>
          <w:color w:val="auto"/>
        </w:rPr>
        <w:t>We provide the most accurate and comprehensive go-to-market intelligence platform available.</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Finely Tuned Go-to-Market Model. </w:t>
      </w:r>
      <w:r>
        <w:rPr>
          <w:rFonts w:ascii="Arial" w:cs="Arial" w:eastAsia="Arial" w:hAnsi="Arial"/>
          <w:sz w:val="18"/>
          <w:szCs w:val="18"/>
          <w:color w:val="auto"/>
        </w:rPr>
        <w:t>We utilize the ZoomInfo platform to power our efficient go-to-market motion. For the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2020, our average LTV to average CAC was over 10x.</w:t>
      </w:r>
    </w:p>
    <w:p>
      <w:pPr>
        <w:spacing w:after="0" w:line="116" w:lineRule="exact"/>
        <w:rPr>
          <w:rFonts w:ascii="Arial" w:cs="Arial" w:eastAsia="Arial" w:hAnsi="Arial"/>
          <w:sz w:val="18"/>
          <w:szCs w:val="18"/>
          <w:color w:val="auto"/>
        </w:rPr>
      </w:pPr>
    </w:p>
    <w:p>
      <w:pPr>
        <w:ind w:left="640" w:hanging="324"/>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High-Velocity Software Development. </w:t>
      </w:r>
      <w:r>
        <w:rPr>
          <w:rFonts w:ascii="Arial" w:cs="Arial" w:eastAsia="Arial" w:hAnsi="Arial"/>
          <w:sz w:val="18"/>
          <w:szCs w:val="18"/>
          <w:color w:val="auto"/>
        </w:rPr>
        <w:t>We foster an innovative, fast-paced engineering culture that enabled the release of 112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features and services in 2019.</w:t>
      </w:r>
    </w:p>
    <w:p>
      <w:pPr>
        <w:spacing w:after="0" w:line="116" w:lineRule="exact"/>
        <w:rPr>
          <w:rFonts w:ascii="Arial" w:cs="Arial" w:eastAsia="Arial" w:hAnsi="Arial"/>
          <w:sz w:val="18"/>
          <w:szCs w:val="18"/>
          <w:color w:val="auto"/>
        </w:rPr>
      </w:pPr>
    </w:p>
    <w:p>
      <w:pPr>
        <w:jc w:val="both"/>
        <w:ind w:left="640" w:right="20" w:hanging="324"/>
        <w:spacing w:after="0" w:line="263"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Enthusiasm Driven by Our Base of “Fanatic Users.” </w:t>
      </w:r>
      <w:r>
        <w:rPr>
          <w:rFonts w:ascii="Arial" w:cs="Arial" w:eastAsia="Arial" w:hAnsi="Arial"/>
          <w:sz w:val="18"/>
          <w:szCs w:val="18"/>
          <w:color w:val="auto"/>
        </w:rPr>
        <w:t>We have approximately 82,000 “Fanatic Users,” which we define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users with over 100 activities, such as searches, exports, record views, and list match requests, among others, on the platform per month. We believe our Fanatic Users drive viral adoption of our platform.</w:t>
      </w:r>
    </w:p>
    <w:p>
      <w:pPr>
        <w:spacing w:after="0" w:line="129" w:lineRule="exact"/>
        <w:rPr>
          <w:rFonts w:ascii="Arial" w:cs="Arial" w:eastAsia="Arial" w:hAnsi="Arial"/>
          <w:sz w:val="18"/>
          <w:szCs w:val="18"/>
          <w:color w:val="auto"/>
        </w:rPr>
      </w:pPr>
    </w:p>
    <w:p>
      <w:pPr>
        <w:ind w:left="640" w:right="20" w:hanging="324"/>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and Significant Network Effects. </w:t>
      </w:r>
      <w:r>
        <w:rPr>
          <w:rFonts w:ascii="Arial" w:cs="Arial" w:eastAsia="Arial" w:hAnsi="Arial"/>
          <w:sz w:val="18"/>
          <w:szCs w:val="18"/>
          <w:color w:val="auto"/>
        </w:rPr>
        <w:t>As our user base grows, so does the data we receive, which enables us to provide greater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to our customers.</w:t>
      </w:r>
    </w:p>
    <w:p>
      <w:pPr>
        <w:spacing w:after="0" w:line="116" w:lineRule="exact"/>
        <w:rPr>
          <w:rFonts w:ascii="Arial" w:cs="Arial" w:eastAsia="Arial" w:hAnsi="Arial"/>
          <w:sz w:val="18"/>
          <w:szCs w:val="18"/>
          <w:color w:val="auto"/>
        </w:rPr>
      </w:pPr>
    </w:p>
    <w:p>
      <w:pPr>
        <w:jc w:val="both"/>
        <w:ind w:left="640" w:hanging="324"/>
        <w:spacing w:after="0" w:line="263"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Founder-Led Management Team. </w:t>
      </w:r>
      <w:r>
        <w:rPr>
          <w:rFonts w:ascii="Arial" w:cs="Arial" w:eastAsia="Arial" w:hAnsi="Arial"/>
          <w:sz w:val="18"/>
          <w:szCs w:val="18"/>
          <w:color w:val="auto"/>
        </w:rPr>
        <w:t>Our highly talented, customer-centric senior leadership, led by our co-founder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CEO, Henry Schuck, enables us to rapidly develop new products, move more quickly than our competition, and build our fast-paced, execution-oriented culture.</w:t>
      </w:r>
    </w:p>
    <w:p>
      <w:pPr>
        <w:spacing w:after="0" w:line="12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estimate the TAM for our platform to be approximately $24 billion, based on data as of March 31, 2020.</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For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 The aggregate calculated value represents our estimated TAM. Data for numbers of companies by employee count is from our ZoomInfo platform that we have identified as relevant prospects for our platform.</w:t>
      </w:r>
    </w:p>
    <w:p>
      <w:pPr>
        <w:spacing w:after="0" w:line="108" w:lineRule="exact"/>
        <w:rPr>
          <w:sz w:val="20"/>
          <w:szCs w:val="20"/>
          <w:color w:val="auto"/>
        </w:rPr>
      </w:pPr>
    </w:p>
    <w:p>
      <w:pPr>
        <w:jc w:val="right"/>
        <w:ind w:right="4280"/>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jc w:val="right"/>
        <w:ind w:right="4240"/>
        <w:spacing w:after="0"/>
        <w:rPr>
          <w:sz w:val="20"/>
          <w:szCs w:val="20"/>
          <w:color w:val="auto"/>
        </w:rPr>
      </w:pPr>
      <w:r>
        <w:rPr>
          <w:rFonts w:ascii="Arial" w:cs="Arial" w:eastAsia="Arial" w:hAnsi="Arial"/>
          <w:sz w:val="17"/>
          <w:szCs w:val="17"/>
          <w:color w:val="auto"/>
        </w:rPr>
        <w:t>We intend to drive the growth of our business through the following strategies:</w:t>
      </w:r>
    </w:p>
    <w:p>
      <w:pPr>
        <w:spacing w:after="0" w:line="183" w:lineRule="exact"/>
        <w:rPr>
          <w:sz w:val="20"/>
          <w:szCs w:val="20"/>
          <w:color w:val="auto"/>
        </w:rPr>
      </w:pPr>
    </w:p>
    <w:p>
      <w:pPr>
        <w:ind w:left="640" w:hanging="324"/>
        <w:spacing w:after="0"/>
        <w:tabs>
          <w:tab w:leader="none" w:pos="6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Continue to Acquire New Customers</w:t>
      </w:r>
    </w:p>
    <w:p>
      <w:pPr>
        <w:spacing w:after="0" w:line="171" w:lineRule="exact"/>
        <w:rPr>
          <w:rFonts w:ascii="Arial" w:cs="Arial" w:eastAsia="Arial" w:hAnsi="Arial"/>
          <w:sz w:val="18"/>
          <w:szCs w:val="18"/>
          <w:b w:val="1"/>
          <w:bCs w:val="1"/>
          <w:i w:val="1"/>
          <w:iCs w:val="1"/>
          <w:color w:val="auto"/>
        </w:rPr>
      </w:pPr>
    </w:p>
    <w:p>
      <w:pPr>
        <w:ind w:left="640" w:hanging="324"/>
        <w:spacing w:after="0"/>
        <w:tabs>
          <w:tab w:leader="none" w:pos="6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Deliver Additional High-Value Solutions to Our Existing Customers</w:t>
      </w:r>
    </w:p>
    <w:p>
      <w:pPr>
        <w:spacing w:after="0" w:line="171" w:lineRule="exact"/>
        <w:rPr>
          <w:rFonts w:ascii="Arial" w:cs="Arial" w:eastAsia="Arial" w:hAnsi="Arial"/>
          <w:sz w:val="18"/>
          <w:szCs w:val="18"/>
          <w:b w:val="1"/>
          <w:bCs w:val="1"/>
          <w:i w:val="1"/>
          <w:iCs w:val="1"/>
          <w:color w:val="auto"/>
        </w:rPr>
      </w:pPr>
    </w:p>
    <w:p>
      <w:pPr>
        <w:ind w:left="640" w:hanging="324"/>
        <w:spacing w:after="0"/>
        <w:tabs>
          <w:tab w:leader="none" w:pos="6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Drive Incremental Penetration Within Enterprises</w:t>
      </w:r>
    </w:p>
    <w:p>
      <w:pPr>
        <w:spacing w:after="0" w:line="171" w:lineRule="exact"/>
        <w:rPr>
          <w:rFonts w:ascii="Arial" w:cs="Arial" w:eastAsia="Arial" w:hAnsi="Arial"/>
          <w:sz w:val="18"/>
          <w:szCs w:val="18"/>
          <w:b w:val="1"/>
          <w:bCs w:val="1"/>
          <w:i w:val="1"/>
          <w:iCs w:val="1"/>
          <w:color w:val="auto"/>
        </w:rPr>
      </w:pPr>
    </w:p>
    <w:p>
      <w:pPr>
        <w:ind w:left="640" w:hanging="324"/>
        <w:spacing w:after="0"/>
        <w:tabs>
          <w:tab w:leader="none" w:pos="6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Leverage Our Platform for Adjacent Use Cases such as Recruiting</w:t>
      </w:r>
    </w:p>
    <w:p>
      <w:pPr>
        <w:spacing w:after="0" w:line="171" w:lineRule="exact"/>
        <w:rPr>
          <w:rFonts w:ascii="Arial" w:cs="Arial" w:eastAsia="Arial" w:hAnsi="Arial"/>
          <w:sz w:val="18"/>
          <w:szCs w:val="18"/>
          <w:b w:val="1"/>
          <w:bCs w:val="1"/>
          <w:i w:val="1"/>
          <w:iCs w:val="1"/>
          <w:color w:val="auto"/>
        </w:rPr>
      </w:pPr>
    </w:p>
    <w:p>
      <w:pPr>
        <w:ind w:left="640" w:hanging="324"/>
        <w:spacing w:after="0"/>
        <w:tabs>
          <w:tab w:leader="none" w:pos="6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Expand to International Markets</w:t>
      </w:r>
    </w:p>
    <w:p>
      <w:pPr>
        <w:spacing w:after="0" w:line="171" w:lineRule="exact"/>
        <w:rPr>
          <w:rFonts w:ascii="Arial" w:cs="Arial" w:eastAsia="Arial" w:hAnsi="Arial"/>
          <w:sz w:val="18"/>
          <w:szCs w:val="18"/>
          <w:b w:val="1"/>
          <w:bCs w:val="1"/>
          <w:i w:val="1"/>
          <w:iCs w:val="1"/>
          <w:color w:val="auto"/>
        </w:rPr>
      </w:pPr>
    </w:p>
    <w:p>
      <w:pPr>
        <w:ind w:left="640" w:hanging="324"/>
        <w:spacing w:after="0"/>
        <w:tabs>
          <w:tab w:leader="none" w:pos="6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Selective Acquisitions to Complement Our Platform</w:t>
      </w:r>
    </w:p>
    <w:p>
      <w:pPr>
        <w:sectPr>
          <w:pgSz w:w="11900" w:h="16838" w:orient="portrait"/>
          <w:cols w:equalWidth="0" w:num="1">
            <w:col w:w="10220"/>
          </w:cols>
          <w:pgMar w:left="840" w:top="121"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220"/>
          </w:cols>
          <w:pgMar w:left="840" w:top="121" w:right="839" w:bottom="1440" w:gutter="0" w:footer="0" w:header="0"/>
          <w:type w:val="continuous"/>
        </w:sectPr>
      </w:pPr>
    </w:p>
    <w:bookmarkStart w:id="11" w:name="page12"/>
    <w:bookmarkEnd w:id="11"/>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6750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December 2019, a novel strain of Coronavirus disease (“COVID-19”) was reported, and in March 2020, the WHO characterized COVID-19 as a pandemic. The COVID-19 pandemic has resulted in travel restrictions, prohibitions of non-essential activities, disruption and shutdown of certain businesses, and greater uncertainty in global financial markets. Such conditions are creating disruption in global supply chains, increasing rates of unemployment, and adversely impacting many industries. The outbreak could have a continued adverse impact on economic and market conditions and trigger a period of global economic slowdown.</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date of this prospectus, the full impact of the COVID-19 pandemic on the global economy and the extent to which the COVID-19 pandemic may impact our financial condition or results of operations remain uncertain. Furthermore, because of our largely subscription-based business model, the effect of the COVID-19 pandemic may not be fully reflected in our results of operations and overall financial condition until future periods, if at all.</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result of the COVID-19 pandemic, we expect we will experience slowed growth or decline in new customer demand for our platform and lower demand from our existing customers for upgrades within our platform. We have experienced and expect to continue to experience an increase in potential customers seeking lower prices or other more favorable contract terms and current customers attempting to obtain concessions on the terms of existing contracts, including requests for early termination or waiver of payment obligations, all of which has adversely affected and could materially adversely impact our business, results of operations, and overall financial condition in future periods. The extent and continued impact of the COVID-19 pandemic on our operational and financial condition will depend on certain developments, including: the duration and spread of the outbreak; government responses to the pandemic;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and not within our control.</w:t>
      </w:r>
    </w:p>
    <w:p>
      <w:pPr>
        <w:spacing w:after="0" w:line="14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response to the COVID-19 pandemic, in the first quarter of 2020, we temporarily closed all of our offices, including our office in Israel, and enabled our entire work force to work remotely. We have also implemented travel restrictions for non-essential business. These changes remained in effect in the second quarter of 2020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“Risk Factors” for further discussion of the possible impact of the COVID-19 pandemic on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June 8, 2020, we completed our IPO in which we sold 51,175,000 shares of our Class A common stock at a price to the public of $21.00 per share and received net proceeds of approximately $1,019.6 million after deducting underwriting discount. We used the net proceeds from the IPO to purchase 48,528,783 newly issued HoldCo Units from ZoomInfo HoldCo for approximately $966.9 million (which ZoomInfo HoldCo in turn used to purchase the same number of newly issued OpCo Units from ZoomInfo OpCo), to purchase 2,370,948 OpCo Units from certain Pre-IPO OpCo Unitholders for approximately $47.2 million, and to fund $5.5 million of merger consideration payable to certain Pre-IPO Blocker Holders in connection with the Blocker Mergers. ZoomInfo OpCo used the proceeds it received through ZoomInfo HoldCo from the IPO to redeem and cancel all outstanding Series A Preferred Units of ZoomInfo OpCo for approximately $274.2 million, including accumulated but unpaid distributions and related prepayment premiums, to repay the entire aggregate principal amount under our second lien credit agreement, for approximately $380.6 million, including related prepayment premiums and accrued interest, to repay $35.0 million of outstanding borrowings under our first lien revolving credit facility, and to pay certain expenses related to the IPO, with the remaining proceeds intended to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840" w:top="121" w:right="839" w:bottom="1440" w:gutter="0" w:footer="0" w:header="0"/>
        </w:sectPr>
      </w:pPr>
    </w:p>
    <w:bookmarkStart w:id="12" w:name="page13"/>
    <w:bookmarkEnd w:id="12"/>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162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of First Lien Credit Agreement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17, 2020, we used approximately $101.2 million to prepay $100.0 million aggregate principal amount of the first lien term loans outstanding under our first lien credit agreement, including accrued interest thereon. The prepayment was funded with a portion of the net proceeds received from our IPO. Following the prepayment, as of June 17, 2020, $756.4 million aggregate principal amount of first lien term loans were outstanding under our first lien credit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Risks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investment in shares of our Class A common stock involves substantial risks and uncertainties that may adversely affect our business, financial condition, results of operations, and cash flows. Some of the more significant challenges and risks relating to an investment in our Company include, among other things, the following:</w:t>
      </w:r>
    </w:p>
    <w:p>
      <w:pPr>
        <w:spacing w:after="0" w:line="130" w:lineRule="exact"/>
        <w:rPr>
          <w:sz w:val="20"/>
          <w:szCs w:val="20"/>
          <w:color w:val="auto"/>
        </w:rPr>
      </w:pPr>
    </w:p>
    <w:p>
      <w:pPr>
        <w:ind w:left="640" w:right="20" w:hanging="324"/>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including the global economic uncertainty and measures taken in response, could materially impact our business and future results of operations;</w:t>
      </w:r>
    </w:p>
    <w:p>
      <w:pPr>
        <w:spacing w:after="0" w:line="116"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well-funded companies shifting their existing business models to become more competitive with us;</w:t>
      </w:r>
    </w:p>
    <w:p>
      <w:pPr>
        <w:spacing w:after="0" w:line="171" w:lineRule="exact"/>
        <w:rPr>
          <w:rFonts w:ascii="Arial" w:cs="Arial" w:eastAsia="Arial" w:hAnsi="Arial"/>
          <w:sz w:val="18"/>
          <w:szCs w:val="18"/>
          <w:color w:val="auto"/>
        </w:rPr>
      </w:pPr>
    </w:p>
    <w:p>
      <w:pPr>
        <w:ind w:left="640" w:hanging="324"/>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provide or adapt our platform for changes in laws and regulations or public perception, or changes in the enforcement of such laws, relating to data privacy;</w:t>
      </w:r>
    </w:p>
    <w:p>
      <w:pPr>
        <w:spacing w:after="0" w:line="116"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effects of companies more effectively catering to our customers by offering more tailored products or platforms at lower costs;</w:t>
      </w:r>
    </w:p>
    <w:p>
      <w:pPr>
        <w:spacing w:after="0" w:line="194" w:lineRule="exact"/>
        <w:rPr>
          <w:rFonts w:ascii="Arial" w:cs="Arial" w:eastAsia="Arial" w:hAnsi="Arial"/>
          <w:sz w:val="16"/>
          <w:szCs w:val="16"/>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general economic and market conditions reducing spending on sales and marketing;</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declining demand for sales and marketing subscription platforms;</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improve our technology and keep up with new processes for data collection, organization, and cleansing;</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provide a highly accurate, reliable, and comprehensive platform moving forward;</w:t>
      </w:r>
    </w:p>
    <w:p>
      <w:pPr>
        <w:spacing w:after="0" w:line="171" w:lineRule="exact"/>
        <w:rPr>
          <w:rFonts w:ascii="Arial" w:cs="Arial" w:eastAsia="Arial" w:hAnsi="Arial"/>
          <w:sz w:val="18"/>
          <w:szCs w:val="18"/>
          <w:color w:val="auto"/>
        </w:rPr>
      </w:pPr>
    </w:p>
    <w:p>
      <w:pPr>
        <w:ind w:left="640" w:hanging="324"/>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reliance on third-party systems that we do not control to integrate with our system and our potential inability to continue to support integration;</w:t>
      </w:r>
    </w:p>
    <w:p>
      <w:pPr>
        <w:spacing w:after="0" w:line="116" w:lineRule="exact"/>
        <w:rPr>
          <w:rFonts w:ascii="Arial" w:cs="Arial" w:eastAsia="Arial" w:hAnsi="Arial"/>
          <w:sz w:val="18"/>
          <w:szCs w:val="18"/>
          <w:color w:val="auto"/>
        </w:rPr>
      </w:pPr>
    </w:p>
    <w:p>
      <w:pPr>
        <w:ind w:left="640" w:hanging="324"/>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adequately fund research and development potentially limiting introduction of new features, integrations, and enhancements;</w:t>
      </w:r>
    </w:p>
    <w:p>
      <w:pPr>
        <w:spacing w:after="0" w:line="116"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new customers and expand existing subscriptions;</w:t>
      </w:r>
    </w:p>
    <w:p>
      <w:pPr>
        <w:spacing w:after="0" w:line="171" w:lineRule="exact"/>
        <w:rPr>
          <w:rFonts w:ascii="Arial" w:cs="Arial" w:eastAsia="Arial" w:hAnsi="Arial"/>
          <w:sz w:val="18"/>
          <w:szCs w:val="18"/>
          <w:color w:val="auto"/>
        </w:rPr>
      </w:pPr>
    </w:p>
    <w:p>
      <w:pPr>
        <w:ind w:left="640" w:right="20" w:hanging="324"/>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participation in our contributory network or increased opt-out rates impacting the depth, breadth, and accuracy of our platform;</w:t>
      </w:r>
    </w:p>
    <w:p>
      <w:pPr>
        <w:spacing w:after="0" w:line="116" w:lineRule="exact"/>
        <w:rPr>
          <w:rFonts w:ascii="Arial" w:cs="Arial" w:eastAsia="Arial" w:hAnsi="Arial"/>
          <w:sz w:val="18"/>
          <w:szCs w:val="18"/>
          <w:color w:val="auto"/>
        </w:rPr>
      </w:pPr>
    </w:p>
    <w:p>
      <w:pPr>
        <w:ind w:left="640" w:hanging="32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protect and maintain our brand and our ability to attract and retain customers;</w:t>
      </w:r>
    </w:p>
    <w:p>
      <w:pPr>
        <w:spacing w:after="0" w:line="171" w:lineRule="exact"/>
        <w:rPr>
          <w:rFonts w:ascii="Arial" w:cs="Arial" w:eastAsia="Arial" w:hAnsi="Arial"/>
          <w:sz w:val="18"/>
          <w:szCs w:val="18"/>
          <w:color w:val="auto"/>
        </w:rPr>
      </w:pPr>
    </w:p>
    <w:p>
      <w:pPr>
        <w:jc w:val="both"/>
        <w:ind w:left="640" w:right="20" w:hanging="324"/>
        <w:spacing w:after="0" w:line="286"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substantial indebtedness, which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11" w:lineRule="exact"/>
        <w:rPr>
          <w:rFonts w:ascii="Arial" w:cs="Arial" w:eastAsia="Arial" w:hAnsi="Arial"/>
          <w:sz w:val="17"/>
          <w:szCs w:val="17"/>
          <w:color w:val="auto"/>
        </w:rPr>
      </w:pPr>
    </w:p>
    <w:p>
      <w:pPr>
        <w:ind w:left="640" w:hanging="324"/>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parties to our stockholders agreement controlling us and their interests conflicting with ours or yours in the future; and</w:t>
      </w:r>
    </w:p>
    <w:p>
      <w:pPr>
        <w:spacing w:after="0" w:line="182" w:lineRule="exact"/>
        <w:rPr>
          <w:rFonts w:ascii="Arial" w:cs="Arial" w:eastAsia="Arial" w:hAnsi="Arial"/>
          <w:sz w:val="17"/>
          <w:szCs w:val="17"/>
          <w:color w:val="auto"/>
        </w:rPr>
      </w:pPr>
    </w:p>
    <w:p>
      <w:pPr>
        <w:jc w:val="both"/>
        <w:ind w:left="640" w:hanging="324"/>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being a “controlled company” within the meaning of the Nasdaq rules and, as a result, qualifying for exemptions from certain corporate governance requirements, as a result of which you will not have the same protections afforded to stockholders of companies that are subject to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840" w:top="121" w:right="839" w:bottom="1440" w:gutter="0" w:footer="0" w:header="0"/>
        </w:sectPr>
      </w:pPr>
    </w:p>
    <w:bookmarkStart w:id="13" w:name="page14"/>
    <w:bookmarkEnd w:id="13"/>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6853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Please see “Risk Factors” for a discussion of these and other factors you should consider before making an investment in shares of our Class A common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a simplified diagram depicting our current organizational structure, see “Organizational Structure.”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and consolidates the financial results, of ZoomInfo OpCo through ZoomInfo HoldCo and, through ZoomInfo OpCo and its subsidiaries, conducts our business. Prior to the completion of the IPO:</w:t>
      </w:r>
    </w:p>
    <w:p>
      <w:pPr>
        <w:spacing w:after="0" w:line="134" w:lineRule="exact"/>
        <w:rPr>
          <w:sz w:val="20"/>
          <w:szCs w:val="20"/>
          <w:color w:val="auto"/>
        </w:rPr>
      </w:pPr>
    </w:p>
    <w:p>
      <w:pPr>
        <w:ind w:left="640" w:hanging="32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ZoomInfo OpCo effected a four-for-one reverse unit split;</w:t>
      </w:r>
    </w:p>
    <w:p>
      <w:pPr>
        <w:spacing w:after="0" w:line="171" w:lineRule="exact"/>
        <w:rPr>
          <w:rFonts w:ascii="Arial" w:cs="Arial" w:eastAsia="Arial" w:hAnsi="Arial"/>
          <w:sz w:val="18"/>
          <w:szCs w:val="18"/>
          <w:color w:val="auto"/>
        </w:rPr>
      </w:pPr>
    </w:p>
    <w:p>
      <w:pPr>
        <w:jc w:val="both"/>
        <w:ind w:left="640" w:hanging="324"/>
        <w:spacing w:after="0" w:line="286" w:lineRule="auto"/>
        <w:tabs>
          <w:tab w:leader="none" w:pos="6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w:t>
      </w:r>
    </w:p>
    <w:p>
      <w:pPr>
        <w:spacing w:after="0" w:line="1" w:lineRule="exact"/>
        <w:rPr>
          <w:rFonts w:ascii="Arial" w:cs="Arial" w:eastAsia="Arial" w:hAnsi="Arial"/>
          <w:sz w:val="16"/>
          <w:szCs w:val="16"/>
          <w:color w:val="auto"/>
        </w:rPr>
      </w:pPr>
    </w:p>
    <w:p>
      <w:pPr>
        <w:jc w:val="both"/>
        <w:ind w:left="640" w:right="20"/>
        <w:spacing w:after="0" w:line="255" w:lineRule="auto"/>
        <w:rPr>
          <w:rFonts w:ascii="Arial" w:cs="Arial" w:eastAsia="Arial" w:hAnsi="Arial"/>
          <w:sz w:val="16"/>
          <w:szCs w:val="16"/>
          <w:color w:val="auto"/>
        </w:rPr>
      </w:pPr>
      <w:r>
        <w:rPr>
          <w:rFonts w:ascii="Arial" w:cs="Arial" w:eastAsia="Arial" w:hAnsi="Arial"/>
          <w:sz w:val="18"/>
          <w:szCs w:val="18"/>
          <w:color w:val="auto"/>
        </w:rPr>
        <w:t>(i) shares of Class C common stock of ZoomInfo Technologies Inc. and (ii) a cash amount in respect of reductions in such Pre-IPO Blocker Holders’ equity interests, based on the initial public offering price of the Class A common stock in the IPO (see “Organizational Structure—Blocker Mergers”);</w:t>
      </w:r>
    </w:p>
    <w:p>
      <w:pPr>
        <w:spacing w:after="0" w:line="135" w:lineRule="exact"/>
        <w:rPr>
          <w:rFonts w:ascii="Arial" w:cs="Arial" w:eastAsia="Arial" w:hAnsi="Arial"/>
          <w:sz w:val="16"/>
          <w:szCs w:val="16"/>
          <w:color w:val="auto"/>
        </w:rPr>
      </w:pPr>
    </w:p>
    <w:p>
      <w:pPr>
        <w:jc w:val="both"/>
        <w:ind w:left="640" w:hanging="324"/>
        <w:spacing w:after="0" w:line="263"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29" w:lineRule="exact"/>
        <w:rPr>
          <w:rFonts w:ascii="Arial" w:cs="Arial" w:eastAsia="Arial" w:hAnsi="Arial"/>
          <w:sz w:val="18"/>
          <w:szCs w:val="18"/>
          <w:color w:val="auto"/>
        </w:rPr>
      </w:pPr>
    </w:p>
    <w:p>
      <w:pPr>
        <w:jc w:val="both"/>
        <w:ind w:left="640" w:hanging="324"/>
        <w:spacing w:after="0" w:line="279"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limited liability company agreements of each of ZoomInfo OpCo and ZoomInfo HoldCo were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refer to the Reclassification, together with the Blocker Mergers and the ZoomInfo HoldCo Contributions, as the “Reorganization Transactions.” Pursuant to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For a description of the amended and restated limited liability company agreements of ZoomInfo OpCo and ZoomInfo HoldCo, please read “Certain Relationships and Related Person Transactions.”</w:t>
      </w:r>
    </w:p>
    <w:p>
      <w:pPr>
        <w:spacing w:after="0" w:line="1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Pre-IPO OpCo Unitholders and the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840" w:top="121" w:right="839" w:bottom="1440" w:gutter="0" w:footer="0" w:header="0"/>
        </w:sectPr>
      </w:pPr>
    </w:p>
    <w:bookmarkStart w:id="14" w:name="page15"/>
    <w:bookmarkEnd w:id="14"/>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6613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1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Transactions—ZoomInfo OpCo Amended and Restated Limited Liability Company Agreement,” “Certain Relationships and Related Person Transactions—ZoomInfo HoldCo Amended and Restated Limited Liability Company Agreement,” and “Description of Capital Stock.” Holders of outstanding shares of our Class A common stock, Class B common stock, and Class C common stock will vote as a single class on all matters on which stockholders are entitled to vote generally, except as otherwise required by law.</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organizational structure is commonly referred to as an umbrella partnership-C-corporation (“UP-C”) structure. This organizational structure allows our Pre-IPO OpCo Unitholders to retain their equity ownership in ZoomInfo OpCo, an entity that is classified as a partnership for U.S. federal income tax purposes, in the form of OpCo Units. Investors in this offering will, by contrast, hold their equity ownership in ZoomInfo Technologies Inc., a Delaware corporation that is a domestic corporation for U.S. federal income tax purposes, in the form of shares of Class A common stock. Pre-IPO Blocker Holders hold their equity ownership in ZoomInfo Technologies Inc. in the form of shares of Class C common stock. Pre-IPO HoldCo Unitholders hold their equity ownership in ZoomInfo HoldCo, an entity classified as a corporation for U.S. federal income tax purposes, in the form of HoldCo Units. We believe that our Pre-IPO OpCo Unitholders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 potential liquidity that holders of non-publicly traded limited liability companies are not typically afforded. We do not believe that our UP-C structure gives rise to any significant business or strategic benefit or detriment to us.</w:t>
      </w:r>
    </w:p>
    <w:p>
      <w:pPr>
        <w:spacing w:after="0" w:line="13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described below under “Certain Relationships and Related Person Transactions—Tax Receivable Agreements,” we entered into two tax receivable agreements. We entered into (i) the Exchange Tax Receivable Agreement with certain Pre-IPO OpCo Unitholders and (ii) the Reorganization Tax Receivable Agreement with the Pre-IPO Blocker Holders. These tax receivable agreements provide for the payment by ZoomInfo Technologies Inc. or any member of its affiliated, consolidated, combined, or unitary tax group (collectively, the “ZoomInfo Tax Group”) to certain pre-IPO owners and certain Pre-IPO HoldCo Unitholders of 85% of the benefits, if any,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the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840" w:top="121" w:right="839" w:bottom="1440" w:gutter="0" w:footer="0" w:header="0"/>
        </w:sectPr>
      </w:pPr>
    </w:p>
    <w:bookmarkStart w:id="15" w:name="page16"/>
    <w:bookmarkEnd w:id="15"/>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4967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496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basis acquired in the Reorganization Transactions), and certain other tax benefits, including tax benefits attributable to payments under the Reorganization Tax Receivable Agreement.</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 We estimate the amount of existing tax basis with respect to which our pre-IPO owners are entitled to receive payments under the tax receivable agreements (assuming all Pre-IPO OpCo Unitholders exchange their outstanding OpCo Units (together</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with a corresponding number of shares of Class B common stock) on the date of this offering) is approximately $ million (assuming a public offering price of $ per share of Class A common stock, which is the last reported sale price of our Class A common stock on the Nasdaq on , 2020). Certain late payments under the tax receivable agreements generally will accrue interest at an uncapped rate</w:t>
      </w:r>
    </w:p>
    <w:p>
      <w:pPr>
        <w:jc w:val="both"/>
        <w:spacing w:after="0" w:line="260" w:lineRule="auto"/>
        <w:rPr>
          <w:sz w:val="20"/>
          <w:szCs w:val="20"/>
          <w:color w:val="auto"/>
        </w:rPr>
      </w:pPr>
      <w:r>
        <w:rPr>
          <w:rFonts w:ascii="Arial" w:cs="Arial" w:eastAsia="Arial" w:hAnsi="Arial"/>
          <w:sz w:val="18"/>
          <w:szCs w:val="18"/>
          <w:color w:val="auto"/>
        </w:rPr>
        <w:t>equal to one year LIBOR (or its successor rate) plus 500 basis points. See “Certain Relationships and Related Person Transactions—Tax Receivable Agreements.”</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provides that certain distributions to cover the taxes of the ZoomInfo Tax Group and the other holders of OpCo Units and Class P Units will be made based upon assumed tax rates and other assumptions provided in such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entered into a tax sharing agreement with ZoomInfo HoldCo (the “tax sharing agreement”). Pursuant to the tax sharing agreement, ZoomInfo HoldCo is required to make certain payments to us to enable us to pay taxes of the ZoomInfo Tax Group and to meet our obligations under the tax receivable agreements.</w:t>
      </w:r>
    </w:p>
    <w:p>
      <w:pPr>
        <w:spacing w:after="0" w:line="1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ZoomInfo OpCo is the predecessor of ZoomInfo Technologies Inc. for financial reporting purposes following the completion of the IPO.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through ZoomInfo HoldCo on its consolidated financial statements and record a non-controlling interest related to the OpCo Units and HoldCo Units held by our pre-IPO owners on its consolidated balance sheet and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20"/>
          </w:cols>
          <w:pgMar w:left="840" w:top="121" w:right="839" w:bottom="1440" w:gutter="0" w:footer="0" w:header="0"/>
        </w:sectPr>
      </w:pPr>
    </w:p>
    <w:bookmarkStart w:id="16" w:name="page17"/>
    <w:bookmarkEnd w:id="16"/>
    <w:p>
      <w:pPr>
        <w:jc w:val="center"/>
        <w:ind w:right="-327"/>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27"/>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552450</wp:posOffset>
            </wp:positionV>
            <wp:extent cx="7136130" cy="7333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 w:right="20" w:firstLine="324"/>
        <w:spacing w:after="0" w:line="277" w:lineRule="auto"/>
        <w:rPr>
          <w:sz w:val="20"/>
          <w:szCs w:val="20"/>
          <w:color w:val="auto"/>
        </w:rPr>
      </w:pPr>
      <w:r>
        <w:rPr>
          <w:rFonts w:ascii="Arial" w:cs="Arial" w:eastAsia="Arial" w:hAnsi="Arial"/>
          <w:sz w:val="18"/>
          <w:szCs w:val="18"/>
          <w:color w:val="auto"/>
        </w:rPr>
        <w:t>The simplified diagram below depicts our organizational structure after giving effect to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jc w:val="both"/>
        <w:ind w:left="328" w:hanging="328"/>
        <w:spacing w:after="0" w:line="281" w:lineRule="auto"/>
        <w:tabs>
          <w:tab w:leader="none" w:pos="3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Each share of Class B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on all matters on which</w:t>
      </w:r>
    </w:p>
    <w:p>
      <w:pPr>
        <w:spacing w:after="0" w:line="1" w:lineRule="exact"/>
        <w:rPr>
          <w:sz w:val="20"/>
          <w:szCs w:val="20"/>
          <w:color w:val="auto"/>
        </w:rPr>
      </w:pPr>
    </w:p>
    <w:p>
      <w:pPr>
        <w:ind w:left="328"/>
        <w:spacing w:after="0"/>
        <w:rPr>
          <w:sz w:val="20"/>
          <w:szCs w:val="20"/>
          <w:color w:val="auto"/>
        </w:rPr>
      </w:pPr>
      <w:r>
        <w:rPr>
          <w:rFonts w:ascii="Arial" w:cs="Arial" w:eastAsia="Arial" w:hAnsi="Arial"/>
          <w:sz w:val="13"/>
          <w:szCs w:val="13"/>
          <w:color w:val="auto"/>
        </w:rPr>
        <w:t>stockholders of ZoomInfo Technologies Inc. are entitled to vote generally. Immediately following this offering, the Pre-IPO OpCo Unitholders and the Pre-IPO HoldCo</w:t>
      </w:r>
    </w:p>
    <w:p>
      <w:pPr>
        <w:spacing w:after="0" w:line="2" w:lineRule="exact"/>
        <w:rPr>
          <w:sz w:val="20"/>
          <w:szCs w:val="20"/>
          <w:color w:val="auto"/>
        </w:rPr>
      </w:pPr>
    </w:p>
    <w:tbl>
      <w:tblPr>
        <w:tblLayout w:type="fixed"/>
        <w:tblInd w:w="328"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auto"/>
              </w:rPr>
              <w:t>Unitholders will hold</w:t>
            </w:r>
          </w:p>
        </w:tc>
        <w:tc>
          <w:tcPr>
            <w:tcW w:w="700" w:type="dxa"/>
            <w:vAlign w:val="bottom"/>
          </w:tcPr>
          <w:p>
            <w:pPr>
              <w:ind w:left="180"/>
              <w:spacing w:after="0"/>
              <w:rPr>
                <w:sz w:val="20"/>
                <w:szCs w:val="20"/>
                <w:color w:val="auto"/>
              </w:rPr>
            </w:pPr>
            <w:r>
              <w:rPr>
                <w:rFonts w:ascii="Arial" w:cs="Arial" w:eastAsia="Arial" w:hAnsi="Arial"/>
                <w:sz w:val="14"/>
                <w:szCs w:val="14"/>
                <w:color w:val="auto"/>
              </w:rPr>
              <w:t>and</w:t>
            </w:r>
          </w:p>
        </w:tc>
        <w:tc>
          <w:tcPr>
            <w:tcW w:w="7540" w:type="dxa"/>
            <w:vAlign w:val="bottom"/>
          </w:tcPr>
          <w:p>
            <w:pPr>
              <w:jc w:val="right"/>
              <w:spacing w:after="0"/>
              <w:rPr>
                <w:sz w:val="20"/>
                <w:szCs w:val="20"/>
                <w:color w:val="auto"/>
              </w:rPr>
            </w:pPr>
            <w:r>
              <w:rPr>
                <w:rFonts w:ascii="Arial" w:cs="Arial" w:eastAsia="Arial" w:hAnsi="Arial"/>
                <w:sz w:val="14"/>
                <w:szCs w:val="14"/>
                <w:color w:val="auto"/>
                <w:w w:val="97"/>
              </w:rPr>
              <w:t>shares of our Class B common stock, respectively, collectively representing 100% of our outstanding Class B common stock,</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and will collectively hold</w:t>
            </w:r>
          </w:p>
        </w:tc>
        <w:tc>
          <w:tcPr>
            <w:tcW w:w="8240" w:type="dxa"/>
            <w:vAlign w:val="bottom"/>
            <w:gridSpan w:val="2"/>
          </w:tcPr>
          <w:p>
            <w:pPr>
              <w:jc w:val="right"/>
              <w:spacing w:after="0"/>
              <w:rPr>
                <w:sz w:val="20"/>
                <w:szCs w:val="20"/>
                <w:color w:val="auto"/>
              </w:rPr>
            </w:pPr>
            <w:r>
              <w:rPr>
                <w:rFonts w:ascii="Arial" w:cs="Arial" w:eastAsia="Arial" w:hAnsi="Arial"/>
                <w:sz w:val="14"/>
                <w:szCs w:val="14"/>
                <w:color w:val="auto"/>
                <w:w w:val="97"/>
              </w:rPr>
              <w:t>% of the voting power in ZoomInfo Technologies Inc. Immediately following this offering, the holders of our Class B and Class C common</w:t>
            </w:r>
          </w:p>
        </w:tc>
      </w:tr>
      <w:tr>
        <w:trPr>
          <w:trHeight w:val="174"/>
        </w:trPr>
        <w:tc>
          <w:tcPr>
            <w:tcW w:w="1660" w:type="dxa"/>
            <w:vAlign w:val="bottom"/>
          </w:tcPr>
          <w:p>
            <w:pPr>
              <w:spacing w:after="0"/>
              <w:rPr>
                <w:sz w:val="20"/>
                <w:szCs w:val="20"/>
                <w:color w:val="auto"/>
              </w:rPr>
            </w:pPr>
            <w:r>
              <w:rPr>
                <w:rFonts w:ascii="Arial" w:cs="Arial" w:eastAsia="Arial" w:hAnsi="Arial"/>
                <w:sz w:val="14"/>
                <w:szCs w:val="14"/>
                <w:color w:val="auto"/>
              </w:rPr>
              <w:t>stock will collectively hold</w:t>
            </w:r>
          </w:p>
        </w:tc>
        <w:tc>
          <w:tcPr>
            <w:tcW w:w="8240" w:type="dxa"/>
            <w:vAlign w:val="bottom"/>
            <w:gridSpan w:val="2"/>
          </w:tcPr>
          <w:p>
            <w:pPr>
              <w:jc w:val="right"/>
              <w:spacing w:after="0"/>
              <w:rPr>
                <w:sz w:val="20"/>
                <w:szCs w:val="20"/>
                <w:color w:val="auto"/>
              </w:rPr>
            </w:pPr>
            <w:r>
              <w:rPr>
                <w:rFonts w:ascii="Arial" w:cs="Arial" w:eastAsia="Arial" w:hAnsi="Arial"/>
                <w:sz w:val="14"/>
                <w:szCs w:val="14"/>
                <w:color w:val="auto"/>
                <w:w w:val="97"/>
              </w:rPr>
              <w:t>% of the voting power in ZoomInfo Technologies Inc. For additional information, see “Organizational Structure—Organizational Structure</w:t>
            </w:r>
          </w:p>
        </w:tc>
      </w:tr>
    </w:tbl>
    <w:p>
      <w:pPr>
        <w:ind w:left="328"/>
        <w:spacing w:after="0"/>
        <w:rPr>
          <w:sz w:val="20"/>
          <w:szCs w:val="20"/>
          <w:color w:val="auto"/>
        </w:rPr>
      </w:pPr>
      <w:r>
        <w:rPr>
          <w:rFonts w:ascii="Arial" w:cs="Arial" w:eastAsia="Arial" w:hAnsi="Arial"/>
          <w:sz w:val="14"/>
          <w:szCs w:val="14"/>
          <w:color w:val="auto"/>
        </w:rPr>
        <w:t>Following the IPO and the Transactions” and “Description of Capital Stock—Common Stock—Class B Common Stock.”</w:t>
      </w:r>
    </w:p>
    <w:p>
      <w:pPr>
        <w:spacing w:after="0" w:line="1" w:lineRule="exact"/>
        <w:rPr>
          <w:sz w:val="20"/>
          <w:szCs w:val="20"/>
          <w:color w:val="auto"/>
        </w:rPr>
      </w:pPr>
    </w:p>
    <w:p>
      <w:pPr>
        <w:ind w:left="308" w:hanging="308"/>
        <w:spacing w:after="0"/>
        <w:tabs>
          <w:tab w:leader="none" w:pos="308" w:val="left"/>
        </w:tabs>
        <w:numPr>
          <w:ilvl w:val="0"/>
          <w:numId w:val="15"/>
        </w:numPr>
        <w:rPr>
          <w:rFonts w:ascii="Arial" w:cs="Arial" w:eastAsia="Arial" w:hAnsi="Arial"/>
          <w:sz w:val="12"/>
          <w:szCs w:val="12"/>
          <w:color w:val="auto"/>
        </w:rPr>
      </w:pPr>
      <w:r>
        <w:rPr>
          <w:rFonts w:ascii="Arial" w:cs="Arial" w:eastAsia="Arial" w:hAnsi="Arial"/>
          <w:sz w:val="12"/>
          <w:szCs w:val="12"/>
          <w:color w:val="auto"/>
        </w:rPr>
        <w:t>Each share of Class C common stock provides the holder with ten votes (for so long as the aggregate number of outstanding shares of our Class B common stock and Class</w:t>
      </w:r>
    </w:p>
    <w:p>
      <w:pPr>
        <w:spacing w:after="0" w:line="24" w:lineRule="exact"/>
        <w:rPr>
          <w:sz w:val="20"/>
          <w:szCs w:val="20"/>
          <w:color w:val="auto"/>
        </w:rPr>
      </w:pPr>
    </w:p>
    <w:p>
      <w:pPr>
        <w:ind w:left="328"/>
        <w:spacing w:after="0" w:line="260" w:lineRule="auto"/>
        <w:rPr>
          <w:sz w:val="20"/>
          <w:szCs w:val="20"/>
          <w:color w:val="auto"/>
        </w:rPr>
      </w:pPr>
      <w:r>
        <w:rPr>
          <w:rFonts w:ascii="Arial" w:cs="Arial" w:eastAsia="Arial" w:hAnsi="Arial"/>
          <w:sz w:val="13"/>
          <w:szCs w:val="13"/>
          <w:color w:val="auto"/>
        </w:rPr>
        <w:t>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w:t>
      </w:r>
    </w:p>
    <w:p>
      <w:pPr>
        <w:ind w:left="328"/>
        <w:spacing w:after="0" w:line="255" w:lineRule="auto"/>
        <w:rPr>
          <w:sz w:val="20"/>
          <w:szCs w:val="20"/>
          <w:color w:val="auto"/>
        </w:rPr>
      </w:pPr>
      <w:r>
        <w:rPr>
          <w:rFonts w:ascii="Arial" w:cs="Arial" w:eastAsia="Arial" w:hAnsi="Arial"/>
          <w:sz w:val="14"/>
          <w:szCs w:val="14"/>
          <w:color w:val="auto"/>
        </w:rPr>
        <w:t>generally. Immediately following this offering, the Pre-IPO Blocker Holders will hold shares of our Class C common stock, representing 100% of our Class C common stock, and will collectively hold % of the voting power in ZoomInfo Technologies Inc. Immediately following this offering, the holders of our</w:t>
      </w:r>
    </w:p>
    <w:p>
      <w:pPr>
        <w:sectPr>
          <w:pgSz w:w="11900" w:h="16838" w:orient="portrait"/>
          <w:cols w:equalWidth="0" w:num="1">
            <w:col w:w="10228"/>
          </w:cols>
          <w:pgMar w:left="832" w:top="121"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228"/>
          </w:cols>
          <w:pgMar w:left="832" w:top="121" w:right="839" w:bottom="1440" w:gutter="0" w:footer="0" w:header="0"/>
          <w:type w:val="continuous"/>
        </w:sectPr>
      </w:pPr>
    </w:p>
    <w:bookmarkStart w:id="17" w:name="page18"/>
    <w:bookmarkEnd w:id="1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552450</wp:posOffset>
            </wp:positionV>
            <wp:extent cx="7136130" cy="6861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86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line="250" w:lineRule="auto"/>
        <w:rPr>
          <w:sz w:val="20"/>
          <w:szCs w:val="20"/>
          <w:color w:val="auto"/>
        </w:rPr>
      </w:pPr>
      <w:r>
        <w:rPr>
          <w:rFonts w:ascii="Arial" w:cs="Arial" w:eastAsia="Arial" w:hAnsi="Arial"/>
          <w:sz w:val="14"/>
          <w:szCs w:val="14"/>
          <w:color w:val="auto"/>
        </w:rPr>
        <w:t>Class B and Class C common stock will collectively hold % of the voting power in ZoomInfo Technologies Inc. For additional information, see “Organizational Structure—Organizational Structure Following the IPO and the Transactions” and “Description of Capital Stock—Common Stock—Class C Common Stock.”</w:t>
      </w:r>
    </w:p>
    <w:p>
      <w:pPr>
        <w:spacing w:after="0" w:line="1" w:lineRule="exact"/>
        <w:rPr>
          <w:sz w:val="20"/>
          <w:szCs w:val="20"/>
          <w:color w:val="auto"/>
        </w:rPr>
      </w:pPr>
    </w:p>
    <w:p>
      <w:pPr>
        <w:jc w:val="both"/>
        <w:ind w:left="340" w:hanging="328"/>
        <w:spacing w:after="0" w:line="241"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Assuming such Class P Units are fully vested, at the time of this offering, shares of Class A common stock would be issuable upon the exchange of Class P Units that are held by the Continuing Class P Unitholders. For additional information, see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 w:lineRule="exact"/>
        <w:rPr>
          <w:rFonts w:ascii="Arial" w:cs="Arial" w:eastAsia="Arial" w:hAnsi="Arial"/>
          <w:sz w:val="14"/>
          <w:szCs w:val="14"/>
          <w:color w:val="auto"/>
        </w:rPr>
      </w:pPr>
    </w:p>
    <w:p>
      <w:pPr>
        <w:ind w:left="340" w:right="20" w:hanging="328"/>
        <w:spacing w:after="0" w:line="255"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ZoomInfo LLC (formerly known as DiscoverOrg, LLC) serves as the borrower under our first lien revolving credit facility and our first lien term loan facility, as amended (together, the “first lien credit facilities” or the “secured credit facilities”). See “Description of Certain Indebtedness.”</w:t>
      </w:r>
    </w:p>
    <w:p>
      <w:pPr>
        <w:spacing w:after="0" w:line="136" w:lineRule="exact"/>
        <w:rPr>
          <w:sz w:val="20"/>
          <w:szCs w:val="20"/>
          <w:color w:val="auto"/>
        </w:rPr>
      </w:pPr>
    </w:p>
    <w:p>
      <w:pPr>
        <w:ind w:left="20" w:firstLine="324"/>
        <w:spacing w:after="0" w:line="274" w:lineRule="auto"/>
        <w:rPr>
          <w:sz w:val="20"/>
          <w:szCs w:val="20"/>
          <w:color w:val="auto"/>
        </w:rPr>
      </w:pPr>
      <w:r>
        <w:rPr>
          <w:rFonts w:ascii="Arial" w:cs="Arial" w:eastAsia="Arial" w:hAnsi="Arial"/>
          <w:sz w:val="17"/>
          <w:szCs w:val="17"/>
          <w:color w:val="auto"/>
        </w:rPr>
        <w:t>The following table presents the outstanding common stock, OpCo Units, and HoldCo Units, after giving effect to this offering, (i) on an actual basis, excluding the conversion of Class P Units held by the Continuing Class P Unitholders, which are convertible for</w:t>
      </w:r>
    </w:p>
    <w:p>
      <w:pPr>
        <w:ind w:left="20"/>
        <w:spacing w:after="0" w:line="260" w:lineRule="auto"/>
        <w:rPr>
          <w:sz w:val="20"/>
          <w:szCs w:val="20"/>
          <w:color w:val="auto"/>
        </w:rPr>
      </w:pPr>
      <w:r>
        <w:rPr>
          <w:rFonts w:ascii="Arial" w:cs="Arial" w:eastAsia="Arial" w:hAnsi="Arial"/>
          <w:sz w:val="18"/>
          <w:szCs w:val="18"/>
          <w:color w:val="auto"/>
        </w:rPr>
        <w:t>shares of Class A common stock upon vesting, and (ii) on a diluted basis, assuming the conversion of such Class P Units, following completion of the Reorganization Transactions and the Offering Transactions:</w:t>
      </w:r>
    </w:p>
    <w:p>
      <w:pPr>
        <w:spacing w:after="0" w:line="177" w:lineRule="exact"/>
        <w:rPr>
          <w:sz w:val="20"/>
          <w:szCs w:val="20"/>
          <w:color w:val="auto"/>
        </w:rPr>
      </w:pPr>
    </w:p>
    <w:tbl>
      <w:tblPr>
        <w:tblLayout w:type="fixed"/>
        <w:tblInd w:w="2620" w:type="dxa"/>
        <w:tblCellMar>
          <w:top w:w="0" w:type="dxa"/>
          <w:left w:w="0" w:type="dxa"/>
          <w:bottom w:w="0" w:type="dxa"/>
          <w:right w:w="0" w:type="dxa"/>
        </w:tblCellMar>
      </w:tblPr>
      <w:tr>
        <w:trPr>
          <w:trHeight w:val="192"/>
        </w:trPr>
        <w:tc>
          <w:tcPr>
            <w:tcW w:w="1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Common Stock</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152"/>
        </w:trPr>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Class A Common</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148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3"/>
              </w:rPr>
              <w:t>Class C Common</w:t>
            </w: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6"/>
              </w:rPr>
              <w:t>HoldCo Units</w:t>
            </w:r>
          </w:p>
        </w:tc>
        <w:tc>
          <w:tcPr>
            <w:tcW w:w="14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OpCo Units</w:t>
            </w:r>
          </w:p>
        </w:tc>
        <w:tc>
          <w:tcPr>
            <w:tcW w:w="0" w:type="dxa"/>
            <w:vAlign w:val="bottom"/>
          </w:tcPr>
          <w:p>
            <w:pPr>
              <w:spacing w:after="0"/>
              <w:rPr>
                <w:sz w:val="1"/>
                <w:szCs w:val="1"/>
                <w:color w:val="auto"/>
              </w:rPr>
            </w:pPr>
          </w:p>
        </w:tc>
      </w:tr>
      <w:tr>
        <w:trPr>
          <w:trHeight w:val="186"/>
        </w:trPr>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148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Stock</w:t>
            </w:r>
          </w:p>
        </w:tc>
        <w:tc>
          <w:tcPr>
            <w:tcW w:w="11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Public Stockholders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Pre-IPO OpCo Unitholders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Pre-IPO HoldCo Unitholders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Pre-IPO Blocker Holders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ZoomInfo Technologies Inc.</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ZoomInfo HoldCo</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outstanding</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after giving effect to the</w:t>
      </w:r>
    </w:p>
    <w:p>
      <w:pPr>
        <w:ind w:left="400"/>
        <w:spacing w:after="0" w:line="201" w:lineRule="auto"/>
        <w:rPr>
          <w:sz w:val="20"/>
          <w:szCs w:val="20"/>
          <w:color w:val="auto"/>
        </w:rPr>
      </w:pPr>
      <w:r>
        <w:rPr>
          <w:rFonts w:ascii="Arial" w:cs="Arial" w:eastAsia="Arial" w:hAnsi="Arial"/>
          <w:sz w:val="14"/>
          <w:szCs w:val="14"/>
          <w:color w:val="auto"/>
        </w:rPr>
        <w:t>conversion of Class P Units held by</w:t>
      </w:r>
    </w:p>
    <w:p>
      <w:pPr>
        <w:ind w:left="400"/>
        <w:spacing w:after="0"/>
        <w:rPr>
          <w:sz w:val="20"/>
          <w:szCs w:val="20"/>
          <w:color w:val="auto"/>
        </w:rPr>
      </w:pPr>
      <w:r>
        <w:rPr>
          <w:rFonts w:ascii="Arial" w:cs="Arial" w:eastAsia="Arial" w:hAnsi="Arial"/>
          <w:sz w:val="14"/>
          <w:szCs w:val="14"/>
          <w:color w:val="auto"/>
        </w:rPr>
        <w:t>Continuing Class P Unitholders</w:t>
      </w:r>
      <w:r>
        <w:rPr>
          <w:rFonts w:ascii="Arial" w:cs="Arial" w:eastAsia="Arial" w:hAnsi="Arial"/>
          <w:sz w:val="9"/>
          <w:szCs w:val="9"/>
          <w:color w:val="auto"/>
        </w:rPr>
        <w:t>(1)</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after giving further effect to the</w:t>
      </w:r>
    </w:p>
    <w:p>
      <w:pPr>
        <w:ind w:left="400"/>
        <w:spacing w:after="0" w:line="201" w:lineRule="auto"/>
        <w:rPr>
          <w:sz w:val="20"/>
          <w:szCs w:val="20"/>
          <w:color w:val="auto"/>
        </w:rPr>
      </w:pPr>
      <w:r>
        <w:rPr>
          <w:rFonts w:ascii="Arial" w:cs="Arial" w:eastAsia="Arial" w:hAnsi="Arial"/>
          <w:sz w:val="14"/>
          <w:szCs w:val="14"/>
          <w:color w:val="auto"/>
        </w:rPr>
        <w:t>vesting of employee equity grants</w:t>
      </w:r>
    </w:p>
    <w:p>
      <w:pPr>
        <w:ind w:left="400"/>
        <w:spacing w:after="0" w:line="201" w:lineRule="auto"/>
        <w:rPr>
          <w:sz w:val="20"/>
          <w:szCs w:val="20"/>
          <w:color w:val="auto"/>
        </w:rPr>
      </w:pPr>
      <w:r>
        <w:rPr>
          <w:rFonts w:ascii="Arial" w:cs="Arial" w:eastAsia="Arial" w:hAnsi="Arial"/>
          <w:sz w:val="14"/>
          <w:szCs w:val="14"/>
          <w:color w:val="auto"/>
        </w:rPr>
        <w:t>under our 2020 Omnibus Incentive</w:t>
      </w:r>
    </w:p>
    <w:p>
      <w:pPr>
        <w:ind w:left="400"/>
        <w:spacing w:after="0"/>
        <w:rPr>
          <w:sz w:val="20"/>
          <w:szCs w:val="20"/>
          <w:color w:val="auto"/>
        </w:rPr>
      </w:pPr>
      <w:r>
        <w:rPr>
          <w:rFonts w:ascii="Arial" w:cs="Arial" w:eastAsia="Arial" w:hAnsi="Arial"/>
          <w:sz w:val="14"/>
          <w:szCs w:val="14"/>
          <w:color w:val="auto"/>
        </w:rPr>
        <w:t>Plan</w:t>
      </w:r>
      <w:r>
        <w:rPr>
          <w:rFonts w:ascii="Arial" w:cs="Arial" w:eastAsia="Arial" w:hAnsi="Arial"/>
          <w:sz w:val="9"/>
          <w:szCs w:val="9"/>
          <w:color w:val="auto"/>
        </w:rPr>
        <w:t>(2)</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right="20" w:hanging="328"/>
        <w:spacing w:after="0" w:line="241"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connection with the conversion of any Class P Unit for a share of Class A common stock, one OpCo Unit will be issued to ZoomInfo HoldCo and one HoldCo Unit will be issued to ZoomInfo Technologies Inc.</w:t>
      </w:r>
    </w:p>
    <w:p>
      <w:pPr>
        <w:jc w:val="both"/>
        <w:ind w:left="340" w:hanging="328"/>
        <w:spacing w:after="0" w:line="248"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513,440 restricted stock units and 47,620 LTIP Units granted in connection with the IPO under the 2020 Omnibus Incentive Plan. In addition, 577,879 stock options, which we refer to as “leverage restoration options,” and 630,000 Class P Units, in each case with a strike price equal to the public offering price per share of Class A common stock, were granted in connection with the IPO under the 2020 Omnibus Incentive Plan.</w:t>
      </w:r>
    </w:p>
    <w:p>
      <w:pPr>
        <w:spacing w:after="0" w:line="141" w:lineRule="exact"/>
        <w:rPr>
          <w:sz w:val="20"/>
          <w:szCs w:val="20"/>
          <w:color w:val="auto"/>
        </w:rPr>
      </w:pPr>
    </w:p>
    <w:p>
      <w:pPr>
        <w:jc w:val="both"/>
        <w:ind w:left="20" w:firstLine="324"/>
        <w:spacing w:after="0" w:line="263" w:lineRule="auto"/>
        <w:rPr>
          <w:sz w:val="20"/>
          <w:szCs w:val="20"/>
          <w:color w:val="auto"/>
        </w:rPr>
      </w:pPr>
      <w:r>
        <w:rPr>
          <w:rFonts w:ascii="Arial" w:cs="Arial" w:eastAsia="Arial" w:hAnsi="Arial"/>
          <w:sz w:val="18"/>
          <w:szCs w:val="18"/>
          <w:color w:val="auto"/>
        </w:rPr>
        <w:t>The following table presents the economic interests and combined voting power in ZoomInfo Technologies Inc. held by the Sponsors, the Founders, management and others, and public stockholders (which does not reflect the exchange of any Class P Unit for a share of Class A common stock), after giving effect to this offering: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060" w:type="dxa"/>
            <w:vAlign w:val="bottom"/>
            <w:gridSpan w:val="3"/>
          </w:tcPr>
          <w:p>
            <w:pPr>
              <w:jc w:val="center"/>
              <w:ind w:left="848"/>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40" w:type="dxa"/>
            <w:vAlign w:val="bottom"/>
            <w:gridSpan w:val="3"/>
            <w:vMerge w:val="restart"/>
          </w:tcPr>
          <w:p>
            <w:pPr>
              <w:jc w:val="right"/>
              <w:ind w:right="1020"/>
              <w:spacing w:after="0"/>
              <w:rPr>
                <w:sz w:val="20"/>
                <w:szCs w:val="20"/>
                <w:color w:val="auto"/>
              </w:rPr>
            </w:pPr>
            <w:r>
              <w:rPr>
                <w:rFonts w:ascii="Arial" w:cs="Arial" w:eastAsia="Arial" w:hAnsi="Arial"/>
                <w:sz w:val="14"/>
                <w:szCs w:val="14"/>
                <w:b w:val="1"/>
                <w:bCs w:val="1"/>
                <w:color w:val="auto"/>
                <w:w w:val="99"/>
              </w:rPr>
              <w:t>Voting Power</w:t>
            </w:r>
            <w:r>
              <w:rPr>
                <w:rFonts w:ascii="Arial" w:cs="Arial" w:eastAsia="Arial" w:hAnsi="Arial"/>
                <w:sz w:val="9"/>
                <w:szCs w:val="9"/>
                <w:b w:val="1"/>
                <w:bCs w:val="1"/>
                <w:color w:val="auto"/>
                <w:w w:val="99"/>
              </w:rPr>
              <w:t>(2)</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2060" w:type="dxa"/>
            <w:vAlign w:val="bottom"/>
            <w:tcBorders>
              <w:bottom w:val="single" w:sz="8" w:color="auto"/>
            </w:tcBorders>
            <w:gridSpan w:val="3"/>
          </w:tcPr>
          <w:p>
            <w:pPr>
              <w:jc w:val="center"/>
              <w:ind w:left="848"/>
              <w:spacing w:after="0"/>
              <w:rPr>
                <w:sz w:val="20"/>
                <w:szCs w:val="20"/>
                <w:color w:val="auto"/>
              </w:rPr>
            </w:pPr>
            <w:r>
              <w:rPr>
                <w:rFonts w:ascii="Arial" w:cs="Arial" w:eastAsia="Arial" w:hAnsi="Arial"/>
                <w:sz w:val="14"/>
                <w:szCs w:val="14"/>
                <w:b w:val="1"/>
                <w:bCs w:val="1"/>
                <w:color w:val="auto"/>
                <w:w w:val="93"/>
              </w:rPr>
              <w:t>Owned</w:t>
            </w:r>
            <w:r>
              <w:rPr>
                <w:rFonts w:ascii="Arial" w:cs="Arial" w:eastAsia="Arial" w:hAnsi="Arial"/>
                <w:sz w:val="9"/>
                <w:szCs w:val="9"/>
                <w:b w:val="1"/>
                <w:bCs w:val="1"/>
                <w:color w:val="auto"/>
                <w:w w:val="93"/>
              </w:rPr>
              <w:t>(1)</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2060" w:type="dxa"/>
            <w:vAlign w:val="bottom"/>
            <w:gridSpan w:val="3"/>
          </w:tcPr>
          <w:p>
            <w:pPr>
              <w:ind w:left="4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4"/>
                <w:szCs w:val="14"/>
                <w:b w:val="1"/>
                <w:bCs w:val="1"/>
                <w:color w:val="auto"/>
                <w:w w:val="99"/>
              </w:rPr>
              <w:t>Votes</w:t>
            </w:r>
          </w:p>
        </w:tc>
        <w:tc>
          <w:tcPr>
            <w:tcW w:w="20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Sponsors</w:t>
            </w: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Founders</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Management and Others</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ind w:left="20"/>
              <w:spacing w:after="0"/>
              <w:rPr>
                <w:sz w:val="20"/>
                <w:szCs w:val="20"/>
                <w:color w:val="auto"/>
              </w:rPr>
            </w:pPr>
            <w:r>
              <w:rPr>
                <w:rFonts w:ascii="Arial" w:cs="Arial" w:eastAsia="Arial" w:hAnsi="Arial"/>
                <w:sz w:val="18"/>
                <w:szCs w:val="18"/>
                <w:color w:val="auto"/>
              </w:rPr>
              <w:t>Public Stockholders</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__________________</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6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340" w:hanging="328"/>
        <w:spacing w:after="0" w:line="248"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relates to one OpCo Unit or HoldCo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40"/>
          </w:cols>
          <w:pgMar w:left="820" w:top="121" w:right="839" w:bottom="1440" w:gutter="0" w:footer="0" w:header="0"/>
        </w:sectPr>
      </w:pPr>
    </w:p>
    <w:bookmarkStart w:id="18" w:name="page19"/>
    <w:bookmarkEnd w:id="18"/>
    <w:p>
      <w:pPr>
        <w:jc w:val="center"/>
        <w:ind w:right="-327"/>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27"/>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552450</wp:posOffset>
            </wp:positionV>
            <wp:extent cx="7136130" cy="7196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08" w:hanging="308"/>
        <w:spacing w:after="0"/>
        <w:tabs>
          <w:tab w:leader="none" w:pos="308"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beneficial ownership, reflects one vote per share of Class A common stock, ten votes per share of Class B common stock, and ten votes per share of Class C</w:t>
      </w:r>
    </w:p>
    <w:p>
      <w:pPr>
        <w:spacing w:after="0" w:line="25" w:lineRule="exact"/>
        <w:rPr>
          <w:sz w:val="20"/>
          <w:szCs w:val="20"/>
          <w:color w:val="auto"/>
        </w:rPr>
      </w:pPr>
    </w:p>
    <w:p>
      <w:pPr>
        <w:ind w:left="328"/>
        <w:spacing w:after="0"/>
        <w:rPr>
          <w:sz w:val="20"/>
          <w:szCs w:val="20"/>
          <w:color w:val="auto"/>
        </w:rPr>
      </w:pPr>
      <w:r>
        <w:rPr>
          <w:rFonts w:ascii="Arial" w:cs="Arial" w:eastAsia="Arial" w:hAnsi="Arial"/>
          <w:sz w:val="14"/>
          <w:szCs w:val="14"/>
          <w:color w:val="auto"/>
        </w:rPr>
        <w:t>common stock. See “Principal and Selling Stockholders” for additional information.</w:t>
      </w:r>
    </w:p>
    <w:p>
      <w:pPr>
        <w:spacing w:after="0" w:line="1" w:lineRule="exact"/>
        <w:rPr>
          <w:sz w:val="20"/>
          <w:szCs w:val="20"/>
          <w:color w:val="auto"/>
        </w:rPr>
      </w:pPr>
    </w:p>
    <w:p>
      <w:pPr>
        <w:jc w:val="both"/>
        <w:ind w:left="308" w:hanging="1025"/>
        <w:spacing w:after="0" w:line="241" w:lineRule="auto"/>
        <w:tabs>
          <w:tab w:leader="none" w:pos="288" w:val="left"/>
        </w:tabs>
        <w:rPr>
          <w:sz w:val="20"/>
          <w:szCs w:val="20"/>
          <w:color w:val="auto"/>
        </w:rPr>
      </w:pPr>
      <w:r>
        <w:rPr>
          <w:rFonts w:ascii="Arial" w:cs="Arial" w:eastAsia="Arial" w:hAnsi="Arial"/>
          <w:sz w:val="14"/>
          <w:szCs w:val="14"/>
          <w:color w:val="auto"/>
        </w:rPr>
        <w:t>(3)</w:t>
        <w:tab/>
        <w:t>Reflects (i) Henry Schuck’s indirect economic interest in OpCo Units and associated shares of Class B common stock held directly by HSKB Funds, LLC and OpCo Units and associated shares of Class B common stock held directly by DO Holdings (WA), LLC; and (ii) Kirk Brown’s indirect economic interest in OpCo Units and associated shares of Class B common stock held directly by DO Holdings (WA), LLC. Messrs. Schuck and Brown may be deemed to share</w:t>
      </w:r>
    </w:p>
    <w:p>
      <w:pPr>
        <w:spacing w:after="0" w:line="1" w:lineRule="exact"/>
        <w:rPr>
          <w:sz w:val="20"/>
          <w:szCs w:val="20"/>
          <w:color w:val="auto"/>
        </w:rPr>
      </w:pPr>
    </w:p>
    <w:p>
      <w:pPr>
        <w:ind w:left="328"/>
        <w:spacing w:after="0" w:line="255" w:lineRule="auto"/>
        <w:rPr>
          <w:sz w:val="20"/>
          <w:szCs w:val="20"/>
          <w:color w:val="auto"/>
        </w:rPr>
      </w:pPr>
      <w:r>
        <w:rPr>
          <w:rFonts w:ascii="Arial" w:cs="Arial" w:eastAsia="Arial" w:hAnsi="Arial"/>
          <w:sz w:val="14"/>
          <w:szCs w:val="14"/>
          <w:color w:val="auto"/>
        </w:rPr>
        <w:t>voting and dispositive power over the securities held by DO Holdings (WA), LLC. Mr. Schuck may be deemed to control voting power over the securities held by HSKB Funds I, LLC and HSKB Funds II, LLC. See “Principal and Selling Stockholders” for additional information.</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jc w:val="both"/>
        <w:ind w:left="8" w:firstLine="324"/>
        <w:spacing w:after="0" w:line="301"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companies that conduct initial public offerings and file periodic reports with the Securities and Exchange Commission (the “SEC”). These provisions include, but are not limited to:</w:t>
      </w:r>
    </w:p>
    <w:p>
      <w:pPr>
        <w:spacing w:after="0" w:line="103" w:lineRule="exact"/>
        <w:rPr>
          <w:sz w:val="20"/>
          <w:szCs w:val="20"/>
          <w:color w:val="auto"/>
        </w:rPr>
      </w:pPr>
    </w:p>
    <w:p>
      <w:pPr>
        <w:jc w:val="both"/>
        <w:ind w:left="648" w:hanging="324"/>
        <w:spacing w:after="0" w:line="263"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129" w:lineRule="exact"/>
        <w:rPr>
          <w:rFonts w:ascii="Arial" w:cs="Arial" w:eastAsia="Arial" w:hAnsi="Arial"/>
          <w:sz w:val="18"/>
          <w:szCs w:val="18"/>
          <w:color w:val="auto"/>
        </w:rPr>
      </w:pPr>
    </w:p>
    <w:p>
      <w:pPr>
        <w:ind w:left="648" w:right="20" w:hanging="324"/>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(“SOX”);</w:t>
      </w:r>
    </w:p>
    <w:p>
      <w:pPr>
        <w:spacing w:after="0" w:line="116" w:lineRule="exact"/>
        <w:rPr>
          <w:rFonts w:ascii="Arial" w:cs="Arial" w:eastAsia="Arial" w:hAnsi="Arial"/>
          <w:sz w:val="18"/>
          <w:szCs w:val="18"/>
          <w:color w:val="auto"/>
        </w:rPr>
      </w:pPr>
    </w:p>
    <w:p>
      <w:pPr>
        <w:ind w:left="648" w:hanging="324"/>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including in this prospectus;</w:t>
      </w:r>
    </w:p>
    <w:p>
      <w:pPr>
        <w:spacing w:after="0" w:line="116" w:lineRule="exact"/>
        <w:rPr>
          <w:rFonts w:ascii="Arial" w:cs="Arial" w:eastAsia="Arial" w:hAnsi="Arial"/>
          <w:sz w:val="18"/>
          <w:szCs w:val="18"/>
          <w:color w:val="auto"/>
        </w:rPr>
      </w:pPr>
    </w:p>
    <w:p>
      <w:pPr>
        <w:jc w:val="both"/>
        <w:ind w:left="648" w:hanging="324"/>
        <w:spacing w:after="0" w:line="263"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w:t>
      </w:r>
    </w:p>
    <w:p>
      <w:pPr>
        <w:spacing w:after="0" w:line="129" w:lineRule="exact"/>
        <w:rPr>
          <w:rFonts w:ascii="Arial" w:cs="Arial" w:eastAsia="Arial" w:hAnsi="Arial"/>
          <w:sz w:val="18"/>
          <w:szCs w:val="18"/>
          <w:color w:val="auto"/>
        </w:rPr>
      </w:pPr>
    </w:p>
    <w:p>
      <w:pPr>
        <w:ind w:left="648" w:hanging="324"/>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16" w:lineRule="exact"/>
        <w:rPr>
          <w:sz w:val="20"/>
          <w:szCs w:val="20"/>
          <w:color w:val="auto"/>
        </w:rPr>
      </w:pPr>
    </w:p>
    <w:p>
      <w:pPr>
        <w:ind w:left="328"/>
        <w:spacing w:after="0"/>
        <w:rPr>
          <w:sz w:val="20"/>
          <w:szCs w:val="20"/>
          <w:color w:val="auto"/>
        </w:rPr>
      </w:pPr>
      <w:r>
        <w:rPr>
          <w:rFonts w:ascii="Arial" w:cs="Arial" w:eastAsia="Arial" w:hAnsi="Arial"/>
          <w:sz w:val="18"/>
          <w:szCs w:val="18"/>
          <w:color w:val="auto"/>
        </w:rPr>
        <w:t>We will remain an emerging growth company until the earliest to occur of:</w:t>
      </w:r>
    </w:p>
    <w:p>
      <w:pPr>
        <w:spacing w:after="0" w:line="171" w:lineRule="exact"/>
        <w:rPr>
          <w:sz w:val="20"/>
          <w:szCs w:val="20"/>
          <w:color w:val="auto"/>
        </w:rPr>
      </w:pPr>
    </w:p>
    <w:p>
      <w:pPr>
        <w:ind w:left="648" w:hanging="324"/>
        <w:spacing w:after="0"/>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that follows the fifth anniversary of the completion of the IPO;</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 of at least $1.07 billion;</w:t>
      </w:r>
    </w:p>
    <w:p>
      <w:pPr>
        <w:spacing w:after="0" w:line="171" w:lineRule="exact"/>
        <w:rPr>
          <w:rFonts w:ascii="Arial" w:cs="Arial" w:eastAsia="Arial" w:hAnsi="Arial"/>
          <w:sz w:val="18"/>
          <w:szCs w:val="18"/>
          <w:color w:val="auto"/>
        </w:rPr>
      </w:pPr>
    </w:p>
    <w:p>
      <w:pPr>
        <w:ind w:left="648" w:hanging="324"/>
        <w:spacing w:after="0" w:line="277" w:lineRule="auto"/>
        <w:tabs>
          <w:tab w:leader="none" w:pos="6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as defined in the Securities Exchange Act of 1934, as amended (the “Exchange Act”); and</w:t>
      </w:r>
    </w:p>
    <w:p>
      <w:pPr>
        <w:spacing w:after="0" w:line="116" w:lineRule="exact"/>
        <w:rPr>
          <w:rFonts w:ascii="Arial" w:cs="Arial" w:eastAsia="Arial" w:hAnsi="Arial"/>
          <w:sz w:val="18"/>
          <w:szCs w:val="18"/>
          <w:color w:val="auto"/>
        </w:rPr>
      </w:pPr>
    </w:p>
    <w:p>
      <w:pPr>
        <w:ind w:left="648" w:hanging="324"/>
        <w:spacing w:after="0"/>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over a three-year period.</w:t>
      </w:r>
    </w:p>
    <w:p>
      <w:pPr>
        <w:spacing w:after="0" w:line="171" w:lineRule="exact"/>
        <w:rPr>
          <w:sz w:val="20"/>
          <w:szCs w:val="20"/>
          <w:color w:val="auto"/>
        </w:rPr>
      </w:pPr>
    </w:p>
    <w:p>
      <w:pPr>
        <w:jc w:val="both"/>
        <w:ind w:left="8" w:firstLine="324"/>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our Class A stockholders may be different than what you might receive from other public reporting companies in which you hold equity interests.</w:t>
      </w:r>
    </w:p>
    <w:p>
      <w:pPr>
        <w:spacing w:after="0" w:line="95" w:lineRule="exact"/>
        <w:rPr>
          <w:sz w:val="20"/>
          <w:szCs w:val="20"/>
          <w:color w:val="auto"/>
        </w:rPr>
      </w:pPr>
    </w:p>
    <w:p>
      <w:pPr>
        <w:jc w:val="both"/>
        <w:ind w:left="8" w:right="20" w:firstLine="324"/>
        <w:spacing w:after="0" w:line="311" w:lineRule="auto"/>
        <w:rPr>
          <w:sz w:val="20"/>
          <w:szCs w:val="20"/>
          <w:color w:val="auto"/>
        </w:rPr>
      </w:pPr>
      <w:r>
        <w:rPr>
          <w:rFonts w:ascii="Arial" w:cs="Arial" w:eastAsia="Arial" w:hAnsi="Arial"/>
          <w:sz w:val="16"/>
          <w:szCs w:val="16"/>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95"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8"/>
          <w:szCs w:val="18"/>
          <w:color w:val="auto"/>
        </w:rPr>
        <w:t>For additional information, see the section titled “Risk Factors—Risks Related to this Offering and Ownership of Our Class A Common Stock—We are an “emerging growth company,” and the reduced disclosure requirements applicable to emerging growth companies may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8"/>
          </w:cols>
          <w:pgMar w:left="832" w:top="121" w:right="839" w:bottom="1440" w:gutter="0" w:footer="0" w:header="0"/>
        </w:sectPr>
      </w:pPr>
    </w:p>
    <w:bookmarkStart w:id="19" w:name="page20"/>
    <w:bookmarkEnd w:id="19"/>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127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Sponsors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 Associates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Founded in 1968, TA Associates is one of the most experienced global growth private equity firms in the world. TA Associates invests in growing companies with opportunities for sustained growth, and employs a long-term approach, utilizing its strategic resources, to help management teams build lasting value in great companies. With approximately $33.5 billion raised since inception and over five decades of experience, TA Associates offers its portfolio companies strategic guidance, global insight, strategic acquisition support, recruiting assistance, and a significant network of contacts, in addition to sound financial backing. The firm’s investment team is based in Boston, Menlo Park, London, Mumbai, and Hong Kong.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Carlyle Group</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Carlyle Group Inc. (NASDAQ: CG) is a global investment firm with deep industry expertise that deploys private capital across four business segments: Corporate Private Equity, Real Assets, Global Credit, and Investment Solutions. With $217 billion of assets under management as of March 31, 2020, The Carlyle Group’s purpose is to invest wisely and create value on behalf of its investors, portfolio companies, and the communities in which they invest. The Carlyle Group is a leading private equity investor having completed more than 650 transactions representing over $105 billion in equity investments, with particular strength in technology, business services, and communications sectors, which represent over 310 investments and $34 billion of equity invested. The Carlyle Group employs more than 1,775 people in 32 offices across six continents.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22C Capital</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22C Capital is a private investment firm based in New York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cross-disciplinary experience building and running market-leading data analytics companies, including co-founding and leading Capital IQ.</w:t>
      </w:r>
    </w:p>
    <w:p>
      <w:pPr>
        <w:spacing w:after="0" w:line="200" w:lineRule="exact"/>
        <w:rPr>
          <w:sz w:val="20"/>
          <w:szCs w:val="20"/>
          <w:color w:val="auto"/>
        </w:rPr>
      </w:pPr>
    </w:p>
    <w:p>
      <w:pPr>
        <w:spacing w:after="0" w:line="33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After the completion of this offering, the parties to our stockholders agreement will beneficially own approximately % of the combined voting power of our Class A, Class B, and Class C common stock (or % if the underwriters exercise in full their option to</w:t>
      </w:r>
    </w:p>
    <w:p>
      <w:pPr>
        <w:jc w:val="both"/>
        <w:spacing w:after="0" w:line="284" w:lineRule="auto"/>
        <w:rPr>
          <w:sz w:val="20"/>
          <w:szCs w:val="20"/>
          <w:color w:val="auto"/>
        </w:rPr>
      </w:pPr>
      <w:r>
        <w:rPr>
          <w:rFonts w:ascii="Arial" w:cs="Arial" w:eastAsia="Arial" w:hAnsi="Arial"/>
          <w:sz w:val="16"/>
          <w:szCs w:val="16"/>
          <w:color w:val="auto"/>
        </w:rPr>
        <w:t>purchase additional shares of 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As a result, we will continue to be a “controlled company” within the meaning of the Nasdaq corporate governance standards. Under these corporate governance standards, a company of which more than 50% of the voting power is beneficially owned by an individual, group, or 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its board of directors have a nominating and corporate governance committee that is composed entirely of independent directors with a written charter addressing the committee’s purpose and responsibilities. Accordingly, you will not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20"/>
          </w:cols>
          <w:pgMar w:left="840" w:top="121" w:right="839" w:bottom="1440" w:gutter="0" w:footer="0" w:header="0"/>
        </w:sectPr>
      </w:pPr>
    </w:p>
    <w:bookmarkStart w:id="20" w:name="page21"/>
    <w:bookmarkEnd w:id="20"/>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3527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352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same protections afforded to shareholders of companies that are subject to all of these corporate governance requirements. In the event that we cease to be a “controlled company” and our Class A common stock continues to be listed on the Nasdaq, we will be required to comply with these provisions within the applicable transition periods.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Corporate Information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or have rights to, trademarks, service marks, or trade names that we use in connection with the operation of our business, including ZOOMINFO and DISCOVERORG, which we consider important to our marketing activities. This prospectus also contains trademarks of other companies that to our knowledge are the property of their respective holders, and we do not intend our use or display of such marks to imply relationships with, or endorsements of us by, any other company.</w:t>
      </w:r>
    </w:p>
    <w:p>
      <w:pPr>
        <w:spacing w:after="0" w:line="1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 xml:space="preserve">Solely for convenience, the trademarks, service marks, and trade names referred to in this prospectus are used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20"/>
          </w:cols>
          <w:pgMar w:left="840" w:top="121" w:right="839" w:bottom="1440" w:gutter="0" w:footer="0" w:header="0"/>
        </w:sectPr>
      </w:pPr>
    </w:p>
    <w:bookmarkStart w:id="21" w:name="page22"/>
    <w:bookmarkEnd w:id="21"/>
    <w:p>
      <w:pPr>
        <w:spacing w:after="0" w:line="218" w:lineRule="auto"/>
        <w:framePr w:w="5760" w:h="376" w:wrap="auto" w:vAnchor="page" w:hAnchor="page" w:x="5300" w:y="2963"/>
        <w:rPr>
          <w:rFonts w:ascii="Arial" w:cs="Arial" w:eastAsia="Arial" w:hAnsi="Arial"/>
          <w:sz w:val="18"/>
          <w:szCs w:val="18"/>
          <w:color w:val="auto"/>
        </w:rPr>
      </w:pPr>
      <w:r>
        <w:rPr>
          <w:rFonts w:ascii="Arial" w:cs="Arial" w:eastAsia="Arial" w:hAnsi="Arial"/>
          <w:sz w:val="18"/>
          <w:szCs w:val="18"/>
          <w:color w:val="auto"/>
        </w:rPr>
        <w:t>Class A common stock at the public offering price, less the underwriting discount.</w:t>
      </w:r>
    </w:p>
    <w:p>
      <w:pPr>
        <w:spacing w:after="0" w:line="209" w:lineRule="auto"/>
        <w:framePr w:w="3260" w:h="160" w:wrap="auto" w:vAnchor="page" w:hAnchor="page" w:x="5300" w:y="2747"/>
        <w:rPr>
          <w:rFonts w:ascii="Arial" w:cs="Arial" w:eastAsia="Arial" w:hAnsi="Arial"/>
          <w:sz w:val="16"/>
          <w:szCs w:val="16"/>
          <w:color w:val="auto"/>
        </w:rPr>
      </w:pPr>
      <w:r>
        <w:rPr>
          <w:rFonts w:ascii="Arial" w:cs="Arial" w:eastAsia="Arial" w:hAnsi="Arial"/>
          <w:sz w:val="16"/>
          <w:szCs w:val="16"/>
          <w:color w:val="auto"/>
        </w:rPr>
        <w:t>the date of this prospectus to purchase up to</w:t>
      </w:r>
    </w:p>
    <w:p>
      <w:pPr>
        <w:spacing w:after="0" w:line="194" w:lineRule="auto"/>
        <w:framePr w:w="10260" w:h="336" w:wrap="auto" w:vAnchor="page" w:hAnchor="page" w:x="800" w:y="2518"/>
        <w:rPr>
          <w:rFonts w:ascii="Arial" w:cs="Arial" w:eastAsia="Arial" w:hAnsi="Arial"/>
          <w:sz w:val="18"/>
          <w:szCs w:val="18"/>
          <w:color w:val="auto"/>
        </w:rPr>
      </w:pPr>
      <w:r>
        <w:rPr>
          <w:rFonts w:ascii="Arial" w:cs="Arial" w:eastAsia="Arial" w:hAnsi="Arial"/>
          <w:sz w:val="18"/>
          <w:szCs w:val="18"/>
          <w:color w:val="auto"/>
        </w:rPr>
        <w:t>Option to purchase additional shares of Class A common The selling stockholders have granted the underwriters a 30-day option from stock</w:t>
      </w:r>
    </w:p>
    <w:p>
      <w:pPr>
        <w:spacing w:after="0" w:line="209" w:lineRule="auto"/>
        <w:framePr w:w="1780" w:h="160" w:wrap="auto" w:vAnchor="page" w:hAnchor="page" w:x="9280" w:y="2747"/>
        <w:rPr>
          <w:rFonts w:ascii="Arial" w:cs="Arial" w:eastAsia="Arial" w:hAnsi="Arial"/>
          <w:sz w:val="16"/>
          <w:szCs w:val="16"/>
          <w:color w:val="auto"/>
        </w:rPr>
      </w:pPr>
      <w:r>
        <w:rPr>
          <w:rFonts w:ascii="Arial" w:cs="Arial" w:eastAsia="Arial" w:hAnsi="Arial"/>
          <w:sz w:val="16"/>
          <w:szCs w:val="16"/>
          <w:color w:val="auto"/>
        </w:rPr>
        <w:t>additional shares of our</w:t>
      </w:r>
    </w:p>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rFonts w:ascii="Arial" w:cs="Arial" w:eastAsia="Arial" w:hAnsi="Arial"/>
          <w:sz w:val="16"/>
          <w:szCs w:val="16"/>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400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4007485"/>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16" w:lineRule="exact"/>
        <w:rPr>
          <w:rFonts w:ascii="Arial" w:cs="Arial" w:eastAsia="Arial" w:hAnsi="Arial"/>
          <w:sz w:val="16"/>
          <w:szCs w:val="16"/>
          <w:color w:val="auto"/>
        </w:rPr>
      </w:pPr>
    </w:p>
    <w:p>
      <w:pPr>
        <w:spacing w:after="0"/>
        <w:tabs>
          <w:tab w:leader="none" w:pos="5200" w:val="left"/>
        </w:tabs>
        <w:rPr>
          <w:sz w:val="20"/>
          <w:szCs w:val="20"/>
          <w:color w:val="auto"/>
        </w:rPr>
      </w:pPr>
      <w:r>
        <w:rPr>
          <w:rFonts w:ascii="Arial" w:cs="Arial" w:eastAsia="Arial" w:hAnsi="Arial"/>
          <w:sz w:val="18"/>
          <w:szCs w:val="18"/>
          <w:color w:val="auto"/>
        </w:rPr>
        <w:t>Class A common stock offered by the selling stockholders</w:t>
      </w:r>
      <w:r>
        <w:rPr>
          <w:sz w:val="20"/>
          <w:szCs w:val="20"/>
          <w:color w:val="auto"/>
        </w:rPr>
        <w:tab/>
      </w:r>
      <w:r>
        <w:rPr>
          <w:rFonts w:ascii="Arial" w:cs="Arial" w:eastAsia="Arial" w:hAnsi="Arial"/>
          <w:sz w:val="15"/>
          <w:szCs w:val="15"/>
          <w:color w:val="auto"/>
        </w:rPr>
        <w:t>shares.</w:t>
      </w:r>
    </w:p>
    <w:p>
      <w:pPr>
        <w:spacing w:after="0" w:line="132"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20"/>
                <w:szCs w:val="20"/>
                <w:color w:val="auto"/>
              </w:rPr>
            </w:pPr>
            <w:r>
              <w:rPr>
                <w:rFonts w:ascii="Arial" w:cs="Arial" w:eastAsia="Arial" w:hAnsi="Arial"/>
                <w:sz w:val="18"/>
                <w:szCs w:val="18"/>
                <w:color w:val="auto"/>
                <w:w w:val="93"/>
              </w:rPr>
              <w:t>Class A common stock outstanding after giving effect to this</w:t>
            </w:r>
          </w:p>
        </w:tc>
        <w:tc>
          <w:tcPr>
            <w:tcW w:w="760" w:type="dxa"/>
            <w:vAlign w:val="bottom"/>
          </w:tcPr>
          <w:p>
            <w:pPr>
              <w:spacing w:after="0"/>
              <w:rPr>
                <w:sz w:val="17"/>
                <w:szCs w:val="17"/>
                <w:color w:val="auto"/>
              </w:rPr>
            </w:pPr>
          </w:p>
        </w:tc>
        <w:tc>
          <w:tcPr>
            <w:tcW w:w="1460" w:type="dxa"/>
            <w:vAlign w:val="bottom"/>
          </w:tcPr>
          <w:p>
            <w:pPr>
              <w:ind w:left="60"/>
              <w:spacing w:after="0"/>
              <w:rPr>
                <w:sz w:val="20"/>
                <w:szCs w:val="20"/>
                <w:color w:val="auto"/>
              </w:rPr>
            </w:pPr>
            <w:r>
              <w:rPr>
                <w:rFonts w:ascii="Arial" w:cs="Arial" w:eastAsia="Arial" w:hAnsi="Arial"/>
                <w:sz w:val="18"/>
                <w:szCs w:val="18"/>
                <w:color w:val="auto"/>
              </w:rPr>
              <w:t>shares (or</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w w:val="95"/>
              </w:rPr>
              <w:t>shares if the underwriters exercise in full their</w:t>
            </w:r>
          </w:p>
        </w:tc>
        <w:tc>
          <w:tcPr>
            <w:tcW w:w="0" w:type="dxa"/>
            <w:vAlign w:val="bottom"/>
          </w:tcPr>
          <w:p>
            <w:pPr>
              <w:spacing w:after="0"/>
              <w:rPr>
                <w:sz w:val="1"/>
                <w:szCs w:val="1"/>
                <w:color w:val="auto"/>
              </w:rPr>
            </w:pPr>
          </w:p>
        </w:tc>
      </w:tr>
      <w:tr>
        <w:trPr>
          <w:trHeight w:val="270"/>
        </w:trPr>
        <w:tc>
          <w:tcPr>
            <w:tcW w:w="4480" w:type="dxa"/>
            <w:vAlign w:val="bottom"/>
          </w:tcPr>
          <w:p>
            <w:pPr>
              <w:ind w:left="340"/>
              <w:spacing w:after="0"/>
              <w:rPr>
                <w:sz w:val="20"/>
                <w:szCs w:val="20"/>
                <w:color w:val="auto"/>
              </w:rPr>
            </w:pPr>
            <w:r>
              <w:rPr>
                <w:rFonts w:ascii="Arial" w:cs="Arial" w:eastAsia="Arial" w:hAnsi="Arial"/>
                <w:sz w:val="18"/>
                <w:szCs w:val="18"/>
                <w:color w:val="auto"/>
              </w:rPr>
              <w:t>offering</w:t>
            </w: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option to purchase additional shares of Class A common stock).</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480" w:type="dxa"/>
            <w:vAlign w:val="bottom"/>
          </w:tcPr>
          <w:p>
            <w:pPr>
              <w:spacing w:after="0"/>
              <w:rPr>
                <w:sz w:val="20"/>
                <w:szCs w:val="20"/>
                <w:color w:val="auto"/>
              </w:rPr>
            </w:pPr>
            <w:r>
              <w:rPr>
                <w:rFonts w:ascii="Arial" w:cs="Arial" w:eastAsia="Arial" w:hAnsi="Arial"/>
                <w:sz w:val="18"/>
                <w:szCs w:val="18"/>
                <w:color w:val="auto"/>
                <w:w w:val="97"/>
              </w:rPr>
              <w:t>Class  A  common  stock  outstanding  after  this  offering</w:t>
            </w:r>
          </w:p>
        </w:tc>
        <w:tc>
          <w:tcPr>
            <w:tcW w:w="5720" w:type="dxa"/>
            <w:vAlign w:val="bottom"/>
            <w:gridSpan w:val="5"/>
          </w:tcPr>
          <w:p>
            <w:pPr>
              <w:jc w:val="right"/>
              <w:spacing w:after="0"/>
              <w:rPr>
                <w:sz w:val="20"/>
                <w:szCs w:val="20"/>
                <w:color w:val="auto"/>
              </w:rPr>
            </w:pPr>
            <w:r>
              <w:rPr>
                <w:rFonts w:ascii="Arial" w:cs="Arial" w:eastAsia="Arial" w:hAnsi="Arial"/>
                <w:sz w:val="18"/>
                <w:szCs w:val="18"/>
                <w:color w:val="auto"/>
              </w:rPr>
              <w:t>shares (which does not reflect the exchange of any Class P Unit for a</w:t>
            </w:r>
          </w:p>
        </w:tc>
        <w:tc>
          <w:tcPr>
            <w:tcW w:w="0" w:type="dxa"/>
            <w:vAlign w:val="bottom"/>
          </w:tcPr>
          <w:p>
            <w:pPr>
              <w:spacing w:after="0"/>
              <w:rPr>
                <w:sz w:val="1"/>
                <w:szCs w:val="1"/>
                <w:color w:val="auto"/>
              </w:rPr>
            </w:pPr>
          </w:p>
        </w:tc>
      </w:tr>
      <w:tr>
        <w:trPr>
          <w:trHeight w:val="216"/>
        </w:trPr>
        <w:tc>
          <w:tcPr>
            <w:tcW w:w="5240" w:type="dxa"/>
            <w:vAlign w:val="bottom"/>
            <w:gridSpan w:val="2"/>
          </w:tcPr>
          <w:p>
            <w:pPr>
              <w:ind w:left="340"/>
              <w:spacing w:after="0" w:line="216" w:lineRule="exact"/>
              <w:rPr>
                <w:sz w:val="20"/>
                <w:szCs w:val="20"/>
                <w:color w:val="auto"/>
              </w:rPr>
            </w:pPr>
            <w:r>
              <w:rPr>
                <w:rFonts w:ascii="Arial" w:cs="Arial" w:eastAsia="Arial" w:hAnsi="Arial"/>
                <w:sz w:val="14"/>
                <w:szCs w:val="14"/>
                <w:color w:val="auto"/>
              </w:rPr>
              <w:t xml:space="preserve">assuming exchange of all OpCo Units and HoldCo Units </w:t>
            </w:r>
            <w:r>
              <w:rPr>
                <w:rFonts w:ascii="Arial" w:cs="Arial" w:eastAsia="Arial" w:hAnsi="Arial"/>
                <w:sz w:val="25"/>
                <w:szCs w:val="25"/>
                <w:color w:val="auto"/>
                <w:vertAlign w:val="subscript"/>
              </w:rPr>
              <w:t>share of</w:t>
            </w:r>
          </w:p>
        </w:tc>
        <w:tc>
          <w:tcPr>
            <w:tcW w:w="1460" w:type="dxa"/>
            <w:vAlign w:val="bottom"/>
          </w:tcPr>
          <w:p>
            <w:pPr>
              <w:ind w:left="20"/>
              <w:spacing w:after="0"/>
              <w:rPr>
                <w:sz w:val="20"/>
                <w:szCs w:val="20"/>
                <w:color w:val="auto"/>
              </w:rPr>
            </w:pPr>
            <w:r>
              <w:rPr>
                <w:rFonts w:ascii="Arial" w:cs="Arial" w:eastAsia="Arial" w:hAnsi="Arial"/>
                <w:sz w:val="18"/>
                <w:szCs w:val="18"/>
                <w:color w:val="auto"/>
              </w:rPr>
              <w:t>Class A common</w:t>
            </w: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2800" w:type="dxa"/>
            <w:vAlign w:val="bottom"/>
          </w:tcPr>
          <w:p>
            <w:pPr>
              <w:jc w:val="center"/>
              <w:spacing w:after="0"/>
              <w:rPr>
                <w:sz w:val="20"/>
                <w:szCs w:val="20"/>
                <w:color w:val="auto"/>
              </w:rPr>
            </w:pPr>
            <w:r>
              <w:rPr>
                <w:rFonts w:ascii="Arial" w:cs="Arial" w:eastAsia="Arial" w:hAnsi="Arial"/>
                <w:sz w:val="18"/>
                <w:szCs w:val="18"/>
                <w:color w:val="auto"/>
              </w:rPr>
              <w:t>and which remains unchanged if</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the</w:t>
            </w:r>
          </w:p>
        </w:tc>
        <w:tc>
          <w:tcPr>
            <w:tcW w:w="0" w:type="dxa"/>
            <w:vAlign w:val="bottom"/>
          </w:tcPr>
          <w:p>
            <w:pPr>
              <w:spacing w:after="0"/>
              <w:rPr>
                <w:sz w:val="1"/>
                <w:szCs w:val="1"/>
                <w:color w:val="auto"/>
              </w:rPr>
            </w:pPr>
          </w:p>
        </w:tc>
      </w:tr>
      <w:tr>
        <w:trPr>
          <w:trHeight w:val="108"/>
        </w:trPr>
        <w:tc>
          <w:tcPr>
            <w:tcW w:w="4480" w:type="dxa"/>
            <w:vAlign w:val="bottom"/>
          </w:tcPr>
          <w:p>
            <w:pPr>
              <w:ind w:left="340"/>
              <w:spacing w:after="0" w:line="108" w:lineRule="exact"/>
              <w:rPr>
                <w:sz w:val="20"/>
                <w:szCs w:val="20"/>
                <w:color w:val="auto"/>
              </w:rPr>
            </w:pPr>
            <w:r>
              <w:rPr>
                <w:rFonts w:ascii="Arial" w:cs="Arial" w:eastAsia="Arial" w:hAnsi="Arial"/>
                <w:sz w:val="12"/>
                <w:szCs w:val="12"/>
                <w:color w:val="auto"/>
              </w:rPr>
              <w:t>held by the Pre-IPO OpCo Unitholders and the Pre-IPO</w:t>
            </w:r>
          </w:p>
        </w:tc>
        <w:tc>
          <w:tcPr>
            <w:tcW w:w="7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1"/>
              </w:rPr>
              <w:t>their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5"/>
              </w:rPr>
              <w:t>option to purchase additional shares</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175"/>
        </w:trPr>
        <w:tc>
          <w:tcPr>
            <w:tcW w:w="6700" w:type="dxa"/>
            <w:vAlign w:val="bottom"/>
            <w:gridSpan w:val="3"/>
          </w:tcPr>
          <w:p>
            <w:pPr>
              <w:ind w:left="340"/>
              <w:spacing w:after="0" w:line="176" w:lineRule="exact"/>
              <w:rPr>
                <w:sz w:val="20"/>
                <w:szCs w:val="20"/>
                <w:color w:val="auto"/>
              </w:rPr>
            </w:pPr>
            <w:r>
              <w:rPr>
                <w:rFonts w:ascii="Arial" w:cs="Arial" w:eastAsia="Arial" w:hAnsi="Arial"/>
                <w:sz w:val="12"/>
                <w:szCs w:val="12"/>
                <w:color w:val="auto"/>
              </w:rPr>
              <w:t xml:space="preserve">HoldCo Unitholders, respectively, and conversion of all </w:t>
            </w:r>
            <w:r>
              <w:rPr>
                <w:rFonts w:ascii="Arial" w:cs="Arial" w:eastAsia="Arial" w:hAnsi="Arial"/>
                <w:sz w:val="20"/>
                <w:szCs w:val="20"/>
                <w:color w:val="auto"/>
                <w:vertAlign w:val="superscript"/>
              </w:rPr>
              <w:t>underwriters exercise in full</w:t>
            </w:r>
          </w:p>
        </w:tc>
        <w:tc>
          <w:tcPr>
            <w:tcW w:w="460" w:type="dxa"/>
            <w:vAlign w:val="bottom"/>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Class C common stock</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 A common stock).</w:t>
            </w:r>
          </w:p>
        </w:tc>
        <w:tc>
          <w:tcPr>
            <w:tcW w:w="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0"/>
                <w:szCs w:val="20"/>
                <w:color w:val="auto"/>
              </w:rPr>
            </w:pPr>
            <w:r>
              <w:rPr>
                <w:rFonts w:ascii="Arial" w:cs="Arial" w:eastAsia="Arial" w:hAnsi="Arial"/>
                <w:sz w:val="18"/>
                <w:szCs w:val="18"/>
                <w:color w:val="auto"/>
                <w:w w:val="97"/>
              </w:rPr>
              <w:t>Voting power held by investors in this offering after giving</w:t>
            </w:r>
          </w:p>
        </w:tc>
        <w:tc>
          <w:tcPr>
            <w:tcW w:w="760" w:type="dxa"/>
            <w:vAlign w:val="bottom"/>
          </w:tcPr>
          <w:p>
            <w:pPr>
              <w:ind w:left="340"/>
              <w:spacing w:after="0"/>
              <w:rPr>
                <w:sz w:val="20"/>
                <w:szCs w:val="20"/>
                <w:color w:val="auto"/>
              </w:rPr>
            </w:pPr>
            <w:r>
              <w:rPr>
                <w:rFonts w:ascii="Arial" w:cs="Arial" w:eastAsia="Arial" w:hAnsi="Arial"/>
                <w:sz w:val="18"/>
                <w:szCs w:val="18"/>
                <w:color w:val="auto"/>
                <w:w w:val="92"/>
              </w:rPr>
              <w:t>% (or</w:t>
            </w:r>
          </w:p>
        </w:tc>
        <w:tc>
          <w:tcPr>
            <w:tcW w:w="4960" w:type="dxa"/>
            <w:vAlign w:val="bottom"/>
            <w:gridSpan w:val="4"/>
          </w:tcPr>
          <w:p>
            <w:pPr>
              <w:jc w:val="right"/>
              <w:spacing w:after="0"/>
              <w:rPr>
                <w:sz w:val="20"/>
                <w:szCs w:val="20"/>
                <w:color w:val="auto"/>
              </w:rPr>
            </w:pPr>
            <w:r>
              <w:rPr>
                <w:rFonts w:ascii="Arial" w:cs="Arial" w:eastAsia="Arial" w:hAnsi="Arial"/>
                <w:sz w:val="18"/>
                <w:szCs w:val="18"/>
                <w:color w:val="auto"/>
              </w:rPr>
              <w:t>% if the underwriters exercise in full their option to purchase</w:t>
            </w:r>
          </w:p>
        </w:tc>
        <w:tc>
          <w:tcPr>
            <w:tcW w:w="0" w:type="dxa"/>
            <w:vAlign w:val="bottom"/>
          </w:tcPr>
          <w:p>
            <w:pPr>
              <w:spacing w:after="0"/>
              <w:rPr>
                <w:sz w:val="1"/>
                <w:szCs w:val="1"/>
                <w:color w:val="auto"/>
              </w:rPr>
            </w:pPr>
          </w:p>
        </w:tc>
      </w:tr>
      <w:tr>
        <w:trPr>
          <w:trHeight w:val="270"/>
        </w:trPr>
        <w:tc>
          <w:tcPr>
            <w:tcW w:w="4480" w:type="dxa"/>
            <w:vAlign w:val="bottom"/>
          </w:tcPr>
          <w:p>
            <w:pPr>
              <w:ind w:left="340"/>
              <w:spacing w:after="0"/>
              <w:rPr>
                <w:sz w:val="20"/>
                <w:szCs w:val="20"/>
                <w:color w:val="auto"/>
              </w:rPr>
            </w:pPr>
            <w:r>
              <w:rPr>
                <w:rFonts w:ascii="Arial" w:cs="Arial" w:eastAsia="Arial" w:hAnsi="Arial"/>
                <w:sz w:val="18"/>
                <w:szCs w:val="18"/>
                <w:color w:val="auto"/>
              </w:rPr>
              <w:t>effect to this offering</w:t>
            </w: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additional shares of Class A common stock).</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w w:val="94"/>
              </w:rPr>
              <w:t>Voting power held by our pre-IPO owners after giving effect</w:t>
            </w:r>
          </w:p>
        </w:tc>
        <w:tc>
          <w:tcPr>
            <w:tcW w:w="760" w:type="dxa"/>
            <w:vAlign w:val="bottom"/>
          </w:tcPr>
          <w:p>
            <w:pPr>
              <w:ind w:left="340"/>
              <w:spacing w:after="0"/>
              <w:rPr>
                <w:sz w:val="20"/>
                <w:szCs w:val="20"/>
                <w:color w:val="auto"/>
              </w:rPr>
            </w:pPr>
            <w:r>
              <w:rPr>
                <w:rFonts w:ascii="Arial" w:cs="Arial" w:eastAsia="Arial" w:hAnsi="Arial"/>
                <w:sz w:val="18"/>
                <w:szCs w:val="18"/>
                <w:color w:val="auto"/>
                <w:w w:val="92"/>
              </w:rPr>
              <w:t>% (or</w:t>
            </w:r>
          </w:p>
        </w:tc>
        <w:tc>
          <w:tcPr>
            <w:tcW w:w="4960" w:type="dxa"/>
            <w:vAlign w:val="bottom"/>
            <w:gridSpan w:val="4"/>
          </w:tcPr>
          <w:p>
            <w:pPr>
              <w:jc w:val="right"/>
              <w:spacing w:after="0"/>
              <w:rPr>
                <w:sz w:val="20"/>
                <w:szCs w:val="20"/>
                <w:color w:val="auto"/>
              </w:rPr>
            </w:pPr>
            <w:r>
              <w:rPr>
                <w:rFonts w:ascii="Arial" w:cs="Arial" w:eastAsia="Arial" w:hAnsi="Arial"/>
                <w:sz w:val="18"/>
                <w:szCs w:val="18"/>
                <w:color w:val="auto"/>
              </w:rPr>
              <w:t>% if the underwriters exercise in full their option to purchase</w:t>
            </w:r>
          </w:p>
        </w:tc>
        <w:tc>
          <w:tcPr>
            <w:tcW w:w="0" w:type="dxa"/>
            <w:vAlign w:val="bottom"/>
          </w:tcPr>
          <w:p>
            <w:pPr>
              <w:spacing w:after="0"/>
              <w:rPr>
                <w:sz w:val="1"/>
                <w:szCs w:val="1"/>
                <w:color w:val="auto"/>
              </w:rPr>
            </w:pPr>
          </w:p>
        </w:tc>
      </w:tr>
      <w:tr>
        <w:trPr>
          <w:trHeight w:val="270"/>
        </w:trPr>
        <w:tc>
          <w:tcPr>
            <w:tcW w:w="4480" w:type="dxa"/>
            <w:vAlign w:val="bottom"/>
          </w:tcPr>
          <w:p>
            <w:pPr>
              <w:ind w:left="340"/>
              <w:spacing w:after="0"/>
              <w:rPr>
                <w:sz w:val="20"/>
                <w:szCs w:val="20"/>
                <w:color w:val="auto"/>
              </w:rPr>
            </w:pPr>
            <w:r>
              <w:rPr>
                <w:rFonts w:ascii="Arial" w:cs="Arial" w:eastAsia="Arial" w:hAnsi="Arial"/>
                <w:sz w:val="18"/>
                <w:szCs w:val="18"/>
                <w:color w:val="auto"/>
              </w:rPr>
              <w:t>to this offering</w:t>
            </w: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additional shares of Class A common stock).</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Use of proceeds</w:t>
            </w:r>
          </w:p>
        </w:tc>
        <w:tc>
          <w:tcPr>
            <w:tcW w:w="5720" w:type="dxa"/>
            <w:vAlign w:val="bottom"/>
            <w:gridSpan w:val="5"/>
          </w:tcPr>
          <w:p>
            <w:pPr>
              <w:jc w:val="right"/>
              <w:spacing w:after="0"/>
              <w:rPr>
                <w:sz w:val="20"/>
                <w:szCs w:val="20"/>
                <w:color w:val="auto"/>
              </w:rPr>
            </w:pPr>
            <w:r>
              <w:rPr>
                <w:rFonts w:ascii="Arial" w:cs="Arial" w:eastAsia="Arial" w:hAnsi="Arial"/>
                <w:sz w:val="18"/>
                <w:szCs w:val="18"/>
                <w:color w:val="auto"/>
                <w:w w:val="95"/>
              </w:rPr>
              <w:t>The selling stockholders will receive all of the net proceeds from the sale of</w:t>
            </w:r>
          </w:p>
        </w:tc>
        <w:tc>
          <w:tcPr>
            <w:tcW w:w="0" w:type="dxa"/>
            <w:vAlign w:val="bottom"/>
          </w:tcPr>
          <w:p>
            <w:pPr>
              <w:spacing w:after="0"/>
              <w:rPr>
                <w:sz w:val="1"/>
                <w:szCs w:val="1"/>
                <w:color w:val="auto"/>
              </w:rPr>
            </w:pPr>
          </w:p>
        </w:tc>
      </w:tr>
      <w:tr>
        <w:trPr>
          <w:trHeight w:val="177"/>
        </w:trPr>
        <w:tc>
          <w:tcPr>
            <w:tcW w:w="4480" w:type="dxa"/>
            <w:vAlign w:val="bottom"/>
          </w:tcPr>
          <w:p>
            <w:pPr>
              <w:spacing w:after="0"/>
              <w:rPr>
                <w:sz w:val="15"/>
                <w:szCs w:val="15"/>
                <w:color w:val="auto"/>
              </w:rPr>
            </w:pPr>
          </w:p>
        </w:tc>
        <w:tc>
          <w:tcPr>
            <w:tcW w:w="5720" w:type="dxa"/>
            <w:vAlign w:val="bottom"/>
            <w:gridSpan w:val="5"/>
          </w:tcPr>
          <w:p>
            <w:pPr>
              <w:jc w:val="right"/>
              <w:spacing w:after="0" w:line="177" w:lineRule="exact"/>
              <w:rPr>
                <w:sz w:val="20"/>
                <w:szCs w:val="20"/>
                <w:color w:val="auto"/>
              </w:rPr>
            </w:pPr>
            <w:r>
              <w:rPr>
                <w:rFonts w:ascii="Arial" w:cs="Arial" w:eastAsia="Arial" w:hAnsi="Arial"/>
                <w:sz w:val="18"/>
                <w:szCs w:val="18"/>
                <w:color w:val="auto"/>
                <w:w w:val="99"/>
              </w:rPr>
              <w:t>shares of Class A common stock in this offering. We will not receive any</w:t>
            </w:r>
          </w:p>
        </w:tc>
        <w:tc>
          <w:tcPr>
            <w:tcW w:w="0" w:type="dxa"/>
            <w:vAlign w:val="bottom"/>
          </w:tcPr>
          <w:p>
            <w:pPr>
              <w:spacing w:after="0"/>
              <w:rPr>
                <w:sz w:val="1"/>
                <w:szCs w:val="1"/>
                <w:color w:val="auto"/>
              </w:rPr>
            </w:pPr>
          </w:p>
        </w:tc>
      </w:tr>
    </w:tbl>
    <w:p>
      <w:pPr>
        <w:jc w:val="both"/>
        <w:ind w:left="4500" w:right="20"/>
        <w:spacing w:after="0" w:line="218" w:lineRule="auto"/>
        <w:rPr>
          <w:sz w:val="20"/>
          <w:szCs w:val="20"/>
          <w:color w:val="auto"/>
        </w:rPr>
      </w:pPr>
      <w:r>
        <w:rPr>
          <w:rFonts w:ascii="Arial" w:cs="Arial" w:eastAsia="Arial" w:hAnsi="Arial"/>
          <w:sz w:val="18"/>
          <w:szCs w:val="18"/>
          <w:color w:val="auto"/>
        </w:rPr>
        <w:t>proceeds from the sale of shares of Class A common stock by the selling stockholders or if the underwriters exercise their option to purchase additional shares. See “Use of Proceeds.”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00"/>
          </w:cols>
          <w:pgMar w:left="840" w:top="121" w:right="859" w:bottom="1440" w:gutter="0" w:footer="0" w:header="0"/>
        </w:sectPr>
      </w:pPr>
    </w:p>
    <w:bookmarkStart w:id="22" w:name="page23"/>
    <w:bookmarkEnd w:id="2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512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ectPr>
          <w:pgSz w:w="11900" w:h="16838" w:orient="portrait"/>
          <w:cols w:equalWidth="0" w:num="1">
            <w:col w:w="10200"/>
          </w:cols>
          <w:pgMar w:left="840" w:top="121"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Each share of our Class A common stock entitles its holder to one vote on all matters to be voted on by stockholders generally.</w:t>
      </w:r>
    </w:p>
    <w:p>
      <w:pPr>
        <w:spacing w:after="0" w:line="189" w:lineRule="exact"/>
        <w:rPr>
          <w:sz w:val="20"/>
          <w:szCs w:val="20"/>
          <w:color w:val="auto"/>
        </w:rPr>
      </w:pPr>
    </w:p>
    <w:p>
      <w:pPr>
        <w:sectPr>
          <w:pgSz w:w="11900" w:h="16838" w:orient="portrait"/>
          <w:cols w:equalWidth="0" w:num="2">
            <w:col w:w="3780" w:space="720"/>
            <w:col w:w="5700"/>
          </w:cols>
          <w:pgMar w:left="840" w:top="121" w:right="859" w:bottom="1440" w:gutter="0" w:footer="0" w:header="0"/>
          <w:type w:val="continuous"/>
        </w:sectPr>
      </w:pPr>
    </w:p>
    <w:p>
      <w:pPr>
        <w:jc w:val="both"/>
        <w:ind w:left="4500"/>
        <w:spacing w:after="0" w:line="233" w:lineRule="auto"/>
        <w:rPr>
          <w:sz w:val="20"/>
          <w:szCs w:val="20"/>
          <w:color w:val="auto"/>
        </w:rPr>
      </w:pPr>
      <w:r>
        <w:rPr>
          <w:rFonts w:ascii="Arial" w:cs="Arial" w:eastAsia="Arial" w:hAnsi="Arial"/>
          <w:sz w:val="16"/>
          <w:szCs w:val="16"/>
          <w:color w:val="auto"/>
        </w:rPr>
        <w:t>The Pre-IPO OpCo Unitholders and the Pre-IPO HoldCo Unitholders hold all of the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90" w:lineRule="exact"/>
        <w:rPr>
          <w:sz w:val="20"/>
          <w:szCs w:val="20"/>
          <w:color w:val="auto"/>
        </w:rPr>
      </w:pPr>
    </w:p>
    <w:p>
      <w:pPr>
        <w:jc w:val="both"/>
        <w:ind w:left="4500" w:right="20"/>
        <w:spacing w:after="0" w:line="249" w:lineRule="auto"/>
        <w:rPr>
          <w:sz w:val="20"/>
          <w:szCs w:val="20"/>
          <w:color w:val="auto"/>
        </w:rPr>
      </w:pPr>
      <w:r>
        <w:rPr>
          <w:rFonts w:ascii="Arial" w:cs="Arial" w:eastAsia="Arial" w:hAnsi="Arial"/>
          <w:sz w:val="16"/>
          <w:szCs w:val="16"/>
          <w:color w:val="auto"/>
        </w:rPr>
        <w:t>Holders of outstanding shares of our Class A common stock, Class B common stock, and Class C common stock vote as a single class on all matters on which stockholders are entitled to vote generally, except as otherwise required by law. See “Description of Capital Stock—Common Stock.”</w:t>
      </w:r>
    </w:p>
    <w:p>
      <w:pPr>
        <w:sectPr>
          <w:pgSz w:w="11900" w:h="16838" w:orient="portrait"/>
          <w:cols w:equalWidth="0" w:num="1">
            <w:col w:w="10200"/>
          </w:cols>
          <w:pgMar w:left="840" w:top="121" w:right="85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We have no current plans to pay dividends on our Class A common stock or Class C common stock. The declaration, amount, and payment of any future dividends will be at the sole discretion of our board of directors. Our board of directors may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ZoomInfo HoldCo and ZoomInfo OpCo) to us, and such other factors as our board of directors may deem relevant. Holders of our Class B common stock do not have any right to receive dividends, or to receive a distribution upon a liquidation, dissolution, or winding up of ZoomInfo Technologies Inc., with respect to their Class B common stock.</w:t>
      </w:r>
    </w:p>
    <w:p>
      <w:pPr>
        <w:spacing w:after="0" w:line="200" w:lineRule="exact"/>
        <w:rPr>
          <w:sz w:val="20"/>
          <w:szCs w:val="20"/>
          <w:color w:val="auto"/>
        </w:rPr>
      </w:pPr>
    </w:p>
    <w:p>
      <w:pPr>
        <w:sectPr>
          <w:pgSz w:w="11900" w:h="16838" w:orient="portrait"/>
          <w:cols w:equalWidth="0" w:num="2">
            <w:col w:w="3780" w:space="720"/>
            <w:col w:w="5700"/>
          </w:cols>
          <w:pgMar w:left="840" w:top="121"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200"/>
          </w:cols>
          <w:pgMar w:left="840" w:top="121" w:right="859" w:bottom="1440" w:gutter="0" w:footer="0" w:header="0"/>
          <w:type w:val="continuous"/>
        </w:sectPr>
      </w:pPr>
    </w:p>
    <w:bookmarkStart w:id="23" w:name="page24"/>
    <w:bookmarkEnd w:id="23"/>
    <w:p>
      <w:pPr>
        <w:jc w:val="center"/>
        <w:ind w:right="260"/>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552450</wp:posOffset>
            </wp:positionV>
            <wp:extent cx="7136130" cy="5747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574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3900"/>
        <w:spacing w:after="0"/>
        <w:rPr>
          <w:sz w:val="20"/>
          <w:szCs w:val="20"/>
          <w:color w:val="auto"/>
        </w:rPr>
      </w:pPr>
      <w:r>
        <w:rPr>
          <w:rFonts w:ascii="Arial" w:cs="Arial" w:eastAsia="Arial" w:hAnsi="Arial"/>
          <w:sz w:val="16"/>
          <w:szCs w:val="16"/>
          <w:color w:val="auto"/>
        </w:rPr>
        <w:t>ZoomInfo Technologies Inc. is a holding company and has no material assets other than a controlling equity interest in ZoomInfo HoldCo, which is a holding company and has no material assets other than a controlling equity interest in ZoomInfo OpCo. The limited liability company agreement of ZoomInfo OpCo provides that certain distributions to cover the taxes of the ZoomInfo Tax Group and the other holders of OpCo Units and Class P Units will be made based upon assumed tax rates and other assumptions provided in such limited liability company agreement. The manager of ZoomInfo HoldCo has broad discretion to make distributions out of ZoomInfo HoldCo. In the event ZoomInfo Technologies Inc. declares any cash dividend, we expect that the manager of ZoomInfo HoldCo would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entered into the tax sharing agreement, pursuant to which ZoomInfo HoldCo will be required to make certain payments to us to enable us to pay taxes of the ZoomInfo Tax Group and to meet our obligations under the tax receivable agreements.</w:t>
      </w:r>
    </w:p>
    <w:p>
      <w:pPr>
        <w:spacing w:after="0" w:line="289" w:lineRule="exact"/>
        <w:rPr>
          <w:sz w:val="20"/>
          <w:szCs w:val="20"/>
          <w:color w:val="auto"/>
        </w:rPr>
      </w:pPr>
    </w:p>
    <w:p>
      <w:pPr>
        <w:jc w:val="both"/>
        <w:ind w:left="3900"/>
        <w:spacing w:after="0" w:line="285" w:lineRule="auto"/>
        <w:rPr>
          <w:sz w:val="20"/>
          <w:szCs w:val="20"/>
          <w:color w:val="auto"/>
        </w:rPr>
      </w:pPr>
      <w:r>
        <w:rPr>
          <w:rFonts w:ascii="Arial" w:cs="Arial" w:eastAsia="Arial" w:hAnsi="Arial"/>
          <w:sz w:val="16"/>
          <w:szCs w:val="16"/>
          <w:color w:val="auto"/>
        </w:rPr>
        <w:t>We anticipate that cash received by ZoomInfo HoldCo may, in certain periods, exceed ZoomInfo Technologies Inc.’s obligations to pay its liabilities and make payments under the tax receivable agreements. We expect that ZoomInfo HoldCo will use any such excess cash from time to time: to acquire additional newly issued OpCo Units from ZoomInfo OpCo at a per unit price determined by reference to the market value of our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HoldCo Units or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600"/>
          </w:cols>
          <w:pgMar w:left="1440" w:top="121" w:right="859" w:bottom="1440" w:gutter="0" w:footer="0" w:header="0"/>
        </w:sectPr>
      </w:pPr>
    </w:p>
    <w:bookmarkStart w:id="24" w:name="page25"/>
    <w:bookmarkEnd w:id="2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6184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18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Exchange rights of holders of OpCo Units, Class P Units, We  amended  and  restated  the  limited  liability  company  agreement  of</w:t>
      </w:r>
    </w:p>
    <w:tbl>
      <w:tblPr>
        <w:tblLayout w:type="fixed"/>
        <w:tblInd w:w="0" w:type="dxa"/>
        <w:tblCellMar>
          <w:top w:w="0" w:type="dxa"/>
          <w:left w:w="0" w:type="dxa"/>
          <w:bottom w:w="0" w:type="dxa"/>
          <w:right w:w="0" w:type="dxa"/>
        </w:tblCellMar>
      </w:tblPr>
      <w:tr>
        <w:trPr>
          <w:trHeight w:val="254"/>
        </w:trPr>
        <w:tc>
          <w:tcPr>
            <w:tcW w:w="3620" w:type="dxa"/>
            <w:vAlign w:val="bottom"/>
          </w:tcPr>
          <w:p>
            <w:pPr>
              <w:ind w:left="340"/>
              <w:spacing w:after="0"/>
              <w:rPr>
                <w:sz w:val="20"/>
                <w:szCs w:val="20"/>
                <w:color w:val="auto"/>
              </w:rPr>
            </w:pPr>
            <w:r>
              <w:rPr>
                <w:rFonts w:ascii="Arial" w:cs="Arial" w:eastAsia="Arial" w:hAnsi="Arial"/>
                <w:sz w:val="18"/>
                <w:szCs w:val="18"/>
                <w:color w:val="auto"/>
              </w:rPr>
              <w:t>LTIP Units, and HoldCo Units</w:t>
            </w:r>
          </w:p>
        </w:tc>
        <w:tc>
          <w:tcPr>
            <w:tcW w:w="6580" w:type="dxa"/>
            <w:vAlign w:val="bottom"/>
          </w:tcPr>
          <w:p>
            <w:pPr>
              <w:ind w:left="880"/>
              <w:spacing w:after="0"/>
              <w:rPr>
                <w:sz w:val="20"/>
                <w:szCs w:val="20"/>
                <w:color w:val="auto"/>
              </w:rPr>
            </w:pPr>
            <w:r>
              <w:rPr>
                <w:rFonts w:ascii="Arial" w:cs="Arial" w:eastAsia="Arial" w:hAnsi="Arial"/>
                <w:sz w:val="18"/>
                <w:szCs w:val="18"/>
                <w:color w:val="auto"/>
                <w:w w:val="95"/>
              </w:rPr>
              <w:t>ZoomInfo OpCo so that the Pre-IPO OpCo Unitholders may (subject to the</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8"/>
              </w:rPr>
              <w:t>terms of such limited liability company agreement) exchange their OpCo</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5"/>
              </w:rPr>
              <w:t>Units (together with a corresponding number of shares of Class B common</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2"/>
              </w:rPr>
              <w:t>stock) for shares of Class A common stock of ZoomInfo Technologies Inc. on</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89"/>
              </w:rPr>
              <w:t>a one-for-one basis, subject to customary conversion rate adjustments for stock</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1"/>
              </w:rPr>
              <w:t>splits, stock dividends, and reclassifications. Subject to certain restrictions, the</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1"/>
              </w:rPr>
              <w:t>holders of Class P Units have the right to exchange their vested Class P Units</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2"/>
              </w:rPr>
              <w:t>into a number of shares of Class A common stock that will generally be equal</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8"/>
              </w:rPr>
              <w:t>in value to the implied “spread value” of the corresponding Class P Units</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0"/>
              </w:rPr>
              <w:t>(calculated based on the excess of the public trading price of Class A common</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1"/>
              </w:rPr>
              <w:t>stock at the time of the exchange over the per unit strike price of such Class P</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3"/>
              </w:rPr>
              <w:t>Units). Holders of vested LTIP Units may similarly become eligible to convert</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3"/>
              </w:rPr>
              <w:t>their LTIP Units into OpCo Units which, in turn, may be exchanged on a one-</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3"/>
              </w:rPr>
              <w:t>for-one basis for shares of Class A common stock of ZoomInfo Technologies</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8"/>
              </w:rPr>
              <w:t>Inc. as described above. See “Certain Relationships and Related Person</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9"/>
              </w:rPr>
              <w:t>Transactions—ZoomInfo OpCo Amended and Restated Limited Liability</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4"/>
              </w:rPr>
              <w:t>Company Agreement.” The limited liability company agreement of ZoomInfo</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6"/>
              </w:rPr>
              <w:t>HoldCo provides that the Pre-IPO HoldCo Unitholders may (subject to the</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6"/>
              </w:rPr>
              <w:t>terms of such limited liability company agreement) exchange their HoldCo</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5"/>
              </w:rPr>
              <w:t>Units (together with a corresponding number of shares of Class B common</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2"/>
              </w:rPr>
              <w:t>stock) for shares of Class A common stock of ZoomInfo Technologies Inc. on</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89"/>
              </w:rPr>
              <w:t>a one-for-one basis, subject to customary conversion rate adjustments for stock</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3"/>
              </w:rPr>
              <w:t>splits, stock dividends, and reclassifications. See “Certain Relationships and</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7"/>
              </w:rPr>
              <w:t>Related Person Transactions—ZoomInfo HoldCo Amended and Restated</w:t>
            </w:r>
          </w:p>
        </w:tc>
      </w:tr>
      <w:tr>
        <w:trPr>
          <w:trHeight w:val="230"/>
        </w:trPr>
        <w:tc>
          <w:tcPr>
            <w:tcW w:w="3620" w:type="dxa"/>
            <w:vAlign w:val="bottom"/>
          </w:tcPr>
          <w:p>
            <w:pPr>
              <w:spacing w:after="0"/>
              <w:rPr>
                <w:sz w:val="20"/>
                <w:szCs w:val="20"/>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rPr>
              <w:t>Limited Liability Company Agreement.”</w:t>
            </w:r>
          </w:p>
        </w:tc>
      </w:tr>
      <w:tr>
        <w:trPr>
          <w:trHeight w:val="310"/>
        </w:trPr>
        <w:tc>
          <w:tcPr>
            <w:tcW w:w="3620" w:type="dxa"/>
            <w:vAlign w:val="bottom"/>
          </w:tcPr>
          <w:p>
            <w:pPr>
              <w:spacing w:after="0"/>
              <w:rPr>
                <w:sz w:val="20"/>
                <w:szCs w:val="20"/>
                <w:color w:val="auto"/>
              </w:rPr>
            </w:pPr>
            <w:r>
              <w:rPr>
                <w:rFonts w:ascii="Arial" w:cs="Arial" w:eastAsia="Arial" w:hAnsi="Arial"/>
                <w:sz w:val="18"/>
                <w:szCs w:val="18"/>
                <w:color w:val="auto"/>
              </w:rPr>
              <w:t>Conversion of Class C common stock</w:t>
            </w:r>
          </w:p>
        </w:tc>
        <w:tc>
          <w:tcPr>
            <w:tcW w:w="6580" w:type="dxa"/>
            <w:vAlign w:val="bottom"/>
          </w:tcPr>
          <w:p>
            <w:pPr>
              <w:ind w:left="880"/>
              <w:spacing w:after="0"/>
              <w:rPr>
                <w:sz w:val="20"/>
                <w:szCs w:val="20"/>
                <w:color w:val="auto"/>
              </w:rPr>
            </w:pPr>
            <w:r>
              <w:rPr>
                <w:rFonts w:ascii="Arial" w:cs="Arial" w:eastAsia="Arial" w:hAnsi="Arial"/>
                <w:sz w:val="18"/>
                <w:szCs w:val="18"/>
                <w:color w:val="auto"/>
                <w:w w:val="90"/>
              </w:rPr>
              <w:t>Pursuant to our amended and restated certificate of incorporation, at the option</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5"/>
              </w:rPr>
              <w:t>of the holder, a share of Class C common stock may be converted into one</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3"/>
              </w:rPr>
              <w:t>share of Class A common stock. In addition, each share of Class C common</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1"/>
              </w:rPr>
              <w:t>stock will convert automatically into one share of Class A common stock upon</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8"/>
              </w:rPr>
              <w:t>any transfer, whether or not for value, except for certain affiliate transfers</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2"/>
              </w:rPr>
              <w:t>described in our amended and restated certificate of incorporation among the</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5"/>
              </w:rPr>
              <w:t>Sponsors, the Founders, and their respective affiliates as of the date of the</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7"/>
              </w:rPr>
              <w:t>consummation of the IPO. Each share of Class C common stock will also</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9"/>
              </w:rPr>
              <w:t>automatically convert into one share of Class A common stock if, on the</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7"/>
              </w:rPr>
              <w:t>record date for any meeting of the stockholders, the aggregate number of</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89"/>
              </w:rPr>
              <w:t>outstanding shares of our Class B common stock and Class C common stock is</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1"/>
              </w:rPr>
              <w:t>less than 5% of our outstanding shares of common stock. Once converted into</w:t>
            </w:r>
          </w:p>
        </w:tc>
      </w:tr>
      <w:tr>
        <w:trPr>
          <w:trHeight w:val="216"/>
        </w:trPr>
        <w:tc>
          <w:tcPr>
            <w:tcW w:w="3620" w:type="dxa"/>
            <w:vAlign w:val="bottom"/>
          </w:tcPr>
          <w:p>
            <w:pPr>
              <w:spacing w:after="0"/>
              <w:rPr>
                <w:sz w:val="18"/>
                <w:szCs w:val="18"/>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8"/>
              </w:rPr>
              <w:t>Class A common stock, Class C common stock will not be reissued. See</w:t>
            </w:r>
          </w:p>
        </w:tc>
      </w:tr>
      <w:tr>
        <w:trPr>
          <w:trHeight w:val="230"/>
        </w:trPr>
        <w:tc>
          <w:tcPr>
            <w:tcW w:w="3620" w:type="dxa"/>
            <w:vAlign w:val="bottom"/>
          </w:tcPr>
          <w:p>
            <w:pPr>
              <w:spacing w:after="0"/>
              <w:rPr>
                <w:sz w:val="20"/>
                <w:szCs w:val="20"/>
                <w:color w:val="auto"/>
              </w:rPr>
            </w:pPr>
          </w:p>
        </w:tc>
        <w:tc>
          <w:tcPr>
            <w:tcW w:w="6580" w:type="dxa"/>
            <w:vAlign w:val="bottom"/>
          </w:tcPr>
          <w:p>
            <w:pPr>
              <w:ind w:left="880"/>
              <w:spacing w:after="0"/>
              <w:rPr>
                <w:sz w:val="20"/>
                <w:szCs w:val="20"/>
                <w:color w:val="auto"/>
              </w:rPr>
            </w:pPr>
            <w:r>
              <w:rPr>
                <w:rFonts w:ascii="Arial" w:cs="Arial" w:eastAsia="Arial" w:hAnsi="Arial"/>
                <w:sz w:val="18"/>
                <w:szCs w:val="18"/>
                <w:color w:val="auto"/>
                <w:w w:val="96"/>
              </w:rPr>
              <w:t>“Description of Capital Stock—Common Stock—Class C Common Stock.”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00"/>
          </w:cols>
          <w:pgMar w:left="840" w:top="121" w:right="859" w:bottom="1440" w:gutter="0" w:footer="0" w:header="0"/>
        </w:sectPr>
      </w:pPr>
    </w:p>
    <w:bookmarkStart w:id="25" w:name="page26"/>
    <w:bookmarkEnd w:id="2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230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Tax receivable agreements</w:t>
      </w:r>
      <w:r>
        <w:rPr>
          <w:sz w:val="20"/>
          <w:szCs w:val="20"/>
          <w:color w:val="auto"/>
        </w:rPr>
        <w:tab/>
      </w:r>
      <w:r>
        <w:rPr>
          <w:rFonts w:ascii="Arial" w:cs="Arial" w:eastAsia="Arial" w:hAnsi="Arial"/>
          <w:sz w:val="17"/>
          <w:szCs w:val="17"/>
          <w:color w:val="auto"/>
        </w:rPr>
        <w:t>As  described  below  under  “Certain  Relationships  and  Related  Person</w:t>
      </w:r>
    </w:p>
    <w:p>
      <w:pPr>
        <w:spacing w:after="0" w:line="37" w:lineRule="exact"/>
        <w:rPr>
          <w:sz w:val="20"/>
          <w:szCs w:val="20"/>
          <w:color w:val="auto"/>
        </w:rPr>
      </w:pPr>
    </w:p>
    <w:p>
      <w:pPr>
        <w:ind w:left="4500"/>
        <w:spacing w:after="0"/>
        <w:tabs>
          <w:tab w:leader="none" w:pos="6000" w:val="left"/>
          <w:tab w:leader="none" w:pos="6940" w:val="left"/>
          <w:tab w:leader="none" w:pos="8080" w:val="left"/>
          <w:tab w:leader="none" w:pos="8420" w:val="left"/>
          <w:tab w:leader="none" w:pos="9100" w:val="left"/>
          <w:tab w:leader="none" w:pos="9520" w:val="left"/>
          <w:tab w:leader="none" w:pos="9940" w:val="left"/>
        </w:tabs>
        <w:rPr>
          <w:sz w:val="20"/>
          <w:szCs w:val="20"/>
          <w:color w:val="auto"/>
        </w:rPr>
      </w:pPr>
      <w:r>
        <w:rPr>
          <w:rFonts w:ascii="Arial" w:cs="Arial" w:eastAsia="Arial" w:hAnsi="Arial"/>
          <w:sz w:val="18"/>
          <w:szCs w:val="18"/>
          <w:color w:val="auto"/>
        </w:rPr>
        <w:t>Transactions—Tax</w:t>
        <w:tab/>
        <w:t>Receivable</w:t>
        <w:tab/>
        <w:t>Agreements,”</w:t>
        <w:tab/>
        <w:t>we</w:t>
        <w:tab/>
        <w:t>entered</w:t>
        <w:tab/>
        <w:t>into</w:t>
        <w:tab/>
        <w:t>two</w:t>
      </w:r>
      <w:r>
        <w:rPr>
          <w:sz w:val="20"/>
          <w:szCs w:val="20"/>
          <w:color w:val="auto"/>
        </w:rPr>
        <w:tab/>
      </w:r>
      <w:r>
        <w:rPr>
          <w:rFonts w:ascii="Arial" w:cs="Arial" w:eastAsia="Arial" w:hAnsi="Arial"/>
          <w:sz w:val="16"/>
          <w:szCs w:val="16"/>
          <w:color w:val="auto"/>
        </w:rPr>
        <w:t>tax</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receivable agreements. We entered into (i) the Exchange Tax Receivable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Agreement with certain of our Pre-IPO OpCo Unitholders and (ii) the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Reorganization Tax Receivable Agreement with the Pre-IPO Blocker Holders.</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These tax receivable agreements provide for the payment by members of the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ZoomInfo Tax Group to certain pre-IPO owners and certain Pre-IPO HoldCo</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Unitholders of 85% of the benefits, if any, that the ZoomInfo Tax Group is</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deemed to realize (calculated using certain assumptions) as a result of certain</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tax attributes and benefits covered by the tax receivable agreements. The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Exchange Tax Receivable Agreement provides for the payment by members of</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 ZoomInfo Tax Group to certain Pre-IPO OpCo Unitholders and certain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Pre-IPO HoldCo Unitholders of 85% of the benefits, if any, that the ZoomInfo</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Tax Group is deemed to realize (calculated using certain assumptions) as a</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result of (i) the ZoomInfo Tax Group’s allocable share of existing tax basis</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acquired in the IPO and (ii) increases in the ZoomInfo Tax Group’s allocable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share of existing tax basis and tax basis adjustments that will increase the tax</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basis of the tangible and intangible assets of the ZoomInfo Tax Group as a</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result of sales or exchanges of OpCo Units for shares of Class A common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stock after the IPO, and certain other tax benefits, including tax benefits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attributable to payments under the Exchange Tax Receivable Agreement. The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Reorganization Tax Receivable Agreement provides for the payment by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ZoomInfo Technologies Inc. to Pre-IPO Blocker Holders and certain Pre-IPO</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HoldCo Unitholders of 85% of the benefits, if any, that the ZoomInfo Tax</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Group is deemed to realize (calculated using certain assumptions) as a result</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of the ZoomInfo Tax Group’s utilization of certain tax attributes of the Blocker</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Companies (including the ZoomInfo Tax Group’s allocable share of existing</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tax basis acquired in the Reorganization Transactions), and certain other tax</w:t>
      </w:r>
    </w:p>
    <w:p>
      <w:pPr>
        <w:spacing w:after="0" w:line="32" w:lineRule="exact"/>
        <w:rPr>
          <w:sz w:val="20"/>
          <w:szCs w:val="20"/>
          <w:color w:val="auto"/>
        </w:rPr>
      </w:pPr>
    </w:p>
    <w:p>
      <w:pPr>
        <w:ind w:left="4500"/>
        <w:spacing w:after="0"/>
        <w:tabs>
          <w:tab w:leader="none" w:pos="5260" w:val="left"/>
          <w:tab w:leader="none" w:pos="6100" w:val="left"/>
          <w:tab w:leader="none" w:pos="6500" w:val="left"/>
          <w:tab w:leader="none" w:pos="7220" w:val="left"/>
          <w:tab w:leader="none" w:pos="8220" w:val="left"/>
          <w:tab w:leader="none" w:pos="8520" w:val="left"/>
          <w:tab w:leader="none" w:pos="9380" w:val="left"/>
          <w:tab w:leader="none" w:pos="9940" w:val="left"/>
        </w:tabs>
        <w:rPr>
          <w:sz w:val="20"/>
          <w:szCs w:val="20"/>
          <w:color w:val="auto"/>
        </w:rPr>
      </w:pPr>
      <w:r>
        <w:rPr>
          <w:rFonts w:ascii="Arial" w:cs="Arial" w:eastAsia="Arial" w:hAnsi="Arial"/>
          <w:sz w:val="18"/>
          <w:szCs w:val="18"/>
          <w:color w:val="auto"/>
        </w:rPr>
        <w:t>benefits,</w:t>
        <w:tab/>
        <w:t>including</w:t>
        <w:tab/>
        <w:t>tax</w:t>
        <w:tab/>
        <w:t>benefits</w:t>
        <w:tab/>
        <w:t>attributable</w:t>
        <w:tab/>
        <w:t>to</w:t>
        <w:tab/>
        <w:t>payments</w:t>
        <w:tab/>
        <w:t>under</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Reorganization Tax Receivable Agreement. In each case, these increases in</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existing tax basis and tax basis adjustments generated over time may increase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(for tax purposes) depreciation and amortization deductions and, therefore,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may reduce the amount of tax that the ZoomInfo Tax Group would otherwise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be required to pay in the future. Actual tax benefits realized by the ZoomInfo</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Tax Group may differ from tax benefits calculated under the tax receivable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agreements as a result of the use of certain assumptions in the tax receivable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agreements, including the use of an assumed weighted-average state and local</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income tax rate to calculate tax benefits. This payment obligation is an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obligation of members of the ZoomInfo Tax Group, but not of ZoomInfo</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OpCo. See “Certain Relationships and Related Person Transactions—Tax</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Receivable Agreements.”</w:t>
      </w:r>
    </w:p>
    <w:p>
      <w:pPr>
        <w:spacing w:after="0" w:line="89"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See “Risk Factors” for a discussion of risks you should carefully consider</w:t>
      </w:r>
    </w:p>
    <w:p>
      <w:pPr>
        <w:spacing w:after="0" w:line="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before deciding to invest in our Class A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Certain U.S. federal income and estate tax consequences to For a discussion of certain U.S. federal income and estate tax consequences</w:t>
      </w:r>
    </w:p>
    <w:p>
      <w:pPr>
        <w:spacing w:after="0" w:line="8" w:lineRule="exact"/>
        <w:rPr>
          <w:sz w:val="20"/>
          <w:szCs w:val="20"/>
          <w:color w:val="auto"/>
        </w:rPr>
      </w:pPr>
    </w:p>
    <w:p>
      <w:pPr>
        <w:ind w:left="4500" w:right="20" w:hanging="4171"/>
        <w:spacing w:after="0" w:line="277" w:lineRule="auto"/>
        <w:tabs>
          <w:tab w:leader="none" w:pos="4480" w:val="left"/>
        </w:tabs>
        <w:rPr>
          <w:sz w:val="20"/>
          <w:szCs w:val="20"/>
          <w:color w:val="auto"/>
        </w:rPr>
      </w:pPr>
      <w:r>
        <w:rPr>
          <w:rFonts w:ascii="Arial" w:cs="Arial" w:eastAsia="Arial" w:hAnsi="Arial"/>
          <w:sz w:val="35"/>
          <w:szCs w:val="35"/>
          <w:color w:val="auto"/>
          <w:vertAlign w:val="superscript"/>
        </w:rPr>
        <w:t>non-U.S. holders</w:t>
      </w:r>
      <w:r>
        <w:rPr>
          <w:sz w:val="20"/>
          <w:szCs w:val="20"/>
          <w:color w:val="auto"/>
        </w:rPr>
        <w:tab/>
      </w:r>
      <w:r>
        <w:rPr>
          <w:rFonts w:ascii="Arial" w:cs="Arial" w:eastAsia="Arial" w:hAnsi="Arial"/>
          <w:sz w:val="18"/>
          <w:szCs w:val="18"/>
          <w:color w:val="auto"/>
        </w:rPr>
        <w:t>that may be relevant to non-U.S. stockholders, see “Certain U.S. Federal Income and Estate Tax Consequences to Non-U.S. Holders.”</w:t>
      </w:r>
    </w:p>
    <w:p>
      <w:pPr>
        <w:spacing w:after="0" w:line="87"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Nasdaq trading symbol</w:t>
      </w:r>
      <w:r>
        <w:rPr>
          <w:sz w:val="20"/>
          <w:szCs w:val="20"/>
          <w:color w:val="auto"/>
        </w:rPr>
        <w:tab/>
      </w:r>
      <w:r>
        <w:rPr>
          <w:rFonts w:ascii="Arial" w:cs="Arial" w:eastAsia="Arial" w:hAnsi="Arial"/>
          <w:sz w:val="18"/>
          <w:szCs w:val="18"/>
          <w:color w:val="auto"/>
        </w:rPr>
        <w:t>“ZI.”</w:t>
      </w:r>
    </w:p>
    <w:p>
      <w:pPr>
        <w:sectPr>
          <w:pgSz w:w="11900" w:h="16838" w:orient="portrait"/>
          <w:cols w:equalWidth="0" w:num="1">
            <w:col w:w="10200"/>
          </w:cols>
          <w:pgMar w:left="840" w:top="121"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200"/>
          </w:cols>
          <w:pgMar w:left="840" w:top="121" w:right="859" w:bottom="1440" w:gutter="0" w:footer="0" w:header="0"/>
          <w:type w:val="continuous"/>
        </w:sectPr>
      </w:pPr>
    </w:p>
    <w:bookmarkStart w:id="26" w:name="page27"/>
    <w:bookmarkEnd w:id="26"/>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4590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459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this prospectus, unless otherwise indicated, the number of shares of Class A common stock outstanding and the other information</w:t>
      </w:r>
    </w:p>
    <w:p>
      <w:pPr>
        <w:spacing w:after="0" w:line="46" w:lineRule="exact"/>
        <w:rPr>
          <w:sz w:val="20"/>
          <w:szCs w:val="20"/>
          <w:color w:val="auto"/>
        </w:rPr>
      </w:pPr>
    </w:p>
    <w:p>
      <w:pPr>
        <w:spacing w:after="0"/>
        <w:tabs>
          <w:tab w:leader="none" w:pos="2300" w:val="left"/>
          <w:tab w:leader="none" w:pos="6660" w:val="left"/>
        </w:tabs>
        <w:rPr>
          <w:sz w:val="20"/>
          <w:szCs w:val="20"/>
          <w:color w:val="auto"/>
        </w:rPr>
      </w:pPr>
      <w:r>
        <w:rPr>
          <w:rFonts w:ascii="Arial" w:cs="Arial" w:eastAsia="Arial" w:hAnsi="Arial"/>
          <w:sz w:val="18"/>
          <w:szCs w:val="18"/>
          <w:color w:val="auto"/>
        </w:rPr>
        <w:t>based thereon reflects</w:t>
      </w:r>
      <w:r>
        <w:rPr>
          <w:sz w:val="20"/>
          <w:szCs w:val="20"/>
          <w:color w:val="auto"/>
        </w:rPr>
        <w:tab/>
      </w:r>
      <w:r>
        <w:rPr>
          <w:rFonts w:ascii="Arial" w:cs="Arial" w:eastAsia="Arial" w:hAnsi="Arial"/>
          <w:sz w:val="18"/>
          <w:szCs w:val="18"/>
          <w:color w:val="auto"/>
        </w:rPr>
        <w:t>shares of Class A common stock outstanding as of</w:t>
      </w:r>
      <w:r>
        <w:rPr>
          <w:sz w:val="20"/>
          <w:szCs w:val="20"/>
          <w:color w:val="auto"/>
        </w:rPr>
        <w:tab/>
      </w:r>
      <w:r>
        <w:rPr>
          <w:rFonts w:ascii="Arial" w:cs="Arial" w:eastAsia="Arial" w:hAnsi="Arial"/>
          <w:sz w:val="16"/>
          <w:szCs w:val="16"/>
          <w:color w:val="auto"/>
        </w:rPr>
        <w:t>, 2020 and does not reflect:</w:t>
      </w:r>
    </w:p>
    <w:p>
      <w:pPr>
        <w:spacing w:after="0" w:line="157" w:lineRule="exact"/>
        <w:rPr>
          <w:sz w:val="20"/>
          <w:szCs w:val="20"/>
          <w:color w:val="auto"/>
        </w:rPr>
      </w:pPr>
    </w:p>
    <w:p>
      <w:pPr>
        <w:ind w:left="640" w:hanging="324"/>
        <w:spacing w:after="0" w:line="277" w:lineRule="auto"/>
        <w:tabs>
          <w:tab w:leader="none" w:pos="16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of Class A common stock issuable upon exercise of the underwriters’ option to purchase additional shares of Class A common stock from the selling stockholders;</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620" w:type="dxa"/>
            <w:vAlign w:val="bottom"/>
          </w:tcPr>
          <w:p>
            <w:pPr>
              <w:ind w:left="920"/>
              <w:spacing w:after="0"/>
              <w:rPr>
                <w:sz w:val="20"/>
                <w:szCs w:val="20"/>
                <w:color w:val="auto"/>
              </w:rPr>
            </w:pPr>
            <w:r>
              <w:rPr>
                <w:rFonts w:ascii="Arial" w:cs="Arial" w:eastAsia="Arial" w:hAnsi="Arial"/>
                <w:sz w:val="18"/>
                <w:szCs w:val="18"/>
                <w:color w:val="auto"/>
                <w:w w:val="97"/>
              </w:rPr>
              <w:t>shares of Class A common stock issuable upon exchange of</w:t>
            </w:r>
          </w:p>
        </w:tc>
        <w:tc>
          <w:tcPr>
            <w:tcW w:w="2080" w:type="dxa"/>
            <w:vAlign w:val="bottom"/>
          </w:tcPr>
          <w:p>
            <w:pPr>
              <w:ind w:left="480"/>
              <w:spacing w:after="0"/>
              <w:rPr>
                <w:sz w:val="20"/>
                <w:szCs w:val="20"/>
                <w:color w:val="auto"/>
              </w:rPr>
            </w:pPr>
            <w:r>
              <w:rPr>
                <w:rFonts w:ascii="Arial" w:cs="Arial" w:eastAsia="Arial" w:hAnsi="Arial"/>
                <w:sz w:val="18"/>
                <w:szCs w:val="18"/>
                <w:color w:val="auto"/>
              </w:rPr>
              <w:t>OpCo Units and</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HoldCo Units and the</w:t>
            </w:r>
          </w:p>
        </w:tc>
      </w:tr>
      <w:tr>
        <w:trPr>
          <w:trHeight w:val="216"/>
        </w:trPr>
        <w:tc>
          <w:tcPr>
            <w:tcW w:w="180" w:type="dxa"/>
            <w:vAlign w:val="bottom"/>
          </w:tcPr>
          <w:p>
            <w:pPr>
              <w:spacing w:after="0"/>
              <w:rPr>
                <w:sz w:val="18"/>
                <w:szCs w:val="18"/>
                <w:color w:val="auto"/>
              </w:rPr>
            </w:pPr>
          </w:p>
        </w:tc>
        <w:tc>
          <w:tcPr>
            <w:tcW w:w="9700" w:type="dxa"/>
            <w:vAlign w:val="bottom"/>
            <w:gridSpan w:val="5"/>
          </w:tcPr>
          <w:p>
            <w:pPr>
              <w:ind w:left="140"/>
              <w:spacing w:after="0"/>
              <w:rPr>
                <w:sz w:val="20"/>
                <w:szCs w:val="20"/>
                <w:color w:val="auto"/>
              </w:rPr>
            </w:pPr>
            <w:r>
              <w:rPr>
                <w:rFonts w:ascii="Arial" w:cs="Arial" w:eastAsia="Arial" w:hAnsi="Arial"/>
                <w:sz w:val="18"/>
                <w:szCs w:val="18"/>
                <w:color w:val="auto"/>
                <w:w w:val="93"/>
              </w:rPr>
              <w:t>related shares of Class B common stock that will be held by the Pre-IPO OpCo Unitholders and the Pre-IPO HoldCo Unitholders,</w:t>
            </w:r>
          </w:p>
        </w:tc>
      </w:tr>
      <w:tr>
        <w:trPr>
          <w:trHeight w:val="230"/>
        </w:trPr>
        <w:tc>
          <w:tcPr>
            <w:tcW w:w="180" w:type="dxa"/>
            <w:vAlign w:val="bottom"/>
          </w:tcPr>
          <w:p>
            <w:pPr>
              <w:spacing w:after="0"/>
              <w:rPr>
                <w:sz w:val="20"/>
                <w:szCs w:val="20"/>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respectively, after giving effect to this offering;</w:t>
            </w:r>
          </w:p>
        </w:tc>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620" w:type="dxa"/>
            <w:vAlign w:val="bottom"/>
          </w:tcPr>
          <w:p>
            <w:pPr>
              <w:ind w:left="900"/>
              <w:spacing w:after="0"/>
              <w:rPr>
                <w:sz w:val="20"/>
                <w:szCs w:val="20"/>
                <w:color w:val="auto"/>
              </w:rPr>
            </w:pPr>
            <w:r>
              <w:rPr>
                <w:rFonts w:ascii="Arial" w:cs="Arial" w:eastAsia="Arial" w:hAnsi="Arial"/>
                <w:sz w:val="18"/>
                <w:szCs w:val="18"/>
                <w:color w:val="auto"/>
                <w:w w:val="95"/>
              </w:rPr>
              <w:t>shares of Class A common stock issuable upon conversion of</w:t>
            </w:r>
          </w:p>
        </w:tc>
        <w:tc>
          <w:tcPr>
            <w:tcW w:w="4080" w:type="dxa"/>
            <w:vAlign w:val="bottom"/>
            <w:gridSpan w:val="4"/>
          </w:tcPr>
          <w:p>
            <w:pPr>
              <w:jc w:val="right"/>
              <w:spacing w:after="0"/>
              <w:rPr>
                <w:sz w:val="20"/>
                <w:szCs w:val="20"/>
                <w:color w:val="auto"/>
              </w:rPr>
            </w:pPr>
            <w:r>
              <w:rPr>
                <w:rFonts w:ascii="Arial" w:cs="Arial" w:eastAsia="Arial" w:hAnsi="Arial"/>
                <w:sz w:val="18"/>
                <w:szCs w:val="18"/>
                <w:color w:val="auto"/>
              </w:rPr>
              <w:t>shares of Class C common stock that will be held</w:t>
            </w:r>
          </w:p>
        </w:tc>
      </w:tr>
      <w:tr>
        <w:trPr>
          <w:trHeight w:val="230"/>
        </w:trPr>
        <w:tc>
          <w:tcPr>
            <w:tcW w:w="180" w:type="dxa"/>
            <w:vAlign w:val="bottom"/>
          </w:tcPr>
          <w:p>
            <w:pPr>
              <w:spacing w:after="0"/>
              <w:rPr>
                <w:sz w:val="20"/>
                <w:szCs w:val="20"/>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by the Pre-IPO Blocker Holders after giving effect to this offering;</w:t>
            </w:r>
          </w:p>
        </w:tc>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620" w:type="dxa"/>
            <w:vAlign w:val="bottom"/>
          </w:tcPr>
          <w:p>
            <w:pPr>
              <w:ind w:left="860"/>
              <w:spacing w:after="0"/>
              <w:rPr>
                <w:sz w:val="20"/>
                <w:szCs w:val="20"/>
                <w:color w:val="auto"/>
              </w:rPr>
            </w:pPr>
            <w:r>
              <w:rPr>
                <w:rFonts w:ascii="Arial" w:cs="Arial" w:eastAsia="Arial" w:hAnsi="Arial"/>
                <w:sz w:val="18"/>
                <w:szCs w:val="18"/>
                <w:color w:val="auto"/>
                <w:w w:val="98"/>
              </w:rPr>
              <w:t>shares of Class A common stock issuable upon exchange of</w:t>
            </w:r>
          </w:p>
        </w:tc>
        <w:tc>
          <w:tcPr>
            <w:tcW w:w="4080" w:type="dxa"/>
            <w:vAlign w:val="bottom"/>
            <w:gridSpan w:val="4"/>
          </w:tcPr>
          <w:p>
            <w:pPr>
              <w:jc w:val="right"/>
              <w:spacing w:after="0"/>
              <w:rPr>
                <w:sz w:val="20"/>
                <w:szCs w:val="20"/>
                <w:color w:val="auto"/>
              </w:rPr>
            </w:pPr>
            <w:r>
              <w:rPr>
                <w:rFonts w:ascii="Arial" w:cs="Arial" w:eastAsia="Arial" w:hAnsi="Arial"/>
                <w:sz w:val="18"/>
                <w:szCs w:val="18"/>
                <w:color w:val="auto"/>
                <w:w w:val="96"/>
              </w:rPr>
              <w:t>Class P Units (assuming such Class P Units are fully</w:t>
            </w:r>
          </w:p>
        </w:tc>
      </w:tr>
      <w:tr>
        <w:trPr>
          <w:trHeight w:val="230"/>
        </w:trPr>
        <w:tc>
          <w:tcPr>
            <w:tcW w:w="180" w:type="dxa"/>
            <w:vAlign w:val="bottom"/>
          </w:tcPr>
          <w:p>
            <w:pPr>
              <w:spacing w:after="0"/>
              <w:rPr>
                <w:sz w:val="20"/>
                <w:szCs w:val="20"/>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vested) that are held by the Continuing Class P Unitholders; or</w:t>
            </w:r>
          </w:p>
        </w:tc>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8680" w:type="dxa"/>
            <w:vAlign w:val="bottom"/>
            <w:gridSpan w:val="3"/>
          </w:tcPr>
          <w:p>
            <w:pPr>
              <w:ind w:left="140"/>
              <w:spacing w:after="0"/>
              <w:rPr>
                <w:sz w:val="20"/>
                <w:szCs w:val="20"/>
                <w:color w:val="auto"/>
              </w:rPr>
            </w:pPr>
            <w:r>
              <w:rPr>
                <w:rFonts w:ascii="Arial" w:cs="Arial" w:eastAsia="Arial" w:hAnsi="Arial"/>
                <w:sz w:val="18"/>
                <w:szCs w:val="18"/>
                <w:color w:val="auto"/>
                <w:w w:val="95"/>
              </w:rPr>
              <w:t>18,650,000 shares of Class A common stock that may be granted under our 2020 Omnibus Incentive Plan as of</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9700" w:type="dxa"/>
            <w:vAlign w:val="bottom"/>
            <w:gridSpan w:val="5"/>
          </w:tcPr>
          <w:p>
            <w:pPr>
              <w:ind w:left="140"/>
              <w:spacing w:after="0"/>
              <w:rPr>
                <w:sz w:val="20"/>
                <w:szCs w:val="20"/>
                <w:color w:val="auto"/>
              </w:rPr>
            </w:pPr>
            <w:r>
              <w:rPr>
                <w:rFonts w:ascii="Arial" w:cs="Arial" w:eastAsia="Arial" w:hAnsi="Arial"/>
                <w:sz w:val="18"/>
                <w:szCs w:val="18"/>
                <w:color w:val="auto"/>
                <w:w w:val="98"/>
              </w:rPr>
              <w:t>which includes shares of Class A common stock underlying the following employee equity grants, in each case awarded in</w:t>
            </w:r>
          </w:p>
        </w:tc>
      </w:tr>
      <w:tr>
        <w:trPr>
          <w:trHeight w:val="230"/>
        </w:trPr>
        <w:tc>
          <w:tcPr>
            <w:tcW w:w="180" w:type="dxa"/>
            <w:vAlign w:val="bottom"/>
          </w:tcPr>
          <w:p>
            <w:pPr>
              <w:spacing w:after="0"/>
              <w:rPr>
                <w:sz w:val="20"/>
                <w:szCs w:val="20"/>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connection with the IPO:</w:t>
            </w:r>
          </w:p>
        </w:tc>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148" w:lineRule="exact"/>
        <w:rPr>
          <w:sz w:val="20"/>
          <w:szCs w:val="20"/>
          <w:color w:val="auto"/>
        </w:rPr>
      </w:pPr>
    </w:p>
    <w:p>
      <w:pPr>
        <w:ind w:left="960" w:hanging="32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513,440 restricted stock units;</w:t>
      </w:r>
    </w:p>
    <w:p>
      <w:pPr>
        <w:spacing w:after="0" w:line="171" w:lineRule="exact"/>
        <w:rPr>
          <w:rFonts w:ascii="Arial" w:cs="Arial" w:eastAsia="Arial" w:hAnsi="Arial"/>
          <w:sz w:val="18"/>
          <w:szCs w:val="18"/>
          <w:color w:val="auto"/>
        </w:rPr>
      </w:pPr>
    </w:p>
    <w:p>
      <w:pPr>
        <w:ind w:left="960" w:hanging="32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47,620 LTIP Units;</w:t>
      </w:r>
    </w:p>
    <w:p>
      <w:pPr>
        <w:spacing w:after="0" w:line="171" w:lineRule="exact"/>
        <w:rPr>
          <w:rFonts w:ascii="Arial" w:cs="Arial" w:eastAsia="Arial" w:hAnsi="Arial"/>
          <w:sz w:val="18"/>
          <w:szCs w:val="18"/>
          <w:color w:val="auto"/>
        </w:rPr>
      </w:pPr>
    </w:p>
    <w:p>
      <w:pPr>
        <w:ind w:left="960" w:hanging="320"/>
        <w:spacing w:after="0" w:line="277" w:lineRule="auto"/>
        <w:tabs>
          <w:tab w:leader="none" w:pos="9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577,879 stock options, which we refer to as “leverage restoration options,” with a strike price equal to the public offering price per share of Class A common stock; and</w:t>
      </w:r>
    </w:p>
    <w:p>
      <w:pPr>
        <w:spacing w:after="0" w:line="116" w:lineRule="exact"/>
        <w:rPr>
          <w:rFonts w:ascii="Arial" w:cs="Arial" w:eastAsia="Arial" w:hAnsi="Arial"/>
          <w:sz w:val="18"/>
          <w:szCs w:val="18"/>
          <w:color w:val="auto"/>
        </w:rPr>
      </w:pPr>
    </w:p>
    <w:p>
      <w:pPr>
        <w:ind w:left="960" w:hanging="320"/>
        <w:spacing w:after="0" w:line="277" w:lineRule="auto"/>
        <w:tabs>
          <w:tab w:leader="none" w:pos="9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630,000 Class P Units with a participation threshold (i.e., strike price) equal to the public offering price per share of Class A common stock.</w:t>
      </w:r>
    </w:p>
    <w:p>
      <w:pPr>
        <w:spacing w:after="0" w:line="11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See “Executive Compensation—Compensation Arrangements Adopted in Connection with the IPO—2020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00"/>
          </w:cols>
          <w:pgMar w:left="840" w:top="121" w:right="859" w:bottom="1440" w:gutter="0" w:footer="0" w:header="0"/>
        </w:sectPr>
      </w:pPr>
    </w:p>
    <w:bookmarkStart w:id="27" w:name="page28"/>
    <w:bookmarkEnd w:id="27"/>
    <w:p>
      <w:pPr>
        <w:jc w:val="center"/>
        <w:ind w:right="-3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671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and Pro Forma Financial and Other Data</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following table presents the summary historical consolidated financial and other data for ZoomInfo OpCo and its subsidiaries and the summary pro forma combined and consolidated financial data for ZoomInfo Technologies Inc. for the periods and at the dates indicated.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through ZoomInfo HoldCo in its consolidated financial statements and record a non-controlling interest related to the OpCo Units and HoldCo Units held by our pre-IPO owners on its consolidated balance sheet and statement of operations. The summary consolidated statements of operations data and summary consolidated statements of cash flows data presented below for the years ended December 31, 2018 and 2019 and the summary consolidated balance sheet data presented below as of December 31, 2018 and 2019 have been derived from the consolidated financial statements of ZoomInfo OpCo included elsewhere in this prospectus. The summary consolidated financial information of ZoomInfo OpCo as of March 31, 2020 and for the three months ended March 31, 2019 and 2020 was derived from the unaudited consolidated financial statements of ZoomInfo OpCo included elsewhere in this prospectus. The unaudited consolidated financial statements of ZoomInfo OpCo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four-for-one stock split, which occurred on May 20, 2020.</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summary historical consolidated financial and other data of ZoomInfo Technologies Inc. has not been presented because ZoomInfo Technologies Inc. is a newly incorporated entity, has had no business transactions or activities to date, and had no assets or liabilities during the periods presented.</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Historical results are not necessarily indicative of the results expected for any future period. You should read the summary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“Organizational Structure,” “Unaudited Pro Forma Combined and Consolidated Financial Information,” “Selected Historical Consolidated Financial Data,” “Management’s Discussion and Analysis of Financial Condition and Results of Operations,” “Description of Certain Indebtedness,” and the other information appearing elsewhere in this prospectus.</w:t>
      </w:r>
    </w:p>
    <w:p>
      <w:pPr>
        <w:spacing w:after="0" w:line="11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summary unaudited pro forma combined and consolidated financial data of ZoomInfo Technologies Inc. presented below have been derived from our unaudited pro forma combined and consolidated financial statements included elsewhere in this prospectus. The summary unaudited pro forma combined and consolidated statement of operations data for the year ended December 31, 2019 give effect to (i) the acquisition of Pre-Acquisition ZI by ZoomInfo OpCo on February 1, 2019 (the “Zoom Information Acquisition”), (ii) the Reorganization Transactions, and (iii) the Offering Transactions, each as if they had occurred on January 1, 2019. The summary unaudited pro forma combined and consolidated statement of operations data for the three months ended March 31, 2020 give effect to (i) the Reorganization Transactions and (ii) the Offering Transactions, each as if they had occurred on January 1, 2019. The summary unaudited pro forma consolidated balance sheet data as of March 31, 2020 gives effect to (i) the Reorganization Transactions and (ii) the Offering Transactions, each as if they had occurred on March 31, 2020. The summary unaudited combined and consolidated pro forma financial data is presented for illustrative purposes only and is not necessarily indicative of the operating results or financial position that would have occurred if the relevant transactions had been consummated on the dates indicated, nor is it indicative of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20"/>
          </w:cols>
          <w:pgMar w:left="840" w:top="121" w:right="839" w:bottom="1440" w:gutter="0" w:footer="0" w:header="0"/>
        </w:sectPr>
      </w:pPr>
    </w:p>
    <w:bookmarkStart w:id="28" w:name="page29"/>
    <w:bookmarkEnd w:id="2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552450</wp:posOffset>
            </wp:positionV>
            <wp:extent cx="7136130" cy="72047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720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operating results or financial position. See “Unaudited Pro Forma Combined and Consolidated Financial Information” and “Organizational Structure.”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43"/>
              <w:spacing w:after="0"/>
              <w:rPr>
                <w:sz w:val="20"/>
                <w:szCs w:val="20"/>
                <w:color w:val="auto"/>
              </w:rPr>
            </w:pPr>
            <w:r>
              <w:rPr>
                <w:rFonts w:ascii="Arial" w:cs="Arial" w:eastAsia="Arial" w:hAnsi="Arial"/>
                <w:sz w:val="13"/>
                <w:szCs w:val="13"/>
                <w:b w:val="1"/>
                <w:bCs w:val="1"/>
                <w:color w:val="auto"/>
                <w:w w:val="97"/>
              </w:rPr>
              <w:t>ZoomInfo</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gridSpan w:val="7"/>
          </w:tcPr>
          <w:p>
            <w:pPr>
              <w:jc w:val="right"/>
              <w:ind w:right="680"/>
              <w:spacing w:after="0"/>
              <w:rPr>
                <w:sz w:val="20"/>
                <w:szCs w:val="20"/>
                <w:color w:val="auto"/>
              </w:rPr>
            </w:pPr>
            <w:r>
              <w:rPr>
                <w:rFonts w:ascii="Arial" w:cs="Arial" w:eastAsia="Arial" w:hAnsi="Arial"/>
                <w:sz w:val="13"/>
                <w:szCs w:val="13"/>
                <w:b w:val="1"/>
                <w:bCs w:val="1"/>
                <w:color w:val="auto"/>
                <w:w w:val="95"/>
              </w:rPr>
              <w:t>ZoomInfo OpCo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3"/>
              <w:spacing w:after="0"/>
              <w:rPr>
                <w:sz w:val="20"/>
                <w:szCs w:val="20"/>
                <w:color w:val="auto"/>
              </w:rPr>
            </w:pPr>
            <w:r>
              <w:rPr>
                <w:rFonts w:ascii="Arial" w:cs="Arial" w:eastAsia="Arial" w:hAnsi="Arial"/>
                <w:sz w:val="13"/>
                <w:szCs w:val="13"/>
                <w:b w:val="1"/>
                <w:bCs w:val="1"/>
                <w:color w:val="auto"/>
                <w:w w:val="91"/>
              </w:rPr>
              <w:t>Technologies Inc.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3"/>
                <w:szCs w:val="13"/>
                <w:b w:val="1"/>
                <w:bCs w:val="1"/>
                <w:color w:val="auto"/>
              </w:rPr>
              <w:t>(DiscoverOrg Holdings, LLC)</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8"/>
              </w:rPr>
              <w:t>Pro Forma</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23"/>
              <w:spacing w:after="0"/>
              <w:rPr>
                <w:sz w:val="20"/>
                <w:szCs w:val="20"/>
                <w:color w:val="auto"/>
              </w:rPr>
            </w:pPr>
            <w:r>
              <w:rPr>
                <w:rFonts w:ascii="Arial" w:cs="Arial" w:eastAsia="Arial" w:hAnsi="Arial"/>
                <w:sz w:val="13"/>
                <w:szCs w:val="13"/>
                <w:b w:val="1"/>
                <w:bCs w:val="1"/>
                <w:color w:val="auto"/>
                <w:w w:val="95"/>
              </w:rPr>
              <w:t>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ind w:left="140"/>
              <w:spacing w:after="0"/>
              <w:rPr>
                <w:sz w:val="20"/>
                <w:szCs w:val="20"/>
                <w:color w:val="auto"/>
              </w:rPr>
            </w:pPr>
            <w:r>
              <w:rPr>
                <w:rFonts w:ascii="Arial" w:cs="Arial" w:eastAsia="Arial" w:hAnsi="Arial"/>
                <w:sz w:val="13"/>
                <w:szCs w:val="13"/>
                <w:b w:val="1"/>
                <w:bCs w:val="1"/>
                <w:color w:val="auto"/>
              </w:rPr>
              <w:t>Three Months Ended March 31,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4"/>
              </w:rPr>
              <w:t>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 except share amounts)</w:t>
            </w:r>
          </w:p>
        </w:tc>
        <w:tc>
          <w:tcPr>
            <w:tcW w:w="50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20"/>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6"/>
                <w:szCs w:val="16"/>
                <w:b w:val="1"/>
                <w:bCs w:val="1"/>
                <w:color w:val="auto"/>
                <w:w w:val="96"/>
              </w:rPr>
              <w:t>Summary Statements of Operations Data</w:t>
            </w:r>
            <w:r>
              <w:rPr>
                <w:rFonts w:ascii="Arial" w:cs="Arial" w:eastAsia="Arial" w:hAnsi="Arial"/>
                <w:sz w:val="21"/>
                <w:szCs w:val="21"/>
                <w:b w:val="1"/>
                <w:bCs w:val="1"/>
                <w:color w:val="auto"/>
                <w:w w:val="96"/>
                <w:vertAlign w:val="superscript"/>
              </w:rPr>
              <w:t>(1)</w:t>
            </w:r>
            <w:r>
              <w:rPr>
                <w:rFonts w:ascii="Arial" w:cs="Arial" w:eastAsia="Arial" w:hAnsi="Arial"/>
                <w:sz w:val="16"/>
                <w:szCs w:val="16"/>
                <w:b w:val="1"/>
                <w:bCs w:val="1"/>
                <w:color w:val="auto"/>
                <w:w w:val="96"/>
              </w:rPr>
              <w:t>:</w:t>
            </w: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6"/>
                <w:szCs w:val="16"/>
                <w:color w:val="auto"/>
              </w:rPr>
              <w:t>Revenue</w:t>
            </w:r>
          </w:p>
        </w:tc>
        <w:tc>
          <w:tcPr>
            <w:tcW w:w="500" w:type="dxa"/>
            <w:vAlign w:val="bottom"/>
          </w:tcPr>
          <w:p>
            <w:pPr>
              <w:spacing w:after="0"/>
              <w:rPr>
                <w:sz w:val="19"/>
                <w:szCs w:val="19"/>
                <w:color w:val="auto"/>
              </w:rPr>
            </w:pPr>
          </w:p>
        </w:tc>
        <w:tc>
          <w:tcPr>
            <w:tcW w:w="720" w:type="dxa"/>
            <w:vAlign w:val="bottom"/>
            <w:gridSpan w:val="2"/>
          </w:tcPr>
          <w:p>
            <w:pPr>
              <w:jc w:val="right"/>
              <w:ind w:right="505"/>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ind w:right="59"/>
              <w:spacing w:after="0"/>
              <w:rPr>
                <w:sz w:val="20"/>
                <w:szCs w:val="20"/>
                <w:color w:val="auto"/>
              </w:rPr>
            </w:pPr>
            <w:r>
              <w:rPr>
                <w:rFonts w:ascii="Arial" w:cs="Arial" w:eastAsia="Arial" w:hAnsi="Arial"/>
                <w:sz w:val="16"/>
                <w:szCs w:val="16"/>
                <w:color w:val="auto"/>
                <w:w w:val="84"/>
              </w:rPr>
              <w:t>144.3</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140"/>
              <w:spacing w:after="0"/>
              <w:rPr>
                <w:sz w:val="20"/>
                <w:szCs w:val="20"/>
                <w:color w:val="auto"/>
              </w:rPr>
            </w:pPr>
            <w:r>
              <w:rPr>
                <w:rFonts w:ascii="Arial" w:cs="Arial" w:eastAsia="Arial" w:hAnsi="Arial"/>
                <w:sz w:val="16"/>
                <w:szCs w:val="16"/>
                <w:color w:val="auto"/>
              </w:rPr>
              <w:t>293.3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54.6</w:t>
            </w:r>
          </w:p>
        </w:tc>
        <w:tc>
          <w:tcPr>
            <w:tcW w:w="48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102.2</w:t>
            </w:r>
          </w:p>
        </w:tc>
        <w:tc>
          <w:tcPr>
            <w:tcW w:w="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3"/>
              <w:spacing w:after="0"/>
              <w:rPr>
                <w:sz w:val="20"/>
                <w:szCs w:val="20"/>
                <w:color w:val="auto"/>
              </w:rPr>
            </w:pPr>
            <w:r>
              <w:rPr>
                <w:rFonts w:ascii="Arial" w:cs="Arial" w:eastAsia="Arial" w:hAnsi="Arial"/>
                <w:sz w:val="16"/>
                <w:szCs w:val="16"/>
                <w:color w:val="auto"/>
              </w:rPr>
              <w:t>334.6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 of service</w:t>
            </w:r>
            <w:r>
              <w:rPr>
                <w:rFonts w:ascii="Arial" w:cs="Arial" w:eastAsia="Arial" w:hAnsi="Arial"/>
                <w:sz w:val="21"/>
                <w:szCs w:val="21"/>
                <w:color w:val="auto"/>
                <w:vertAlign w:val="superscript"/>
              </w:rPr>
              <w:t>(2)</w:t>
            </w:r>
          </w:p>
        </w:tc>
        <w:tc>
          <w:tcPr>
            <w:tcW w:w="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89"/>
              </w:rPr>
              <w:t>43.6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53.7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20"/>
              <w:spacing w:after="0"/>
              <w:rPr>
                <w:sz w:val="20"/>
                <w:szCs w:val="20"/>
                <w:color w:val="auto"/>
              </w:rPr>
            </w:pPr>
            <w:r>
              <w:rPr>
                <w:rFonts w:ascii="Arial" w:cs="Arial" w:eastAsia="Arial" w:hAnsi="Arial"/>
                <w:sz w:val="16"/>
                <w:szCs w:val="16"/>
                <w:color w:val="auto"/>
              </w:rPr>
              <w:t>Amortization of acquired technology</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ind w:right="5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w w:val="89"/>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63"/>
              <w:spacing w:after="0"/>
              <w:rPr>
                <w:sz w:val="20"/>
                <w:szCs w:val="20"/>
                <w:color w:val="auto"/>
              </w:rPr>
            </w:pPr>
            <w:r>
              <w:rPr>
                <w:rFonts w:ascii="Arial" w:cs="Arial" w:eastAsia="Arial" w:hAnsi="Arial"/>
                <w:sz w:val="16"/>
                <w:szCs w:val="16"/>
                <w:color w:val="auto"/>
              </w:rPr>
              <w:t>26.8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w w:val="84"/>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254.1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(2)</w:t>
            </w:r>
          </w:p>
        </w:tc>
        <w:tc>
          <w:tcPr>
            <w:tcW w:w="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188.6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41.7</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2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gridSpan w:val="3"/>
          </w:tcPr>
          <w:p>
            <w:pPr>
              <w:jc w:val="right"/>
              <w:ind w:right="5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w w:val="89"/>
              </w:rPr>
              <w:t>36.1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63"/>
              <w:spacing w:after="0"/>
              <w:rPr>
                <w:sz w:val="20"/>
                <w:szCs w:val="20"/>
                <w:color w:val="auto"/>
              </w:rPr>
            </w:pPr>
            <w:r>
              <w:rPr>
                <w:rFonts w:ascii="Arial" w:cs="Arial" w:eastAsia="Arial" w:hAnsi="Arial"/>
                <w:sz w:val="16"/>
                <w:szCs w:val="16"/>
                <w:color w:val="auto"/>
              </w:rPr>
              <w:t>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ind w:right="59"/>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63"/>
              <w:spacing w:after="0"/>
              <w:rPr>
                <w:sz w:val="20"/>
                <w:szCs w:val="20"/>
                <w:color w:val="auto"/>
              </w:rPr>
            </w:pPr>
            <w:r>
              <w:rPr>
                <w:rFonts w:ascii="Arial" w:cs="Arial" w:eastAsia="Arial" w:hAnsi="Arial"/>
                <w:sz w:val="16"/>
                <w:szCs w:val="16"/>
                <w:color w:val="auto"/>
              </w:rPr>
              <w:t>72.1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 on debt extinguishment</w:t>
            </w: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89"/>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60" w:type="dxa"/>
            <w:vAlign w:val="bottom"/>
          </w:tcPr>
          <w:p>
            <w:pPr>
              <w:ind w:left="240"/>
              <w:spacing w:after="0"/>
              <w:rPr>
                <w:sz w:val="20"/>
                <w:szCs w:val="20"/>
                <w:color w:val="auto"/>
              </w:rPr>
            </w:pPr>
            <w:r>
              <w:rPr>
                <w:rFonts w:ascii="Arial" w:cs="Arial" w:eastAsia="Arial" w:hAnsi="Arial"/>
                <w:sz w:val="16"/>
                <w:szCs w:val="16"/>
                <w:color w:val="auto"/>
              </w:rPr>
              <w:t>Other (income) expense, net</w:t>
            </w:r>
            <w:r>
              <w:rPr>
                <w:rFonts w:ascii="Arial" w:cs="Arial" w:eastAsia="Arial" w:hAnsi="Arial"/>
                <w:sz w:val="21"/>
                <w:szCs w:val="21"/>
                <w:color w:val="auto"/>
                <w:vertAlign w:val="superscript"/>
              </w:rPr>
              <w:t>(3)</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gridSpan w:val="3"/>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w w:val="90"/>
              </w:rPr>
              <w:t>(31.5)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Benefit from income taxes</w:t>
            </w: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2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w w:val="90"/>
              </w:rPr>
              <w:t>(28.6)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(40.2)</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(50.9)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760" w:type="dxa"/>
            <w:vAlign w:val="bottom"/>
            <w:gridSpan w:val="2"/>
            <w:shd w:val="clear" w:color="auto" w:fill="CCEEFF"/>
          </w:tcPr>
          <w:p>
            <w:pPr>
              <w:ind w:left="480"/>
              <w:spacing w:after="0" w:line="136" w:lineRule="exact"/>
              <w:rPr>
                <w:sz w:val="20"/>
                <w:szCs w:val="20"/>
                <w:color w:val="auto"/>
              </w:rPr>
            </w:pPr>
            <w:r>
              <w:rPr>
                <w:rFonts w:ascii="Arial" w:cs="Arial" w:eastAsia="Arial" w:hAnsi="Arial"/>
                <w:sz w:val="15"/>
                <w:szCs w:val="15"/>
                <w:color w:val="auto"/>
              </w:rPr>
              <w:t>Less: Net income (loss) attributable to non-</w:t>
            </w: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(31.3)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controlling interests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760" w:type="dxa"/>
            <w:vAlign w:val="bottom"/>
            <w:gridSpan w:val="2"/>
          </w:tcPr>
          <w:p>
            <w:pPr>
              <w:ind w:left="20"/>
              <w:spacing w:after="0" w:line="146" w:lineRule="exact"/>
              <w:rPr>
                <w:sz w:val="20"/>
                <w:szCs w:val="20"/>
                <w:color w:val="auto"/>
              </w:rPr>
            </w:pPr>
            <w:r>
              <w:rPr>
                <w:rFonts w:ascii="Arial" w:cs="Arial" w:eastAsia="Arial" w:hAnsi="Arial"/>
                <w:sz w:val="16"/>
                <w:szCs w:val="16"/>
                <w:color w:val="auto"/>
                <w:w w:val="93"/>
              </w:rPr>
              <w:t>Net income (loss) attributable to ZoomInfo Technologies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23"/>
              <w:spacing w:after="0"/>
              <w:rPr>
                <w:sz w:val="20"/>
                <w:szCs w:val="20"/>
                <w:color w:val="auto"/>
              </w:rPr>
            </w:pPr>
            <w:r>
              <w:rPr>
                <w:rFonts w:ascii="Arial" w:cs="Arial" w:eastAsia="Arial" w:hAnsi="Arial"/>
                <w:sz w:val="16"/>
                <w:szCs w:val="16"/>
                <w:color w:val="auto"/>
              </w:rPr>
              <w:t>(19.6)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60" w:type="dxa"/>
            <w:vAlign w:val="bottom"/>
            <w:vMerge w:val="restart"/>
          </w:tcPr>
          <w:p>
            <w:pPr>
              <w:ind w:left="200"/>
              <w:spacing w:after="0"/>
              <w:rPr>
                <w:sz w:val="20"/>
                <w:szCs w:val="20"/>
                <w:color w:val="auto"/>
              </w:rPr>
            </w:pPr>
            <w:r>
              <w:rPr>
                <w:rFonts w:ascii="Arial" w:cs="Arial" w:eastAsia="Arial" w:hAnsi="Arial"/>
                <w:sz w:val="16"/>
                <w:szCs w:val="16"/>
                <w:color w:val="auto"/>
              </w:rPr>
              <w:t>Inc.</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326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20"/>
              <w:spacing w:after="0"/>
              <w:rPr>
                <w:sz w:val="20"/>
                <w:szCs w:val="20"/>
                <w:color w:val="auto"/>
              </w:rPr>
            </w:pPr>
            <w:r>
              <w:rPr>
                <w:rFonts w:ascii="Arial" w:cs="Arial" w:eastAsia="Arial" w:hAnsi="Arial"/>
                <w:sz w:val="16"/>
                <w:szCs w:val="16"/>
                <w:color w:val="auto"/>
              </w:rPr>
              <w:t>Basic and diluted net loss per share</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(0.13)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7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Shares used in basic and diluted per share calculations</w:t>
            </w: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150,160,371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2"/>
        </w:trPr>
        <w:tc>
          <w:tcPr>
            <w:tcW w:w="3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ZoomInfo OpCo</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43"/>
              <w:spacing w:after="0"/>
              <w:rPr>
                <w:sz w:val="20"/>
                <w:szCs w:val="20"/>
                <w:color w:val="auto"/>
              </w:rPr>
            </w:pPr>
            <w:r>
              <w:rPr>
                <w:rFonts w:ascii="Arial" w:cs="Arial" w:eastAsia="Arial" w:hAnsi="Arial"/>
                <w:sz w:val="14"/>
                <w:szCs w:val="14"/>
                <w:b w:val="1"/>
                <w:bCs w:val="1"/>
                <w:color w:val="auto"/>
                <w:w w:val="97"/>
              </w:rPr>
              <w:t>ZoomInfo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Technologies Inc.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(DiscoverOrg Holdings, LLC)</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7"/>
              </w:rPr>
              <w:t>Pro Forma</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w w:val="95"/>
              </w:rPr>
              <w:t>As of December 31,</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As of March 31,</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103"/>
              <w:spacing w:after="0" w:line="153" w:lineRule="exact"/>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9"/>
              </w:rPr>
              <w:t>March 31,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34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2"/>
              </w:rPr>
              <w:t>Summary Balance Sheet Data (at period end):</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41.4</w:t>
            </w:r>
          </w:p>
        </w:tc>
        <w:tc>
          <w:tcPr>
            <w:tcW w:w="4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63.0</w:t>
            </w:r>
          </w:p>
        </w:tc>
        <w:tc>
          <w:tcPr>
            <w:tcW w:w="60" w:type="dxa"/>
            <w:vAlign w:val="bottom"/>
          </w:tcPr>
          <w:p>
            <w:pPr>
              <w:spacing w:after="0"/>
              <w:rPr>
                <w:sz w:val="19"/>
                <w:szCs w:val="19"/>
                <w:color w:val="auto"/>
              </w:rPr>
            </w:pPr>
          </w:p>
        </w:tc>
        <w:tc>
          <w:tcPr>
            <w:tcW w:w="220" w:type="dxa"/>
            <w:vAlign w:val="bottom"/>
            <w:gridSpan w:val="3"/>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335.2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5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1,561.9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1,542.2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1,577.9</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2,038.2</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260" w:type="dxa"/>
            <w:vAlign w:val="bottom"/>
          </w:tcPr>
          <w:p>
            <w:pPr>
              <w:ind w:left="20"/>
              <w:spacing w:after="0"/>
              <w:rPr>
                <w:sz w:val="20"/>
                <w:szCs w:val="20"/>
                <w:color w:val="auto"/>
              </w:rPr>
            </w:pPr>
            <w:r>
              <w:rPr>
                <w:rFonts w:ascii="Arial" w:cs="Arial" w:eastAsia="Arial" w:hAnsi="Arial"/>
                <w:sz w:val="16"/>
                <w:szCs w:val="16"/>
                <w:color w:val="auto"/>
              </w:rPr>
              <w:t>Long-term debt (including current portion)</w:t>
            </w:r>
          </w:p>
        </w:tc>
        <w:tc>
          <w:tcPr>
            <w:tcW w:w="5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633.7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1,203.3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1,206.2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1,238.8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841.5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99"/>
              </w:rPr>
              <w:t>Unearned revenue (including current portion)</w:t>
            </w:r>
          </w:p>
        </w:tc>
        <w:tc>
          <w:tcPr>
            <w:tcW w:w="5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105.3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173.2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173.2</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5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710.1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1,575.5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1,503.6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1,597.8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1,201.2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Temporary equity</w:t>
            </w:r>
            <w:r>
              <w:rPr>
                <w:rFonts w:ascii="Arial" w:cs="Arial" w:eastAsia="Arial" w:hAnsi="Arial"/>
                <w:sz w:val="21"/>
                <w:szCs w:val="21"/>
                <w:color w:val="auto"/>
                <w:vertAlign w:val="superscript"/>
              </w:rPr>
              <w:t>(4)</w:t>
            </w:r>
          </w:p>
        </w:tc>
        <w:tc>
          <w:tcPr>
            <w:tcW w:w="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200.2</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200.2</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6"/>
                <w:szCs w:val="16"/>
                <w:color w:val="auto"/>
              </w:rPr>
              <w:t>Permanent equity</w:t>
            </w:r>
          </w:p>
        </w:tc>
        <w:tc>
          <w:tcPr>
            <w:tcW w:w="5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(119.1)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837.0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20"/>
          </w:cols>
          <w:pgMar w:left="820" w:top="121" w:right="859" w:bottom="1440" w:gutter="0" w:footer="0" w:header="0"/>
        </w:sectPr>
      </w:pPr>
    </w:p>
    <w:bookmarkStart w:id="29" w:name="page30"/>
    <w:bookmarkEnd w:id="2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552450</wp:posOffset>
            </wp:positionV>
            <wp:extent cx="7136130" cy="7359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735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7"/>
          </w:tcPr>
          <w:p>
            <w:pPr>
              <w:ind w:left="700"/>
              <w:spacing w:after="0"/>
              <w:rPr>
                <w:sz w:val="20"/>
                <w:szCs w:val="20"/>
                <w:color w:val="auto"/>
              </w:rPr>
            </w:pPr>
            <w:r>
              <w:rPr>
                <w:rFonts w:ascii="Arial" w:cs="Arial" w:eastAsia="Arial" w:hAnsi="Arial"/>
                <w:sz w:val="14"/>
                <w:szCs w:val="14"/>
                <w:b w:val="1"/>
                <w:bCs w:val="1"/>
                <w:color w:val="auto"/>
              </w:rPr>
              <w:t>ZoomInfo OpCo</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2"/>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(DiscoverOrg Holdings, LLC)</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14"/>
                <w:szCs w:val="14"/>
                <w:b w:val="1"/>
                <w:bCs w:val="1"/>
                <w:color w:val="auto"/>
                <w:w w:val="98"/>
              </w:rPr>
              <w:t>Three Months Ended March 31,</w:t>
            </w:r>
          </w:p>
        </w:tc>
        <w:tc>
          <w:tcPr>
            <w:tcW w:w="180" w:type="dxa"/>
            <w:vAlign w:val="bottom"/>
            <w:tcBorders>
              <w:bottom w:val="single" w:sz="8" w:color="auto"/>
            </w:tcBorders>
          </w:tcPr>
          <w:p>
            <w:pPr>
              <w:spacing w:after="0"/>
              <w:rPr>
                <w:sz w:val="17"/>
                <w:szCs w:val="17"/>
                <w:color w:val="auto"/>
              </w:rPr>
            </w:pPr>
          </w:p>
        </w:tc>
      </w:tr>
      <w:tr>
        <w:trPr>
          <w:trHeight w:val="196"/>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r>
      <w:tr>
        <w:trPr>
          <w:trHeight w:val="22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Summary Statements of Cash Flows Data:</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662"/>
              <w:spacing w:after="0"/>
              <w:rPr>
                <w:sz w:val="20"/>
                <w:szCs w:val="20"/>
                <w:color w:val="auto"/>
              </w:rPr>
            </w:pPr>
            <w:r>
              <w:rPr>
                <w:rFonts w:ascii="Arial" w:cs="Arial" w:eastAsia="Arial" w:hAnsi="Arial"/>
                <w:sz w:val="16"/>
                <w:szCs w:val="16"/>
                <w:color w:val="auto"/>
                <w:w w:val="89"/>
              </w:rPr>
              <w:t>43.8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44.4</w:t>
            </w:r>
          </w:p>
        </w:tc>
        <w:tc>
          <w:tcPr>
            <w:tcW w:w="80" w:type="dxa"/>
            <w:vAlign w:val="bottom"/>
          </w:tcPr>
          <w:p>
            <w:pPr>
              <w:spacing w:after="0"/>
              <w:rPr>
                <w:sz w:val="19"/>
                <w:szCs w:val="19"/>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14.2</w:t>
            </w:r>
          </w:p>
        </w:tc>
        <w:tc>
          <w:tcPr>
            <w:tcW w:w="40" w:type="dxa"/>
            <w:vAlign w:val="bottom"/>
          </w:tcPr>
          <w:p>
            <w:pPr>
              <w:spacing w:after="0"/>
              <w:rPr>
                <w:sz w:val="19"/>
                <w:szCs w:val="19"/>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28.3</w:t>
            </w:r>
          </w:p>
        </w:tc>
      </w:tr>
      <w:tr>
        <w:trPr>
          <w:trHeight w:val="33"/>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3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center"/>
              <w:ind w:left="502"/>
              <w:spacing w:after="0"/>
              <w:rPr>
                <w:sz w:val="20"/>
                <w:szCs w:val="20"/>
                <w:color w:val="auto"/>
              </w:rPr>
            </w:pPr>
            <w:r>
              <w:rPr>
                <w:rFonts w:ascii="Arial" w:cs="Arial" w:eastAsia="Arial" w:hAnsi="Arial"/>
                <w:sz w:val="16"/>
                <w:szCs w:val="16"/>
                <w:color w:val="auto"/>
                <w:w w:val="95"/>
              </w:rPr>
              <w:t>(13.1)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(4.1)</w:t>
            </w:r>
          </w:p>
        </w:tc>
      </w:tr>
      <w:tr>
        <w:trPr>
          <w:trHeight w:val="251"/>
        </w:trPr>
        <w:tc>
          <w:tcPr>
            <w:tcW w:w="402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center"/>
              <w:ind w:left="502"/>
              <w:spacing w:after="0"/>
              <w:rPr>
                <w:sz w:val="20"/>
                <w:szCs w:val="20"/>
                <w:color w:val="auto"/>
              </w:rPr>
            </w:pPr>
            <w:r>
              <w:rPr>
                <w:rFonts w:ascii="Arial" w:cs="Arial" w:eastAsia="Arial" w:hAnsi="Arial"/>
                <w:sz w:val="16"/>
                <w:szCs w:val="16"/>
                <w:color w:val="auto"/>
                <w:w w:val="95"/>
              </w:rPr>
              <w:t>(29.9)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725.8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755.0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(2.6)</w:t>
            </w:r>
          </w:p>
        </w:tc>
      </w:tr>
      <w:tr>
        <w:trPr>
          <w:trHeight w:val="348"/>
        </w:trPr>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5"/>
          </w:tcPr>
          <w:p>
            <w:pPr>
              <w:jc w:val="center"/>
              <w:ind w:left="503"/>
              <w:spacing w:after="0"/>
              <w:rPr>
                <w:sz w:val="20"/>
                <w:szCs w:val="20"/>
                <w:color w:val="auto"/>
              </w:rPr>
            </w:pPr>
            <w:r>
              <w:rPr>
                <w:rFonts w:ascii="Arial" w:cs="Arial" w:eastAsia="Arial" w:hAnsi="Arial"/>
                <w:sz w:val="14"/>
                <w:szCs w:val="14"/>
                <w:b w:val="1"/>
                <w:bCs w:val="1"/>
                <w:color w:val="auto"/>
                <w:w w:val="96"/>
              </w:rPr>
              <w:t>ZoomInfo OpCo</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2"/>
        </w:trPr>
        <w:tc>
          <w:tcPr>
            <w:tcW w:w="4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center"/>
              <w:ind w:right="440"/>
              <w:spacing w:after="0"/>
              <w:rPr>
                <w:sz w:val="20"/>
                <w:szCs w:val="20"/>
                <w:color w:val="auto"/>
              </w:rPr>
            </w:pPr>
            <w:r>
              <w:rPr>
                <w:rFonts w:ascii="Arial" w:cs="Arial" w:eastAsia="Arial" w:hAnsi="Arial"/>
                <w:sz w:val="14"/>
                <w:szCs w:val="14"/>
                <w:b w:val="1"/>
                <w:bCs w:val="1"/>
                <w:color w:val="auto"/>
                <w:w w:val="95"/>
              </w:rPr>
              <w:t>(DiscoverOrg Holdings, LLC)</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7"/>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gridSpan w:val="6"/>
          </w:tcPr>
          <w:p>
            <w:pPr>
              <w:jc w:val="right"/>
              <w:ind w:right="261"/>
              <w:spacing w:after="0"/>
              <w:rPr>
                <w:sz w:val="20"/>
                <w:szCs w:val="20"/>
                <w:color w:val="auto"/>
              </w:rPr>
            </w:pPr>
            <w:r>
              <w:rPr>
                <w:rFonts w:ascii="Arial" w:cs="Arial" w:eastAsia="Arial" w:hAnsi="Arial"/>
                <w:sz w:val="14"/>
                <w:szCs w:val="14"/>
                <w:b w:val="1"/>
                <w:bCs w:val="1"/>
                <w:color w:val="auto"/>
                <w:w w:val="96"/>
              </w:rPr>
              <w:t>Three Months Ended March 31,</w:t>
            </w:r>
          </w:p>
        </w:tc>
        <w:tc>
          <w:tcPr>
            <w:tcW w:w="180" w:type="dxa"/>
            <w:vAlign w:val="bottom"/>
          </w:tcPr>
          <w:p>
            <w:pPr>
              <w:spacing w:after="0"/>
              <w:rPr>
                <w:sz w:val="17"/>
                <w:szCs w:val="17"/>
                <w:color w:val="auto"/>
              </w:rPr>
            </w:pPr>
          </w:p>
        </w:tc>
      </w:tr>
      <w:tr>
        <w:trPr>
          <w:trHeight w:val="196"/>
        </w:trPr>
        <w:tc>
          <w:tcPr>
            <w:tcW w:w="40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7"/>
                <w:szCs w:val="17"/>
                <w:color w:val="auto"/>
              </w:rPr>
            </w:pPr>
          </w:p>
        </w:tc>
      </w:tr>
      <w:tr>
        <w:trPr>
          <w:trHeight w:val="202"/>
        </w:trPr>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b w:val="1"/>
                <w:bCs w:val="1"/>
                <w:color w:val="auto"/>
              </w:rPr>
              <w:t>Other Data</w:t>
            </w:r>
            <w:r>
              <w:rPr>
                <w:rFonts w:ascii="Arial" w:cs="Arial" w:eastAsia="Arial" w:hAnsi="Arial"/>
                <w:sz w:val="21"/>
                <w:szCs w:val="21"/>
                <w:b w:val="1"/>
                <w:bCs w:val="1"/>
                <w:color w:val="auto"/>
                <w:vertAlign w:val="superscript"/>
              </w:rPr>
              <w:t>(5)</w:t>
            </w:r>
            <w:r>
              <w:rPr>
                <w:rFonts w:ascii="Arial" w:cs="Arial" w:eastAsia="Arial" w:hAnsi="Arial"/>
                <w:sz w:val="16"/>
                <w:szCs w:val="16"/>
                <w:b w:val="1"/>
                <w:bCs w:val="1"/>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56"/>
        </w:trPr>
        <w:tc>
          <w:tcPr>
            <w:tcW w:w="4020" w:type="dxa"/>
            <w:vAlign w:val="bottom"/>
          </w:tcPr>
          <w:p>
            <w:pPr>
              <w:ind w:left="20"/>
              <w:spacing w:after="0"/>
              <w:rPr>
                <w:sz w:val="20"/>
                <w:szCs w:val="20"/>
                <w:color w:val="auto"/>
              </w:rPr>
            </w:pPr>
            <w:r>
              <w:rPr>
                <w:rFonts w:ascii="Arial" w:cs="Arial" w:eastAsia="Arial" w:hAnsi="Arial"/>
                <w:sz w:val="16"/>
                <w:szCs w:val="16"/>
                <w:color w:val="auto"/>
              </w:rPr>
              <w:t>Allocated Combined Receipts</w:t>
            </w:r>
            <w:r>
              <w:rPr>
                <w:rFonts w:ascii="Arial" w:cs="Arial" w:eastAsia="Arial" w:hAnsi="Arial"/>
                <w:sz w:val="21"/>
                <w:szCs w:val="21"/>
                <w:color w:val="auto"/>
                <w:vertAlign w:val="superscript"/>
              </w:rPr>
              <w:t>(6)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2"/>
                <w:szCs w:val="22"/>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241.2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22"/>
                <w:szCs w:val="22"/>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336.0</w:t>
            </w:r>
          </w:p>
        </w:tc>
        <w:tc>
          <w:tcPr>
            <w:tcW w:w="80" w:type="dxa"/>
            <w:vAlign w:val="bottom"/>
          </w:tcPr>
          <w:p>
            <w:pPr>
              <w:spacing w:after="0"/>
              <w:rPr>
                <w:sz w:val="22"/>
                <w:szCs w:val="22"/>
                <w:color w:val="auto"/>
              </w:rPr>
            </w:pPr>
          </w:p>
        </w:tc>
        <w:tc>
          <w:tcPr>
            <w:tcW w:w="5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73.1</w:t>
            </w:r>
          </w:p>
        </w:tc>
        <w:tc>
          <w:tcPr>
            <w:tcW w:w="40" w:type="dxa"/>
            <w:vAlign w:val="bottom"/>
          </w:tcPr>
          <w:p>
            <w:pPr>
              <w:spacing w:after="0"/>
              <w:rPr>
                <w:sz w:val="22"/>
                <w:szCs w:val="22"/>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103.6</w:t>
            </w:r>
          </w:p>
        </w:tc>
        <w:tc>
          <w:tcPr>
            <w:tcW w:w="180" w:type="dxa"/>
            <w:vAlign w:val="bottom"/>
          </w:tcPr>
          <w:p>
            <w:pPr>
              <w:spacing w:after="0"/>
              <w:rPr>
                <w:sz w:val="22"/>
                <w:szCs w:val="22"/>
                <w:color w:val="auto"/>
              </w:rPr>
            </w:pPr>
          </w:p>
        </w:tc>
      </w:tr>
      <w:tr>
        <w:trPr>
          <w:trHeight w:val="25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Operating Income</w:t>
            </w:r>
            <w:r>
              <w:rPr>
                <w:rFonts w:ascii="Arial" w:cs="Arial" w:eastAsia="Arial" w:hAnsi="Arial"/>
                <w:sz w:val="21"/>
                <w:szCs w:val="21"/>
                <w:color w:val="auto"/>
                <w:vertAlign w:val="superscript"/>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83.7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167.1</w:t>
            </w:r>
          </w:p>
        </w:tc>
        <w:tc>
          <w:tcPr>
            <w:tcW w:w="8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31.7</w:t>
            </w:r>
          </w:p>
        </w:tc>
        <w:tc>
          <w:tcPr>
            <w:tcW w:w="4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80" w:type="dxa"/>
            <w:vAlign w:val="bottom"/>
            <w:shd w:val="clear" w:color="auto" w:fill="CCEEFF"/>
          </w:tcPr>
          <w:p>
            <w:pPr>
              <w:spacing w:after="0"/>
              <w:rPr>
                <w:sz w:val="22"/>
                <w:szCs w:val="22"/>
                <w:color w:val="auto"/>
              </w:rPr>
            </w:pPr>
          </w:p>
        </w:tc>
      </w:tr>
      <w:tr>
        <w:trPr>
          <w:trHeight w:val="257"/>
        </w:trPr>
        <w:tc>
          <w:tcPr>
            <w:tcW w:w="4020" w:type="dxa"/>
            <w:vAlign w:val="bottom"/>
          </w:tcPr>
          <w:p>
            <w:pPr>
              <w:ind w:left="20"/>
              <w:spacing w:after="0"/>
              <w:rPr>
                <w:sz w:val="20"/>
                <w:szCs w:val="20"/>
                <w:color w:val="auto"/>
              </w:rPr>
            </w:pPr>
            <w:r>
              <w:rPr>
                <w:rFonts w:ascii="Arial" w:cs="Arial" w:eastAsia="Arial" w:hAnsi="Arial"/>
                <w:sz w:val="16"/>
                <w:szCs w:val="16"/>
                <w:color w:val="auto"/>
              </w:rPr>
              <w:t>Adjusted Operating Income Margin</w:t>
            </w:r>
            <w:r>
              <w:rPr>
                <w:rFonts w:ascii="Arial" w:cs="Arial" w:eastAsia="Arial" w:hAnsi="Arial"/>
                <w:sz w:val="21"/>
                <w:szCs w:val="21"/>
                <w:color w:val="auto"/>
                <w:vertAlign w:val="superscript"/>
              </w:rPr>
              <w:t>(7)</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50 %</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86.2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173.2</w:t>
            </w:r>
          </w:p>
        </w:tc>
        <w:tc>
          <w:tcPr>
            <w:tcW w:w="8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32.8</w:t>
            </w:r>
          </w:p>
        </w:tc>
        <w:tc>
          <w:tcPr>
            <w:tcW w:w="4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80" w:type="dxa"/>
            <w:vAlign w:val="bottom"/>
            <w:shd w:val="clear" w:color="auto" w:fill="CCEEFF"/>
          </w:tcPr>
          <w:p>
            <w:pPr>
              <w:spacing w:after="0"/>
              <w:rPr>
                <w:sz w:val="22"/>
                <w:szCs w:val="22"/>
                <w:color w:val="auto"/>
              </w:rPr>
            </w:pPr>
          </w:p>
        </w:tc>
      </w:tr>
      <w:tr>
        <w:trPr>
          <w:trHeight w:val="155"/>
        </w:trPr>
        <w:tc>
          <w:tcPr>
            <w:tcW w:w="4020" w:type="dxa"/>
            <w:vAlign w:val="bottom"/>
          </w:tcPr>
          <w:p>
            <w:pPr>
              <w:ind w:left="20"/>
              <w:spacing w:after="0" w:line="155" w:lineRule="exact"/>
              <w:rPr>
                <w:sz w:val="20"/>
                <w:szCs w:val="20"/>
                <w:color w:val="auto"/>
              </w:rPr>
            </w:pPr>
            <w:r>
              <w:rPr>
                <w:rFonts w:ascii="Arial" w:cs="Arial" w:eastAsia="Arial" w:hAnsi="Arial"/>
                <w:sz w:val="14"/>
                <w:szCs w:val="14"/>
                <w:color w:val="auto"/>
              </w:rPr>
              <w:t>__________________</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r>
    </w:tbl>
    <w:p>
      <w:pPr>
        <w:ind w:left="340" w:right="20" w:hanging="328"/>
        <w:spacing w:after="0" w:line="255"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Historical results of ZoomInfo OpCo for the years ended December 31, 2018 and 2019 do not reflect the results of Pre-Acquisition ZI prior to the Zoom Information Acquisition on February 1, 2019.</w:t>
      </w:r>
    </w:p>
    <w:p>
      <w:pPr>
        <w:spacing w:after="0" w:line="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216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Pr>
          <w:p>
            <w:pPr>
              <w:spacing w:after="0"/>
              <w:rPr>
                <w:sz w:val="16"/>
                <w:szCs w:val="16"/>
                <w:color w:val="auto"/>
              </w:rPr>
            </w:pPr>
          </w:p>
        </w:tc>
        <w:tc>
          <w:tcPr>
            <w:tcW w:w="216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ZoomInfo OpCo</w:t>
            </w: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ZoomInfo OpCo</w:t>
            </w:r>
          </w:p>
        </w:tc>
        <w:tc>
          <w:tcPr>
            <w:tcW w:w="8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(DiscoverOrg</w:t>
            </w:r>
          </w:p>
        </w:tc>
        <w:tc>
          <w:tcPr>
            <w:tcW w:w="10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Pre-Acquisition ZI</w:t>
            </w: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(DiscoverOrg</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Pre-Acquisition ZI</w:t>
            </w:r>
            <w:r>
              <w:rPr>
                <w:rFonts w:ascii="Arial" w:cs="Arial" w:eastAsia="Arial" w:hAnsi="Arial"/>
                <w:sz w:val="9"/>
                <w:szCs w:val="9"/>
                <w:b w:val="1"/>
                <w:bCs w:val="1"/>
                <w:color w:val="auto"/>
                <w:w w:val="99"/>
              </w:rPr>
              <w:t>(a)</w:t>
            </w:r>
          </w:p>
        </w:tc>
        <w:tc>
          <w:tcPr>
            <w:tcW w:w="0" w:type="dxa"/>
            <w:vAlign w:val="bottom"/>
          </w:tcPr>
          <w:p>
            <w:pPr>
              <w:spacing w:after="0"/>
              <w:rPr>
                <w:sz w:val="1"/>
                <w:szCs w:val="1"/>
                <w:color w:val="auto"/>
              </w:rPr>
            </w:pPr>
          </w:p>
        </w:tc>
      </w:tr>
      <w:tr>
        <w:trPr>
          <w:trHeight w:val="192"/>
        </w:trPr>
        <w:tc>
          <w:tcPr>
            <w:tcW w:w="3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Holdings, LLC)</w:t>
            </w: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Holdings, LLC)</w:t>
            </w: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center"/>
              <w:ind w:left="688"/>
              <w:spacing w:after="0"/>
              <w:rPr>
                <w:sz w:val="20"/>
                <w:szCs w:val="20"/>
                <w:color w:val="auto"/>
              </w:rPr>
            </w:pPr>
            <w:r>
              <w:rPr>
                <w:rFonts w:ascii="Arial" w:cs="Arial" w:eastAsia="Arial" w:hAnsi="Arial"/>
                <w:sz w:val="14"/>
                <w:szCs w:val="14"/>
                <w:color w:val="auto"/>
                <w:w w:val="87"/>
              </w:rPr>
              <w:t>72.5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293.3</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7"/>
        </w:trPr>
        <w:tc>
          <w:tcPr>
            <w:tcW w:w="364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14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left="668"/>
              <w:spacing w:after="0"/>
              <w:rPr>
                <w:sz w:val="20"/>
                <w:szCs w:val="20"/>
                <w:color w:val="auto"/>
              </w:rPr>
            </w:pPr>
            <w:r>
              <w:rPr>
                <w:rFonts w:ascii="Arial" w:cs="Arial" w:eastAsia="Arial" w:hAnsi="Arial"/>
                <w:sz w:val="14"/>
                <w:szCs w:val="14"/>
                <w:color w:val="auto"/>
                <w:w w:val="92"/>
              </w:rPr>
              <w:t>(23.1)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8"/>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center"/>
              <w:ind w:left="668"/>
              <w:spacing w:after="0"/>
              <w:rPr>
                <w:sz w:val="20"/>
                <w:szCs w:val="20"/>
                <w:color w:val="auto"/>
              </w:rPr>
            </w:pPr>
            <w:r>
              <w:rPr>
                <w:rFonts w:ascii="Arial" w:cs="Arial" w:eastAsia="Arial" w:hAnsi="Arial"/>
                <w:sz w:val="14"/>
                <w:szCs w:val="14"/>
                <w:color w:val="auto"/>
                <w:w w:val="92"/>
              </w:rPr>
              <w:t>(27.5)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5"/>
        </w:trPr>
        <w:tc>
          <w:tcPr>
            <w:tcW w:w="364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60" w:hanging="324"/>
        <w:spacing w:after="0"/>
        <w:tabs>
          <w:tab w:leader="none" w:pos="660" w:val="left"/>
        </w:tabs>
        <w:numPr>
          <w:ilvl w:val="1"/>
          <w:numId w:val="25"/>
        </w:numPr>
        <w:rPr>
          <w:rFonts w:ascii="Arial" w:cs="Arial" w:eastAsia="Arial" w:hAnsi="Arial"/>
          <w:sz w:val="14"/>
          <w:szCs w:val="14"/>
          <w:color w:val="auto"/>
        </w:rPr>
      </w:pPr>
      <w:r>
        <w:rPr>
          <w:rFonts w:ascii="Arial" w:cs="Arial" w:eastAsia="Arial" w:hAnsi="Arial"/>
          <w:sz w:val="14"/>
          <w:szCs w:val="14"/>
          <w:color w:val="auto"/>
        </w:rPr>
        <w:t>Reflects January 2019 results for Pre-Acquisition ZI.</w:t>
      </w:r>
    </w:p>
    <w:p>
      <w:pPr>
        <w:spacing w:after="0" w:line="43" w:lineRule="exact"/>
        <w:rPr>
          <w:rFonts w:ascii="Arial" w:cs="Arial" w:eastAsia="Arial" w:hAnsi="Arial"/>
          <w:sz w:val="14"/>
          <w:szCs w:val="14"/>
          <w:color w:val="auto"/>
        </w:rPr>
      </w:pPr>
    </w:p>
    <w:p>
      <w:pPr>
        <w:ind w:left="320" w:hanging="308"/>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equity-based compensation expense, as follows:</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25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02"/>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r>
      <w:tr>
        <w:trPr>
          <w:trHeight w:val="197"/>
        </w:trPr>
        <w:tc>
          <w:tcPr>
            <w:tcW w:w="36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6.4</w:t>
            </w:r>
          </w:p>
        </w:tc>
      </w:tr>
      <w:tr>
        <w:trPr>
          <w:trHeight w:val="208"/>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r>
      <w:tr>
        <w:trPr>
          <w:trHeight w:val="197"/>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r>
      <w:tr>
        <w:trPr>
          <w:trHeight w:val="227"/>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equity-based compensation expense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20" w:hanging="308"/>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3" w:lineRule="exact"/>
        <w:rPr>
          <w:rFonts w:ascii="Arial" w:cs="Arial" w:eastAsia="Arial" w:hAnsi="Arial"/>
          <w:sz w:val="14"/>
          <w:szCs w:val="14"/>
          <w:color w:val="auto"/>
        </w:rPr>
      </w:pPr>
    </w:p>
    <w:p>
      <w:pPr>
        <w:jc w:val="both"/>
        <w:ind w:left="340" w:hanging="328"/>
        <w:spacing w:after="0" w:line="241"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207,000,000 Series A Preferred Units issued on February 1, 2019 in connection with the Zoom Information Acquisition. We redeemed and cancelled all outstanding Series A Preferred Units with proceeds from the IPO for approximately $274.2 million, including accumulated but unpaid distributions and related prepayment premiums.</w:t>
      </w:r>
    </w:p>
    <w:p>
      <w:pPr>
        <w:spacing w:after="0" w:line="1" w:lineRule="exact"/>
        <w:rPr>
          <w:rFonts w:ascii="Arial" w:cs="Arial" w:eastAsia="Arial" w:hAnsi="Arial"/>
          <w:sz w:val="14"/>
          <w:szCs w:val="14"/>
          <w:color w:val="auto"/>
        </w:rPr>
      </w:pPr>
    </w:p>
    <w:p>
      <w:pPr>
        <w:jc w:val="both"/>
        <w:ind w:left="340" w:hanging="328"/>
        <w:spacing w:after="0" w:line="241"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addition to our results determined in accordance with U.S. generally accepted accounting principles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2" w:lineRule="exact"/>
        <w:rPr>
          <w:rFonts w:ascii="Arial" w:cs="Arial" w:eastAsia="Arial" w:hAnsi="Arial"/>
          <w:sz w:val="14"/>
          <w:szCs w:val="14"/>
          <w:color w:val="auto"/>
        </w:rPr>
      </w:pPr>
    </w:p>
    <w:p>
      <w:pPr>
        <w:jc w:val="both"/>
        <w:ind w:left="340"/>
        <w:spacing w:after="0" w:line="266" w:lineRule="auto"/>
        <w:rPr>
          <w:rFonts w:ascii="Arial" w:cs="Arial" w:eastAsia="Arial" w:hAnsi="Arial"/>
          <w:sz w:val="14"/>
          <w:szCs w:val="14"/>
          <w:color w:val="auto"/>
        </w:rPr>
      </w:pPr>
      <w:r>
        <w:rPr>
          <w:rFonts w:ascii="Arial" w:cs="Arial" w:eastAsia="Arial" w:hAnsi="Arial"/>
          <w:sz w:val="13"/>
          <w:szCs w:val="13"/>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ectPr>
          <w:pgSz w:w="11900" w:h="16838" w:orient="portrait"/>
          <w:cols w:equalWidth="0" w:num="1">
            <w:col w:w="10240"/>
          </w:cols>
          <w:pgMar w:left="820" w:top="121"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240"/>
          </w:cols>
          <w:pgMar w:left="820" w:top="121" w:right="839" w:bottom="1440" w:gutter="0" w:footer="0" w:header="0"/>
          <w:type w:val="continuous"/>
        </w:sectPr>
      </w:pPr>
    </w:p>
    <w:bookmarkStart w:id="30" w:name="page31"/>
    <w:bookmarkEnd w:id="30"/>
    <w:p>
      <w:pPr>
        <w:jc w:val="center"/>
        <w:ind w:right="-327"/>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27"/>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552450</wp:posOffset>
            </wp:positionV>
            <wp:extent cx="7136130" cy="509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509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328" w:hanging="328"/>
        <w:spacing w:after="0" w:line="245" w:lineRule="auto"/>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32" w:lineRule="exact"/>
        <w:rPr>
          <w:rFonts w:ascii="Arial" w:cs="Arial" w:eastAsia="Arial" w:hAnsi="Arial"/>
          <w:sz w:val="14"/>
          <w:szCs w:val="14"/>
          <w:color w:val="auto"/>
        </w:rPr>
      </w:pPr>
    </w:p>
    <w:p>
      <w:pPr>
        <w:ind w:left="328"/>
        <w:spacing w:after="0"/>
        <w:rPr>
          <w:rFonts w:ascii="Arial" w:cs="Arial" w:eastAsia="Arial" w:hAnsi="Arial"/>
          <w:sz w:val="14"/>
          <w:szCs w:val="14"/>
          <w:color w:val="auto"/>
        </w:rPr>
      </w:pPr>
      <w:r>
        <w:rPr>
          <w:rFonts w:ascii="Arial" w:cs="Arial" w:eastAsia="Arial" w:hAnsi="Arial"/>
          <w:sz w:val="14"/>
          <w:szCs w:val="14"/>
          <w:color w:val="auto"/>
        </w:rPr>
        <w:t>The following table presents a reconciliation of Allocated Combined Receipts for the periods presented:</w:t>
      </w:r>
    </w:p>
    <w:p>
      <w:pPr>
        <w:spacing w:after="0" w:line="146" w:lineRule="exact"/>
        <w:rPr>
          <w:sz w:val="20"/>
          <w:szCs w:val="20"/>
          <w:color w:val="auto"/>
        </w:rPr>
      </w:pPr>
    </w:p>
    <w:tbl>
      <w:tblPr>
        <w:tblLayout w:type="fixed"/>
        <w:tblInd w:w="328"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144.3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293.3</w:t>
            </w:r>
          </w:p>
        </w:tc>
        <w:tc>
          <w:tcPr>
            <w:tcW w:w="1180" w:type="dxa"/>
            <w:vAlign w:val="bottom"/>
            <w:gridSpan w:val="3"/>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35"/>
        </w:trPr>
        <w:tc>
          <w:tcPr>
            <w:tcW w:w="3600" w:type="dxa"/>
            <w:vAlign w:val="bottom"/>
          </w:tcPr>
          <w:p>
            <w:pPr>
              <w:ind w:left="180"/>
              <w:spacing w:after="0" w:line="135" w:lineRule="exact"/>
              <w:rPr>
                <w:sz w:val="20"/>
                <w:szCs w:val="20"/>
                <w:color w:val="auto"/>
              </w:rPr>
            </w:pPr>
            <w:r>
              <w:rPr>
                <w:rFonts w:ascii="Arial" w:cs="Arial" w:eastAsia="Arial" w:hAnsi="Arial"/>
                <w:sz w:val="14"/>
                <w:szCs w:val="14"/>
                <w:color w:val="auto"/>
              </w:rPr>
              <w:t>Impact of fair value adjustments to acquired unearned</w:t>
            </w:r>
          </w:p>
        </w:tc>
        <w:tc>
          <w:tcPr>
            <w:tcW w:w="880" w:type="dxa"/>
            <w:vAlign w:val="bottom"/>
          </w:tcPr>
          <w:p>
            <w:pPr>
              <w:spacing w:after="0"/>
              <w:rPr>
                <w:sz w:val="11"/>
                <w:szCs w:val="11"/>
                <w:color w:val="auto"/>
              </w:rPr>
            </w:pP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3600" w:type="dxa"/>
            <w:vAlign w:val="bottom"/>
          </w:tcPr>
          <w:p>
            <w:pPr>
              <w:ind w:left="340"/>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(a)</w:t>
            </w:r>
          </w:p>
        </w:tc>
        <w:tc>
          <w:tcPr>
            <w:tcW w:w="8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Pre-Acquisition ZI revenue</w:t>
            </w:r>
            <w:r>
              <w:rPr>
                <w:rFonts w:ascii="Arial" w:cs="Arial" w:eastAsia="Arial" w:hAnsi="Arial"/>
                <w:sz w:val="9"/>
                <w:szCs w:val="9"/>
                <w:color w:val="auto"/>
              </w:rPr>
              <w:t>(b)</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600" w:type="dxa"/>
            <w:vAlign w:val="bottom"/>
          </w:tcPr>
          <w:p>
            <w:pPr>
              <w:ind w:left="180"/>
              <w:spacing w:after="0" w:line="135" w:lineRule="exact"/>
              <w:rPr>
                <w:sz w:val="20"/>
                <w:szCs w:val="20"/>
                <w:color w:val="auto"/>
              </w:rPr>
            </w:pPr>
            <w:r>
              <w:rPr>
                <w:rFonts w:ascii="Arial" w:cs="Arial" w:eastAsia="Arial" w:hAnsi="Arial"/>
                <w:sz w:val="14"/>
                <w:szCs w:val="14"/>
                <w:color w:val="auto"/>
              </w:rPr>
              <w:t>Impact of fair value adjustments to acquired unearned</w:t>
            </w:r>
          </w:p>
        </w:tc>
        <w:tc>
          <w:tcPr>
            <w:tcW w:w="880" w:type="dxa"/>
            <w:vAlign w:val="bottom"/>
          </w:tcPr>
          <w:p>
            <w:pPr>
              <w:spacing w:after="0"/>
              <w:rPr>
                <w:sz w:val="11"/>
                <w:szCs w:val="11"/>
                <w:color w:val="auto"/>
              </w:rPr>
            </w:pP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00" w:type="dxa"/>
            <w:vAlign w:val="bottom"/>
          </w:tcPr>
          <w:p>
            <w:pPr>
              <w:ind w:left="340"/>
              <w:spacing w:after="0"/>
              <w:rPr>
                <w:sz w:val="20"/>
                <w:szCs w:val="20"/>
                <w:color w:val="auto"/>
              </w:rPr>
            </w:pPr>
            <w:r>
              <w:rPr>
                <w:rFonts w:ascii="Arial" w:cs="Arial" w:eastAsia="Arial" w:hAnsi="Arial"/>
                <w:sz w:val="14"/>
                <w:szCs w:val="14"/>
                <w:color w:val="auto"/>
              </w:rPr>
              <w:t>revenue recorded by Pre-Acquisition ZI</w:t>
            </w:r>
            <w:r>
              <w:rPr>
                <w:rFonts w:ascii="Arial" w:cs="Arial" w:eastAsia="Arial" w:hAnsi="Arial"/>
                <w:sz w:val="9"/>
                <w:szCs w:val="9"/>
                <w:color w:val="auto"/>
              </w:rPr>
              <w:t>(c)</w:t>
            </w:r>
          </w:p>
        </w:tc>
        <w:tc>
          <w:tcPr>
            <w:tcW w:w="8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Pre-acquisition revenue of other acquired companies</w:t>
            </w:r>
            <w:r>
              <w:rPr>
                <w:rFonts w:ascii="Arial" w:cs="Arial" w:eastAsia="Arial" w:hAnsi="Arial"/>
                <w:sz w:val="9"/>
                <w:szCs w:val="9"/>
                <w:color w:val="auto"/>
              </w:rPr>
              <w:t>(d)</w:t>
            </w:r>
          </w:p>
        </w:tc>
        <w:tc>
          <w:tcPr>
            <w:tcW w:w="8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rPr>
                <w:sz w:val="20"/>
                <w:szCs w:val="20"/>
                <w:color w:val="auto"/>
              </w:rPr>
            </w:pPr>
            <w:r>
              <w:rPr>
                <w:rFonts w:ascii="Arial" w:cs="Arial" w:eastAsia="Arial" w:hAnsi="Arial"/>
                <w:sz w:val="14"/>
                <w:szCs w:val="14"/>
                <w:color w:val="auto"/>
              </w:rPr>
              <w:t>Allocated Combined Receipts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241.2</w:t>
            </w:r>
          </w:p>
        </w:tc>
        <w:tc>
          <w:tcPr>
            <w:tcW w:w="10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91"/>
              </w:rPr>
              <w:t>336.0</w:t>
            </w:r>
          </w:p>
        </w:tc>
        <w:tc>
          <w:tcPr>
            <w:tcW w:w="1180" w:type="dxa"/>
            <w:vAlign w:val="bottom"/>
            <w:gridSpan w:val="3"/>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Growth</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96"/>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8"/>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648" w:right="20" w:hanging="324"/>
        <w:spacing w:after="0" w:line="260" w:lineRule="auto"/>
        <w:tabs>
          <w:tab w:leader="none" w:pos="645" w:val="left"/>
        </w:tabs>
        <w:numPr>
          <w:ilvl w:val="1"/>
          <w:numId w:val="29"/>
        </w:numPr>
        <w:rPr>
          <w:rFonts w:ascii="Arial" w:cs="Arial" w:eastAsia="Arial" w:hAnsi="Arial"/>
          <w:sz w:val="13"/>
          <w:szCs w:val="13"/>
          <w:color w:val="auto"/>
        </w:rPr>
      </w:pPr>
      <w:r>
        <w:rPr>
          <w:rFonts w:ascii="Arial" w:cs="Arial" w:eastAsia="Arial" w:hAnsi="Arial"/>
          <w:sz w:val="13"/>
          <w:szCs w:val="13"/>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648" w:hanging="324"/>
        <w:spacing w:after="0"/>
        <w:tabs>
          <w:tab w:leader="none" w:pos="648" w:val="left"/>
        </w:tabs>
        <w:numPr>
          <w:ilvl w:val="1"/>
          <w:numId w:val="29"/>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spacing w:after="0" w:line="1" w:lineRule="exact"/>
        <w:rPr>
          <w:rFonts w:ascii="Arial" w:cs="Arial" w:eastAsia="Arial" w:hAnsi="Arial"/>
          <w:sz w:val="14"/>
          <w:szCs w:val="14"/>
          <w:color w:val="auto"/>
        </w:rPr>
      </w:pPr>
    </w:p>
    <w:p>
      <w:pPr>
        <w:jc w:val="both"/>
        <w:ind w:left="648" w:right="20" w:hanging="324"/>
        <w:spacing w:after="0" w:line="260" w:lineRule="auto"/>
        <w:tabs>
          <w:tab w:leader="none" w:pos="645" w:val="left"/>
        </w:tabs>
        <w:numPr>
          <w:ilvl w:val="1"/>
          <w:numId w:val="29"/>
        </w:numPr>
        <w:rPr>
          <w:rFonts w:ascii="Arial" w:cs="Arial" w:eastAsia="Arial" w:hAnsi="Arial"/>
          <w:sz w:val="13"/>
          <w:szCs w:val="13"/>
          <w:color w:val="auto"/>
        </w:rPr>
      </w:pPr>
      <w:r>
        <w:rPr>
          <w:rFonts w:ascii="Arial" w:cs="Arial" w:eastAsia="Arial" w:hAnsi="Arial"/>
          <w:sz w:val="13"/>
          <w:szCs w:val="13"/>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648" w:hanging="324"/>
        <w:spacing w:after="0" w:line="255" w:lineRule="auto"/>
        <w:tabs>
          <w:tab w:leader="none" w:pos="640" w:val="left"/>
        </w:tabs>
        <w:numPr>
          <w:ilvl w:val="1"/>
          <w:numId w:val="29"/>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Figures include revenue recognized by these entities for the periods presented prior to their respective acquisitions.</w:t>
      </w:r>
    </w:p>
    <w:p>
      <w:pPr>
        <w:spacing w:after="0" w:line="23" w:lineRule="exact"/>
        <w:rPr>
          <w:rFonts w:ascii="Arial" w:cs="Arial" w:eastAsia="Arial" w:hAnsi="Arial"/>
          <w:sz w:val="14"/>
          <w:szCs w:val="14"/>
          <w:color w:val="auto"/>
        </w:rPr>
      </w:pPr>
    </w:p>
    <w:p>
      <w:pPr>
        <w:jc w:val="both"/>
        <w:ind w:left="328" w:hanging="328"/>
        <w:spacing w:after="0" w:line="265" w:lineRule="auto"/>
        <w:tabs>
          <w:tab w:leader="none" w:pos="3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 We define Adjusted Operating Income Margin as Adjusted Operating Income divided by the sum of revenue and impacts of fair value adjustments to acquired unearned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28"/>
          </w:cols>
          <w:pgMar w:left="832" w:top="121" w:right="839" w:bottom="1440" w:gutter="0" w:footer="0" w:header="0"/>
        </w:sectPr>
      </w:pPr>
    </w:p>
    <w:bookmarkStart w:id="31" w:name="page32"/>
    <w:bookmarkEnd w:id="31"/>
    <w:p>
      <w:pPr>
        <w:jc w:val="center"/>
        <w:ind w:right="-327"/>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27"/>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552450</wp:posOffset>
            </wp:positionV>
            <wp:extent cx="7136130" cy="66821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8"/>
        <w:spacing w:after="0"/>
        <w:rPr>
          <w:sz w:val="20"/>
          <w:szCs w:val="20"/>
          <w:color w:val="auto"/>
        </w:rPr>
      </w:pPr>
      <w:r>
        <w:rPr>
          <w:rFonts w:ascii="Arial" w:cs="Arial" w:eastAsia="Arial" w:hAnsi="Arial"/>
          <w:sz w:val="14"/>
          <w:szCs w:val="14"/>
          <w:color w:val="auto"/>
        </w:rPr>
        <w:t>The following table presents a reconciliation of Adjusted Operating Income and Adjusted Operating Income Margin for the periods presented:</w:t>
      </w:r>
    </w:p>
    <w:p>
      <w:pPr>
        <w:spacing w:after="0" w:line="51" w:lineRule="exact"/>
        <w:rPr>
          <w:sz w:val="20"/>
          <w:szCs w:val="20"/>
          <w:color w:val="auto"/>
        </w:rPr>
      </w:pPr>
    </w:p>
    <w:tbl>
      <w:tblPr>
        <w:tblLayout w:type="fixed"/>
        <w:tblInd w:w="328"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Arial" w:cs="Arial" w:eastAsia="Arial" w:hAnsi="Arial"/>
                <w:sz w:val="14"/>
                <w:szCs w:val="14"/>
                <w:color w:val="auto"/>
              </w:rPr>
              <w:t>Provision for taxes</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 net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Arial" w:cs="Arial" w:eastAsia="Arial" w:hAnsi="Arial"/>
                <w:sz w:val="14"/>
                <w:szCs w:val="14"/>
                <w:color w:val="auto"/>
              </w:rPr>
              <w:t>Loss on debt extinguishment</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9"/>
                <w:szCs w:val="9"/>
                <w:color w:val="auto"/>
              </w:rPr>
              <w:t>(a)</w:t>
            </w: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Income from operations</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620" w:type="dxa"/>
            <w:vAlign w:val="bottom"/>
            <w:shd w:val="clear" w:color="auto" w:fill="CCEEFF"/>
          </w:tcPr>
          <w:p>
            <w:pPr>
              <w:ind w:left="180"/>
              <w:spacing w:after="0" w:line="121" w:lineRule="exact"/>
              <w:rPr>
                <w:sz w:val="20"/>
                <w:szCs w:val="20"/>
                <w:color w:val="auto"/>
              </w:rPr>
            </w:pPr>
            <w:r>
              <w:rPr>
                <w:rFonts w:ascii="Arial" w:cs="Arial" w:eastAsia="Arial" w:hAnsi="Arial"/>
                <w:sz w:val="14"/>
                <w:szCs w:val="14"/>
                <w:color w:val="auto"/>
              </w:rPr>
              <w:t>Impacts of fair value adjustments to acquired unearned</w:t>
            </w:r>
          </w:p>
        </w:tc>
        <w:tc>
          <w:tcPr>
            <w:tcW w:w="3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(b)</w:t>
            </w:r>
          </w:p>
        </w:tc>
        <w:tc>
          <w:tcPr>
            <w:tcW w:w="3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Arial" w:cs="Arial" w:eastAsia="Arial" w:hAnsi="Arial"/>
                <w:sz w:val="14"/>
                <w:szCs w:val="14"/>
                <w:color w:val="auto"/>
              </w:rPr>
              <w:t>Amortization of acquired technology</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Amortization of other acquired intangibles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Arial" w:cs="Arial" w:eastAsia="Arial" w:hAnsi="Arial"/>
                <w:sz w:val="14"/>
                <w:szCs w:val="14"/>
                <w:color w:val="auto"/>
              </w:rPr>
              <w:t>Equity-based compensation</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9"/>
                <w:szCs w:val="9"/>
                <w:color w:val="auto"/>
              </w:rPr>
              <w:t>(c)</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w w:val="97"/>
              </w:rPr>
              <w:t>Integration costs and acquisition-related compensation</w:t>
            </w:r>
            <w:r>
              <w:rPr>
                <w:rFonts w:ascii="Arial" w:cs="Arial" w:eastAsia="Arial" w:hAnsi="Arial"/>
                <w:sz w:val="9"/>
                <w:szCs w:val="9"/>
                <w:color w:val="auto"/>
                <w:w w:val="97"/>
              </w:rPr>
              <w:t>(d)</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620" w:type="dxa"/>
            <w:vAlign w:val="bottom"/>
          </w:tcPr>
          <w:p>
            <w:pPr>
              <w:ind w:left="160"/>
              <w:spacing w:after="0" w:line="158" w:lineRule="exact"/>
              <w:rPr>
                <w:sz w:val="20"/>
                <w:szCs w:val="20"/>
                <w:color w:val="auto"/>
              </w:rPr>
            </w:pPr>
            <w:r>
              <w:rPr>
                <w:rFonts w:ascii="Arial" w:cs="Arial" w:eastAsia="Arial" w:hAnsi="Arial"/>
                <w:sz w:val="14"/>
                <w:szCs w:val="14"/>
                <w:i w:val="1"/>
                <w:iCs w:val="1"/>
                <w:color w:val="auto"/>
              </w:rPr>
              <w:t>Adjusted Operating Income Margin</w:t>
            </w:r>
          </w:p>
        </w:tc>
        <w:tc>
          <w:tcPr>
            <w:tcW w:w="34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i w:val="1"/>
                <w:iCs w:val="1"/>
                <w:color w:val="auto"/>
              </w:rPr>
              <w:t>57</w:t>
            </w:r>
          </w:p>
        </w:tc>
        <w:tc>
          <w:tcPr>
            <w:tcW w:w="140" w:type="dxa"/>
            <w:vAlign w:val="bottom"/>
          </w:tcPr>
          <w:p>
            <w:pPr>
              <w:jc w:val="right"/>
              <w:spacing w:after="0" w:line="158" w:lineRule="exact"/>
              <w:rPr>
                <w:sz w:val="20"/>
                <w:szCs w:val="20"/>
                <w:color w:val="auto"/>
              </w:rPr>
            </w:pPr>
            <w:r>
              <w:rPr>
                <w:rFonts w:ascii="Arial" w:cs="Arial" w:eastAsia="Arial" w:hAnsi="Arial"/>
                <w:sz w:val="14"/>
                <w:szCs w:val="14"/>
                <w:i w:val="1"/>
                <w:iCs w:val="1"/>
                <w:color w:val="auto"/>
                <w:w w:val="96"/>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right"/>
              <w:spacing w:after="0" w:line="158" w:lineRule="exact"/>
              <w:rPr>
                <w:sz w:val="20"/>
                <w:szCs w:val="20"/>
                <w:color w:val="auto"/>
              </w:rPr>
            </w:pPr>
            <w:r>
              <w:rPr>
                <w:rFonts w:ascii="Arial" w:cs="Arial" w:eastAsia="Arial" w:hAnsi="Arial"/>
                <w:sz w:val="14"/>
                <w:szCs w:val="14"/>
                <w:i w:val="1"/>
                <w:iCs w:val="1"/>
                <w:color w:val="auto"/>
              </w:rPr>
              <w:t>51</w:t>
            </w:r>
          </w:p>
        </w:tc>
        <w:tc>
          <w:tcPr>
            <w:tcW w:w="140" w:type="dxa"/>
            <w:vAlign w:val="bottom"/>
          </w:tcPr>
          <w:p>
            <w:pPr>
              <w:jc w:val="right"/>
              <w:spacing w:after="0" w:line="158" w:lineRule="exact"/>
              <w:rPr>
                <w:sz w:val="20"/>
                <w:szCs w:val="20"/>
                <w:color w:val="auto"/>
              </w:rPr>
            </w:pPr>
            <w:r>
              <w:rPr>
                <w:rFonts w:ascii="Arial" w:cs="Arial" w:eastAsia="Arial" w:hAnsi="Arial"/>
                <w:sz w:val="14"/>
                <w:szCs w:val="14"/>
                <w:i w:val="1"/>
                <w:iCs w:val="1"/>
                <w:color w:val="auto"/>
                <w:w w:val="79"/>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i w:val="1"/>
                <w:iCs w:val="1"/>
                <w:color w:val="auto"/>
              </w:rPr>
              <w:t>50</w:t>
            </w:r>
          </w:p>
        </w:tc>
        <w:tc>
          <w:tcPr>
            <w:tcW w:w="160" w:type="dxa"/>
            <w:vAlign w:val="bottom"/>
          </w:tcPr>
          <w:p>
            <w:pPr>
              <w:jc w:val="right"/>
              <w:spacing w:after="0" w:line="158" w:lineRule="exact"/>
              <w:rPr>
                <w:sz w:val="20"/>
                <w:szCs w:val="20"/>
                <w:color w:val="auto"/>
              </w:rPr>
            </w:pPr>
            <w:r>
              <w:rPr>
                <w:rFonts w:ascii="Arial" w:cs="Arial" w:eastAsia="Arial" w:hAnsi="Arial"/>
                <w:sz w:val="14"/>
                <w:szCs w:val="14"/>
                <w:i w:val="1"/>
                <w:iCs w:val="1"/>
                <w:color w:val="auto"/>
                <w:w w:val="96"/>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right"/>
              <w:spacing w:after="0" w:line="158" w:lineRule="exact"/>
              <w:rPr>
                <w:sz w:val="20"/>
                <w:szCs w:val="20"/>
                <w:color w:val="auto"/>
              </w:rPr>
            </w:pPr>
            <w:r>
              <w:rPr>
                <w:rFonts w:ascii="Arial" w:cs="Arial" w:eastAsia="Arial" w:hAnsi="Arial"/>
                <w:sz w:val="14"/>
                <w:szCs w:val="14"/>
                <w:i w:val="1"/>
                <w:iCs w:val="1"/>
                <w:color w:val="auto"/>
              </w:rPr>
              <w:t>47</w:t>
            </w:r>
          </w:p>
        </w:tc>
        <w:tc>
          <w:tcPr>
            <w:tcW w:w="140" w:type="dxa"/>
            <w:vAlign w:val="bottom"/>
          </w:tcPr>
          <w:p>
            <w:pPr>
              <w:jc w:val="right"/>
              <w:spacing w:after="0" w:line="158" w:lineRule="exact"/>
              <w:rPr>
                <w:sz w:val="20"/>
                <w:szCs w:val="20"/>
                <w:color w:val="auto"/>
              </w:rPr>
            </w:pPr>
            <w:r>
              <w:rPr>
                <w:rFonts w:ascii="Arial" w:cs="Arial" w:eastAsia="Arial" w:hAnsi="Arial"/>
                <w:sz w:val="14"/>
                <w:szCs w:val="14"/>
                <w:i w:val="1"/>
                <w:iCs w:val="1"/>
                <w:color w:val="auto"/>
                <w:w w:val="79"/>
              </w:rPr>
              <w:t>%</w:t>
            </w:r>
          </w:p>
        </w:tc>
        <w:tc>
          <w:tcPr>
            <w:tcW w:w="0" w:type="dxa"/>
            <w:vAlign w:val="bottom"/>
          </w:tcPr>
          <w:p>
            <w:pPr>
              <w:spacing w:after="0"/>
              <w:rPr>
                <w:sz w:val="1"/>
                <w:szCs w:val="1"/>
                <w:color w:val="auto"/>
              </w:rPr>
            </w:pPr>
          </w:p>
        </w:tc>
      </w:tr>
      <w:tr>
        <w:trPr>
          <w:trHeight w:val="174"/>
        </w:trPr>
        <w:tc>
          <w:tcPr>
            <w:tcW w:w="3620" w:type="dxa"/>
            <w:vAlign w:val="bottom"/>
          </w:tcPr>
          <w:p>
            <w:pPr>
              <w:spacing w:after="0"/>
              <w:rPr>
                <w:sz w:val="20"/>
                <w:szCs w:val="20"/>
                <w:color w:val="auto"/>
              </w:rPr>
            </w:pPr>
            <w:r>
              <w:rPr>
                <w:rFonts w:ascii="Arial" w:cs="Arial" w:eastAsia="Arial" w:hAnsi="Arial"/>
                <w:sz w:val="14"/>
                <w:szCs w:val="14"/>
                <w:color w:val="auto"/>
              </w:rPr>
              <w:t>__________________</w:t>
            </w: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48" w:hanging="324"/>
        <w:spacing w:after="0"/>
        <w:tabs>
          <w:tab w:leader="none" w:pos="648"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648" w:hanging="324"/>
        <w:spacing w:after="0" w:line="260" w:lineRule="auto"/>
        <w:tabs>
          <w:tab w:leader="none" w:pos="6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648" w:hanging="324"/>
        <w:spacing w:after="0" w:line="241" w:lineRule="auto"/>
        <w:tabs>
          <w:tab w:leader="none" w:pos="645"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the IPO. For the three months ended March 31, 2019, this expense related primarily to the acquisition of Pre-Acquisition ZI, including professional fees, severance, and acceleration of payments for terminated employees.</w:t>
      </w:r>
    </w:p>
    <w:p>
      <w:pPr>
        <w:spacing w:after="0" w:line="2" w:lineRule="exact"/>
        <w:rPr>
          <w:rFonts w:ascii="Arial" w:cs="Arial" w:eastAsia="Arial" w:hAnsi="Arial"/>
          <w:sz w:val="14"/>
          <w:szCs w:val="14"/>
          <w:color w:val="auto"/>
        </w:rPr>
      </w:pPr>
    </w:p>
    <w:p>
      <w:pPr>
        <w:jc w:val="both"/>
        <w:ind w:left="648" w:hanging="324"/>
        <w:spacing w:after="0" w:line="263" w:lineRule="auto"/>
        <w:tabs>
          <w:tab w:leader="none" w:pos="6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12" w:lineRule="exact"/>
        <w:rPr>
          <w:sz w:val="20"/>
          <w:szCs w:val="20"/>
          <w:color w:val="auto"/>
        </w:rPr>
      </w:pPr>
    </w:p>
    <w:tbl>
      <w:tblPr>
        <w:tblLayout w:type="fixed"/>
        <w:tblInd w:w="648"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25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7"/>
        </w:trPr>
        <w:tc>
          <w:tcPr>
            <w:tcW w:w="32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ind w:left="140"/>
              <w:spacing w:after="0" w:line="121" w:lineRule="exact"/>
              <w:rPr>
                <w:sz w:val="20"/>
                <w:szCs w:val="20"/>
                <w:color w:val="auto"/>
              </w:rPr>
            </w:pPr>
            <w:r>
              <w:rPr>
                <w:rFonts w:ascii="Arial" w:cs="Arial" w:eastAsia="Arial" w:hAnsi="Arial"/>
                <w:sz w:val="14"/>
                <w:szCs w:val="14"/>
                <w:color w:val="auto"/>
              </w:rPr>
              <w:t>Total integration costs and acquisition-related</w:t>
            </w: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2"/>
        </w:trPr>
        <w:tc>
          <w:tcPr>
            <w:tcW w:w="3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compensation</w:t>
            </w: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left="328" w:hanging="328"/>
        <w:spacing w:after="0" w:line="252" w:lineRule="auto"/>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of adjustments to acquired unearned revenue, and equity-based compensation, restructuring and transaction-related expenses, and integration costs and acquisition-related compensation. We exclude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28"/>
          </w:cols>
          <w:pgMar w:left="832" w:top="121" w:right="839" w:bottom="1440" w:gutter="0" w:footer="0" w:header="0"/>
        </w:sectPr>
      </w:pPr>
    </w:p>
    <w:bookmarkStart w:id="32" w:name="page33"/>
    <w:bookmarkEnd w:id="32"/>
    <w:p>
      <w:pPr>
        <w:jc w:val="center"/>
        <w:ind w:right="-3"/>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552450</wp:posOffset>
            </wp:positionV>
            <wp:extent cx="7136130" cy="55333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53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4"/>
        <w:spacing w:after="0" w:line="273" w:lineRule="auto"/>
        <w:rPr>
          <w:sz w:val="20"/>
          <w:szCs w:val="20"/>
          <w:color w:val="auto"/>
        </w:rPr>
      </w:pPr>
      <w:r>
        <w:rPr>
          <w:rFonts w:ascii="Arial" w:cs="Arial" w:eastAsia="Arial" w:hAnsi="Arial"/>
          <w:sz w:val="13"/>
          <w:szCs w:val="13"/>
          <w:color w:val="auto"/>
        </w:rPr>
        <w:t>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following table presents a reconciliation of net loss to Adjusted EBITDA for the periods presented:</w:t>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25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6"/>
        </w:trPr>
        <w:tc>
          <w:tcPr>
            <w:tcW w:w="3680" w:type="dxa"/>
            <w:vAlign w:val="bottom"/>
          </w:tcPr>
          <w:p>
            <w:pPr>
              <w:ind w:left="280"/>
              <w:spacing w:after="0"/>
              <w:rPr>
                <w:sz w:val="20"/>
                <w:szCs w:val="20"/>
                <w:color w:val="auto"/>
              </w:rPr>
            </w:pPr>
            <w:r>
              <w:rPr>
                <w:rFonts w:ascii="Arial" w:cs="Arial" w:eastAsia="Arial" w:hAnsi="Arial"/>
                <w:sz w:val="14"/>
                <w:szCs w:val="14"/>
                <w:color w:val="auto"/>
              </w:rPr>
              <w:t>Interest expense, net</w:t>
            </w:r>
          </w:p>
        </w:tc>
        <w:tc>
          <w:tcPr>
            <w:tcW w:w="3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debt extinguishment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3680" w:type="dxa"/>
            <w:vAlign w:val="bottom"/>
          </w:tcPr>
          <w:p>
            <w:pPr>
              <w:ind w:left="280"/>
              <w:spacing w:after="0"/>
              <w:rPr>
                <w:sz w:val="20"/>
                <w:szCs w:val="20"/>
                <w:color w:val="auto"/>
              </w:rPr>
            </w:pPr>
            <w:r>
              <w:rPr>
                <w:rFonts w:ascii="Arial" w:cs="Arial" w:eastAsia="Arial" w:hAnsi="Arial"/>
                <w:sz w:val="14"/>
                <w:szCs w:val="14"/>
                <w:color w:val="auto"/>
              </w:rPr>
              <w:t>Provision for taxes</w:t>
            </w: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6"/>
        </w:trPr>
        <w:tc>
          <w:tcPr>
            <w:tcW w:w="3680" w:type="dxa"/>
            <w:vAlign w:val="bottom"/>
          </w:tcPr>
          <w:p>
            <w:pPr>
              <w:ind w:left="280"/>
              <w:spacing w:after="0"/>
              <w:rPr>
                <w:sz w:val="20"/>
                <w:szCs w:val="20"/>
                <w:color w:val="auto"/>
              </w:rPr>
            </w:pPr>
            <w:r>
              <w:rPr>
                <w:rFonts w:ascii="Arial" w:cs="Arial" w:eastAsia="Arial" w:hAnsi="Arial"/>
                <w:sz w:val="14"/>
                <w:szCs w:val="14"/>
                <w:color w:val="auto"/>
              </w:rPr>
              <w:t>Amortization of acquired technology</w:t>
            </w:r>
          </w:p>
        </w:tc>
        <w:tc>
          <w:tcPr>
            <w:tcW w:w="3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other acquired intangibles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7"/>
        </w:trPr>
        <w:tc>
          <w:tcPr>
            <w:tcW w:w="3680" w:type="dxa"/>
            <w:vAlign w:val="bottom"/>
          </w:tcPr>
          <w:p>
            <w:pPr>
              <w:ind w:left="160"/>
              <w:spacing w:after="0"/>
              <w:rPr>
                <w:sz w:val="20"/>
                <w:szCs w:val="20"/>
                <w:color w:val="auto"/>
              </w:rPr>
            </w:pPr>
            <w:r>
              <w:rPr>
                <w:rFonts w:ascii="Arial" w:cs="Arial" w:eastAsia="Arial" w:hAnsi="Arial"/>
                <w:sz w:val="14"/>
                <w:szCs w:val="14"/>
                <w:color w:val="auto"/>
              </w:rPr>
              <w:t>EBITDA</w:t>
            </w:r>
          </w:p>
        </w:tc>
        <w:tc>
          <w:tcPr>
            <w:tcW w:w="3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9"/>
                <w:szCs w:val="9"/>
                <w:color w:val="auto"/>
              </w:rPr>
              <w:t>(a)</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5"/>
        </w:trPr>
        <w:tc>
          <w:tcPr>
            <w:tcW w:w="3680" w:type="dxa"/>
            <w:vAlign w:val="bottom"/>
          </w:tcPr>
          <w:p>
            <w:pPr>
              <w:ind w:left="340"/>
              <w:spacing w:after="0" w:line="135" w:lineRule="exact"/>
              <w:rPr>
                <w:sz w:val="20"/>
                <w:szCs w:val="20"/>
                <w:color w:val="auto"/>
              </w:rPr>
            </w:pPr>
            <w:r>
              <w:rPr>
                <w:rFonts w:ascii="Arial" w:cs="Arial" w:eastAsia="Arial" w:hAnsi="Arial"/>
                <w:sz w:val="14"/>
                <w:szCs w:val="14"/>
                <w:color w:val="auto"/>
                <w:w w:val="99"/>
              </w:rPr>
              <w:t>Impact of fair value adjustments to acquired unearned</w:t>
            </w:r>
          </w:p>
        </w:tc>
        <w:tc>
          <w:tcPr>
            <w:tcW w:w="320" w:type="dxa"/>
            <w:vAlign w:val="bottom"/>
          </w:tcPr>
          <w:p>
            <w:pPr>
              <w:spacing w:after="0"/>
              <w:rPr>
                <w:sz w:val="11"/>
                <w:szCs w:val="11"/>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3680" w:type="dxa"/>
            <w:vAlign w:val="bottom"/>
          </w:tcPr>
          <w:p>
            <w:pPr>
              <w:ind w:left="500"/>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(b)</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Equity-based compensation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96"/>
        </w:trPr>
        <w:tc>
          <w:tcPr>
            <w:tcW w:w="3680" w:type="dxa"/>
            <w:vAlign w:val="bottom"/>
          </w:tcPr>
          <w:p>
            <w:pPr>
              <w:ind w:left="34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9"/>
                <w:szCs w:val="9"/>
                <w:color w:val="auto"/>
              </w:rPr>
              <w:t>(c)</w:t>
            </w:r>
          </w:p>
        </w:tc>
        <w:tc>
          <w:tcPr>
            <w:tcW w:w="3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4"/>
              </w:rPr>
              <w:t>Integration costs and acquisition-related compensation</w:t>
            </w:r>
            <w:r>
              <w:rPr>
                <w:rFonts w:ascii="Arial" w:cs="Arial" w:eastAsia="Arial" w:hAnsi="Arial"/>
                <w:sz w:val="9"/>
                <w:szCs w:val="9"/>
                <w:color w:val="auto"/>
                <w:w w:val="94"/>
              </w:rPr>
              <w:t>(d)</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2"/>
        </w:trPr>
        <w:tc>
          <w:tcPr>
            <w:tcW w:w="36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1"/>
        </w:trPr>
        <w:tc>
          <w:tcPr>
            <w:tcW w:w="368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4" w:hanging="324"/>
        <w:spacing w:after="0"/>
        <w:tabs>
          <w:tab w:leader="none" w:pos="324"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324" w:hanging="324"/>
        <w:spacing w:after="0" w:line="260" w:lineRule="auto"/>
        <w:tabs>
          <w:tab w:leader="none" w:pos="316"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4" w:hanging="324"/>
        <w:spacing w:after="0" w:line="241" w:lineRule="auto"/>
        <w:tabs>
          <w:tab w:leader="none" w:pos="321"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the IPO. For the three months ended March 31, 2019, this expense related primarily to the acquisition of Pre-Acquisition ZI, including professional fees, severance, and acceleration of payments for terminated employees.</w:t>
      </w:r>
    </w:p>
    <w:p>
      <w:pPr>
        <w:spacing w:after="0" w:line="2" w:lineRule="exact"/>
        <w:rPr>
          <w:rFonts w:ascii="Arial" w:cs="Arial" w:eastAsia="Arial" w:hAnsi="Arial"/>
          <w:sz w:val="14"/>
          <w:szCs w:val="14"/>
          <w:color w:val="auto"/>
        </w:rPr>
      </w:pPr>
    </w:p>
    <w:p>
      <w:pPr>
        <w:jc w:val="both"/>
        <w:ind w:left="324" w:hanging="324"/>
        <w:spacing w:after="0" w:line="263" w:lineRule="auto"/>
        <w:tabs>
          <w:tab w:leader="none" w:pos="316"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 awards granted upon the Company’s acquisitions of RainKing and NeverBounce.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904"/>
          </w:cols>
          <w:pgMar w:left="1156" w:top="121" w:right="83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552450</wp:posOffset>
            </wp:positionV>
            <wp:extent cx="7136130" cy="1684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68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2"/>
          <w:szCs w:val="12"/>
          <w:color w:val="auto"/>
        </w:rPr>
        <w:t>This expense is included in cost of service, sales and marketing expense, research and development expense, and general and administrative expense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25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7"/>
        </w:trPr>
        <w:tc>
          <w:tcPr>
            <w:tcW w:w="32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7"/>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ind w:left="140"/>
              <w:spacing w:after="0" w:line="121" w:lineRule="exact"/>
              <w:rPr>
                <w:sz w:val="20"/>
                <w:szCs w:val="20"/>
                <w:color w:val="auto"/>
              </w:rPr>
            </w:pPr>
            <w:r>
              <w:rPr>
                <w:rFonts w:ascii="Arial" w:cs="Arial" w:eastAsia="Arial" w:hAnsi="Arial"/>
                <w:sz w:val="14"/>
                <w:szCs w:val="14"/>
                <w:color w:val="auto"/>
              </w:rPr>
              <w:t>Total integration costs and acquisition-related</w:t>
            </w: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2"/>
        </w:trPr>
        <w:tc>
          <w:tcPr>
            <w:tcW w:w="3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compensation</w:t>
            </w: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260"/>
          </w:cols>
          <w:pgMar w:left="1440" w:top="121" w:right="1199" w:bottom="1440" w:gutter="0" w:footer="0" w:header="0"/>
        </w:sectPr>
      </w:pPr>
    </w:p>
    <w:bookmarkStart w:id="34" w:name="page35"/>
    <w:bookmarkEnd w:id="3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An investment in shares of our Class A common stock involves risks. You should carefully consider the following information about these risks, together with the other information contained in this prospectus, before investing in shares of our Class A common stock. Any of the following risks could have an adverse effect on our business, results of operations, financial condition or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ongoing COVID-19 pandemic, including the resulting global economic uncertainty and measures taken in response to the pandemic, could materially impact our business and future results of operations and financial condition.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COVID-19 pandemic has disrupted the economy and put unprecedented strains on governments, health care systems, educational institutions, businesses, and individuals around the world. The impact and duration of the COVID-19 pandemic are difficult to assess or predict. It is even more difficult to predict the impact on the global economic market, which will depend upon the actions taken by governments, businesses, and other enterprises in response to the pandemic. The pandemic has already caused, and is likely to result in further, significant disruption of global financial markets and economic uncertainty. Adverse market conditions resulting from the spread of COVID-19 could materially adversely affect our business and the value of our Class A common stock.</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customers or potential customers, particularly in industries most impacted by the COVID-19 pandemic, including the retail, restaurant, hotel, hospitality, consumer discretionary, airline, and oil and gas industries and companies whose customers operate in impacted industries, may reduce their technology or sales and marketing spending or delay their sales transformation initiatives, which could materially and adversely impact our business. Further, as a result of the COVID-19 pandemic, we expect we will experience slowed growth or decline in new customer demand for our platform and lower demand from our existing customers for upgrades within our platform, as well as existing and potential customers reducing or delaying purchasing decisions. We have experienced, and expect to continue to experience, an increase in prospective customers seeking lower prices or other more favorable contract terms and current customers attempting to obtain concessions on the terms of existing contracts, including requests for early termination or waiver or delay of payment obligations, all of which has adversely affected and could materially adversely impact our business, results of operations, and overall financial condition in future periods. Further,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12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response to the COVID-19 pandemic, we have temporarily closed all of our offices (including our headquarters and our office in Israel), enabled our employees to work remotely, implemented travel restrictions for all non-essential business, and shifted company events to virtual-only experiences, and we may deem it advisable to similarly alter, postpone, or cancel entirely additional events in the future. If the COVID-19 pandemic worsens, especially in regions where we have offices,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customer retention, any of which could harm our financial condition and business operations.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COVID-19 pandemic could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5" w:name="page36"/>
    <w:bookmarkEnd w:id="3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supply chain of hardware required by their systems and services, any of which could materially adversely affect our business. Further, the COVID-19 pandemic has resulted in our employees and those of many of our customers and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platform and business operations relies, could interrupt our ability to provide our platform, decrease the productivity of our workforce, and significantly harm our business operations, financial condition, and results of operations.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vendors, and supply chains, all of which are uncertain and cannot be predicted. Because of our largely subscription-based business model, the effect of the COVID-19 pandemic may not be fully reflected in our results of operations and overall financial condition until future periods, if at all.</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Companies in related industries, such as CRM, business software, or advertising, including Salesforce.com,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many of our potential competitors could have competitive advantages, such as greater name recognition, longer operating histories, significant install bases, broader geographic scope,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or alliances among competitors may emerge and rapidly acquire significant market share due to these or other factors.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Mergers and acquisitions in the technology industry, such as Microsoft’s acquisition of LinkedIn, increase the likelihood that our competitors in the future will be larger and have more resources. We expect this trend to continue as companies attempt to strengthen or maintain their market positions in an evolving industry. Companies resulting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6" w:name="page37"/>
    <w:bookmarkEnd w:id="3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these possible consolidations may create more compelling product offerings and be able to offer more attractive pricing options, making it more difficult for us to compete effectively.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competitors may be able to respond more quickly and effectively to new or changing opportunities, technologies, standards, or customer requirements, or pricing pressure. As a result, even if our products and services are more effective than the products and services that our competitors offer, potential customers might select competitive products and services in lieu of our services.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and the California Consumer Privacy Act (“CCPA”), which took effect in January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 individuals with the ability to opt out of such personal data collection, and impose obligations on our ability to pass data to our customers, as well as place downstream obligations on our customers relating to their use of the information we provide.</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Certain of our activities could be found by a government or regulatory authority to be noncompliant or become noncompliant in the future with one or more data protection or data privacy laws, even if we have implemented and maintained a strategy that we believe to be compliant. New interpretations of existing laws or regulations could be inconsistent with our interpretations (such as our analysis of the extraterritorial applicability of GDPR to us), increase our compliance burden, make it more difficult to comply, and/or increase our risk of regulatory investigations and fines. For example, we are subject to complex and evolving regulatory requirements regarding the collection and use of personal data, including changes under CCPA (and other recently enacted and upcoming state laws) related to selling of personal data, and, among others, introducing opt-out rights and data broker registration obligations.</w:t>
      </w:r>
    </w:p>
    <w:p>
      <w:pPr>
        <w:spacing w:after="0" w:line="1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These complex laws may be implemented in a non-uniform way in many jurisdictions around the world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new or proposed laws and regulations are subject to differing interpretations and may be inconsistent among jurisdictions.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costs of complying with existing or new data privacy or data protection laws and regulations may limit our ability to gather personal data needed to provide our products and services, the use and adoption of our products and 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7" w:name="page38"/>
    <w:bookmarkEnd w:id="3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and 4% of worldwide gross annual revenue and CCPA allows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CCPA,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Since the enactment of CCPA, new privacy and data security laws have been proposed in more than half of the states in the United States and in the U.S. Congress, reflecting a trend toward more stringent privacy legislation in the United States, which trend may accelerate depending on the results of the 2020 U.S. presidential election. 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We could be subject to legal claims, government action, or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also receive data from third-party vendors (</w:t>
      </w:r>
      <w:r>
        <w:rPr>
          <w:rFonts w:ascii="Arial" w:cs="Arial" w:eastAsia="Arial" w:hAnsi="Arial"/>
          <w:sz w:val="16"/>
          <w:szCs w:val="16"/>
          <w:i w:val="1"/>
          <w:iCs w:val="1"/>
          <w:color w:val="auto"/>
        </w:rPr>
        <w:t>e.g.</w:t>
      </w:r>
      <w:r>
        <w:rPr>
          <w:rFonts w:ascii="Arial" w:cs="Arial" w:eastAsia="Arial" w:hAnsi="Arial"/>
          <w:sz w:val="16"/>
          <w:szCs w:val="16"/>
          <w:color w:val="auto"/>
        </w:rPr>
        <w:t>, other data brokers). We are ultimately unable to verify with complete certainty the source of such data, how it was received, and that such information was collected and is being shared with us in compliance with all applicable data privacy laws.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8" w:name="page39"/>
    <w:bookmarkEnd w:id="3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attractive if we do not keep pace with market innovation or changes in response to COVID-19, and many may choose or switch to competing products even if do our best to innovate and provide superior products and services.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competitors include:</w:t>
      </w:r>
    </w:p>
    <w:p>
      <w:pPr>
        <w:spacing w:after="0" w:line="171" w:lineRule="exact"/>
        <w:rPr>
          <w:sz w:val="20"/>
          <w:szCs w:val="20"/>
          <w:color w:val="auto"/>
        </w:rPr>
      </w:pPr>
    </w:p>
    <w:p>
      <w:pPr>
        <w:jc w:val="both"/>
        <w:ind w:left="66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free online and offline sources of information on companies and business professionals, including government records, telephone books, company websites, and open online databases of business professionals, such as LinkedIn Sales Navigator, D&amp;B Sales &amp; Marketing Solutions, TechTarget, and Infogroup;</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current and potential customers’ internal and homegrown business contact databases;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when used in conjunction with the foregoing or when additionally providing third-party sales and marketing data, predictive analytics and customer data platform technologies;</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when used in conjunction with the foregoing or when additionally providing third-party sales and marketing data, sales and marketing vendors, which may specialize in appointment setting, online ad targeting, email marketing, or other outsource go-to-market functions;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vendors of sales automation software;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providers of third-party company attributes, technology attributes, and business contact information;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providers of online content consumption data for predictive sales and marketing analytics;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user-based networks of companies and/or business professionals.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Companies with large databases that are currently not commercially available could enter the market and rapidly become new competitors. The existence of such potential competitors may not be readily apparent today, and such companies may become significant low-cost or no-cost competitors and adversely impact the demand for our solutions and services or limit our growth potential.</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risks could be exacerbated by weak economic conditions and lower customer spending on sales and marketing. Weakened economic conditions could also disproportionately increase the likelihood that any given 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Adverse or weakened general economic and market conditions may reduce spending on sales and marketing technology and information, which could harm our revenue, results of operations, and cash flows.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pandemics such as COVID-19, and overall economic uncertainty. These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9" w:name="page40"/>
    <w:bookmarkEnd w:id="3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economic conditions can arise suddenly, and the full impact of such conditions often remains uncertain. In addition, geopolitical developments, such as potential trade wars, can increase levels of political and economic unpredictability globally and increase the volatility of global financial markets. Further actions or inactions of the U.S. or other major national governments, including the United Kingdom’s 2016 vote in favor of exiting the European Union (“Brexit”), may also impact economic conditions, which could result in financial market disruptions or an economic downturn.</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Concerns about the systemic impact of a recession (in the United States or globally), energy costs, geopolitical issues, or the availability and cost of credit could lead to increased market volatility, decreased consumer confidence, and diminished growth expectations in the U.S. economy and abroad, which in turn could affect the rate of information technology (“IT”) spending and could adversely affect our customers’ ability or willingness to purchase our services, 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small businesses are difficult to predict and are sensitive to the general economic climate, the economic outlook specific to small businesses, the then-current level of profitability experienced by small businesses and overall consumer confidence.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weak economic times, there is an increased risk that one or more of our paying customers will file for bankruptcy protection, which may harm our revenue, profitability, and results of operations. We also face risk from international paying customers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weak economic times could harm our business, revenue, results of operations, cash flows, and financial condition.</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product offerings are also concentrated by varying degrees across different industries, particularly the software and business services industries in the United States. In 2018, approximately 41% and 30% of our customers, as measured by ACV, operated in the software and business services industries, respectively. In 2019, approximately 39% and 29% of our customers, as measured by ACV, operated in the software and business services industries, respectively. Our customer base suffers when financial markets experience volatility, illiquidity, and disruption, which has occurred in the past and may reoccur, and the potential for increased and continuing disruptions going forward present considerable risks to our business and revenue.</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derive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Changes in user preferences for sales and marketing platforms may have a disproportionately greater impact on us than if we offered disparate products and services. Demand for sales and marketing platforms in general, and our platform and data in particular, is affected by a number of factors, many of which are beyond our control. Some of these potential factors include:</w:t>
      </w:r>
    </w:p>
    <w:p>
      <w:pPr>
        <w:spacing w:after="0" w:line="13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awareness and acceptance of the sales and marketing platform category generally, and the growth, contraction and evolution of the category;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40" w:name="page41"/>
    <w:bookmarkEnd w:id="4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 features, and user experience, and the development and acceptance of new features, integrations, and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 and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integration with CRM and other related technologies;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for the development of new systems and protocols for B2B communication.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gather and process our data. Our future success will depend, in part, upon our ability to:</w:t>
      </w:r>
    </w:p>
    <w:p>
      <w:pPr>
        <w:spacing w:after="0" w:line="12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internally develop and implement new and competitive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use leading third-party technologies effectively;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respond to advances in data collection, cataloging, and updating.</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maintain accurate, comprehensive, or reliable data, we could experience reduced demand for our products and services.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41" w:name="page42"/>
    <w:bookmarkEnd w:id="4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we may face legal claims by our customers which could have an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the interoperability of our platform with third-party systems that we do not control.</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For instance, approximately 36% of our customers use our Salesforce.com integration.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 In addition, companies that already operate CRM and similar systems may choose to become competitive with ZoomInfo. See also “—Larger and more well-funded companies with access to significant resources, large amounts of data or data collection methods and sophisticated technologies may shift their business model to become competitive with us.”</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 In addition, some of our competitors may be able to disrupt the operations or compatibility of our platform with their systems, or exert strong business influence on our ability to, and terms on which we, integrate our platform. As our respective platforms and systems evolve, we expect this level of competition to increase. Should any of our competitors modify their systems in a manner that degrades the functionality of our platform or gives preferential treatment to competitive platforms or products, whether to enhance their competitive position or for any other reason, the interoperability of our platform with these systems could decrease and our business, results of operations, and financial condition could be harmed.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ability to introduce new features, integrations, capabilities, and enhancements is dependent on adequate research and development resources. If we do not adequately fund our research and development efforts, or if our research and development investments do not translate into material enhancements to our products and services, we may not be able to compete effectively, and our business, results of operations, and financial condition may be harmed.</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remain competitive, we must continue to develop new features, integrations, and capabilities to our products and services. This is particularly true as we further expand and diversify our capabilities to address additional applications and markets. Maintaining adequate research and development resources, such as the appropriate personnel and development technology, to meet the demands of the market is essential. If we are unable to develop features, integrations, and capabilities internally due to certain constraints, such as employee turnover, lack of management ability, or a lack of other research and development resources, our business may be harmed.</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Anticipated demand for a feature, integration, capability, or enhancement we are developing could decrease after the development cycle has commenced, and we would nonetheless be unable to avoid substantial costs associated with the development of any such feature,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42" w:name="page43"/>
    <w:bookmarkEnd w:id="4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integration, capability, or enhancement. Additionally, we may experience difficulties with software development, design, or marketing that could affect the length of these research and development cycles that could further delay or prevent our development, introduction, or implementation of features, integrations, capabilities, and enhancements. If we expend a significant amount of resources on research and development and our efforts do not lead to the successful introduction or improvement of features, integrations, and capabilities that are competitive, it could harm our business, results of operations, and financial condition.</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Further, our competitors may expend more on their respective research and development programs or may be acquired by larger companies that would allocate greater resources to our competitors’ research and development programs or our competitors may be more efficient in their research and development activities. Our failure to maintain adequate research and development resources or to compete effectively with the research and development programs of our competitors would give an advantage to such competitors and may harm our business, results of operations,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attract new customers and expand subscriptions of current customers, our revenue growth and profitability will be harmed.</w:t>
      </w:r>
    </w:p>
    <w:p>
      <w:pPr>
        <w:spacing w:after="0" w:line="19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 our sales capabilities could harm our ability to increase the number of organizations on our platform and achieve broader market acceptance of our platform.”</w:t>
      </w:r>
    </w:p>
    <w:p>
      <w:pPr>
        <w:spacing w:after="0" w:line="13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14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1" w:right="339" w:bottom="1440" w:gutter="0" w:footer="0" w:header="0"/>
        </w:sectPr>
      </w:pPr>
    </w:p>
    <w:bookmarkStart w:id="43" w:name="page44"/>
    <w:bookmarkEnd w:id="4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after the expiration of the term. Our customers may or may not renew their subscriptions as a result of a number of factors (including as a result of general economic downturns as a result of COVID-19),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small business customers.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1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some of our customers may have multiple subscription plans simultaneously. For example, large enterprises with distributed procurement processes where different buyers, departments, or affiliates make their own purchasing decisions based on distinct product features or separate budgets.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 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CCPA and other legal and regulatory changes are making it easier for 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Arial" w:cs="Arial" w:eastAsia="Arial" w:hAnsi="Arial"/>
          <w:sz w:val="16"/>
          <w:szCs w:val="16"/>
          <w:i w:val="1"/>
          <w:iCs w:val="1"/>
          <w:color w:val="auto"/>
        </w:rPr>
        <w:t>i.e.</w:t>
      </w:r>
      <w:r>
        <w:rPr>
          <w:rFonts w:ascii="Arial" w:cs="Arial" w:eastAsia="Arial" w:hAnsi="Arial"/>
          <w:sz w:val="16"/>
          <w:szCs w:val="16"/>
          <w:color w:val="auto"/>
        </w:rPr>
        <w:t>, from all platforms, including ours). Consequently, our ability to grow our business may be harmed and our results of operations and financial condition could suffer.</w:t>
      </w:r>
    </w:p>
    <w:p>
      <w:pPr>
        <w:spacing w:after="0" w:line="1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1" w:right="339" w:bottom="1440" w:gutter="0" w:footer="0" w:header="0"/>
        </w:sectPr>
      </w:pPr>
    </w:p>
    <w:bookmarkStart w:id="44" w:name="page45"/>
    <w:bookmarkEnd w:id="4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 In September 2019, we launched our new brand campaign to assume the ZoomInfo brand for our Company. While ZoomInfo was an existing brand, the selection of the ZoomInfo brand over DiscoverOrg may not be as successful as we intended, and we could lose the value of the DiscoverOrg brand without a corresponding benefit. At or about the time of the acquisition of Pre-Acquisition ZI by ZoomInfo OpCo, we believed that ZoomInfo had greater brand awareness and greater potential, but that it had a weaker reputation for data quality than DiscoverOrg. If we are not successful in improving the perception of the ZoomInfo brand in terms of the quality and accuracy of its data, our business, results of operations, and financial condition could suffer.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independent industry analysts often provide reviews of ZoomInfo, as well as the products offered by our competitors, and perception of the relative value of our ZoomInfo brand in the marketplace may be significantly influenced by these reviews. If these reviews are negative, or less positive as compared to those of our competitors’ products, our brand may be harmed.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affected by changes in search engine algorithms and dynamics or other traffic-generating arrangements.</w:t>
      </w:r>
    </w:p>
    <w:p>
      <w:pPr>
        <w:spacing w:after="0" w:line="1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proprietary and intellectual property rights in our data or technology.</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success is dependent, in part, upon protecting our proprietary information and technology. We may be unsuccessful in adequately protecting our intellectual property.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may be unenforceable under the laws of certain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1" w:right="339" w:bottom="1440" w:gutter="0" w:footer="0" w:header="0"/>
        </w:sectPr>
      </w:pPr>
    </w:p>
    <w:bookmarkStart w:id="45" w:name="page46"/>
    <w:bookmarkEnd w:id="4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0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To protect our intellectual property rights, we may be required to spend significant resources to monitor and protect these rights,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In addition, third parties could gain access to our data or our platform through our customers or through malfeasance or cyber-attacks and use our platform and data for purposes other than its intended purpose or to create products that compete with our platform.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the sharing of our platform and data outside of the terms of a customers’ license and the use of our data and insights for purposes other than for sales and marketing, or to otherwise address customer and individual concerns, which could erode confidence in our business.</w:t>
      </w:r>
    </w:p>
    <w:p>
      <w:pPr>
        <w:spacing w:after="0" w:line="11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For example, in February 2019, we completed our largest acquisition to date of Pre-Acquisition ZI, for $748.0 million, net of cash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1" w:right="339" w:bottom="1440" w:gutter="0" w:footer="0" w:header="0"/>
        </w:sectPr>
      </w:pPr>
    </w:p>
    <w:bookmarkStart w:id="46" w:name="page47"/>
    <w:bookmarkEnd w:id="4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acquired, which we are continuing to integrate. We have incurred severance costs and expect to incur additional costs to integrate prior acquisitions, such as IT integration expenses and costs related to the renegotiation of redundant vendor agreements. Since January 1, 2018, we have acquired substantially all of the assets of two other businesses as well: NeverBounce and Komiko, Inc. We may have difficulty effectively integrating the personnel, businesses, and technologies of these acquisitions into our Company and achieving the goals of those acquisitions.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Acquisitions and other transactions, arrangements, and investments involve numerous risks and could create unforeseen operating difficulties and expenditures, including:</w:t>
      </w:r>
    </w:p>
    <w:p>
      <w:pPr>
        <w:spacing w:after="0" w:line="116"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on a timely basis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in, and the cost of, integrating operations, technologies, services, and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potential entry into new markets in which we have little or no experience or where competitors may have stronger market positions;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write-offs of acquired assets or investments and potential financial and credit risks associated with acquired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differences between our values and those of our acquired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in, and financial costs of, addressing acquired compensation structures inconsistent with our compensation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maintain, or changes in, relationships with customers and partners of the acquired business;</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with, and costs related to, transitioning the acquired technology onto our existing platforms and customer acceptance of multiple platforms on a temporary or permanent basis;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augmenting the acquired technologies and platforms to the levels that are consistent with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for acquired products to impact the profitability of existing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increasing or maintaining the security standards for acquired technology consistent with our other services;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including risks associated with acquired intellectual property and/or technologies;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1" w:right="339" w:bottom="1440" w:gutter="0" w:footer="0" w:header="0"/>
        </w:sectPr>
      </w:pPr>
    </w:p>
    <w:bookmarkStart w:id="47" w:name="page48"/>
    <w:bookmarkEnd w:id="4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impact to our results of operations because of the depreciation and amortization of amounts related to acquired intangible assets, fixed assets, and deferred compensation;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stock-based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loss of acquired unearned revenue and unbilled unearned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customer purchases due to uncertainty related to any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ineffective or inadequate controls, procedures, and policies at the acquired company;</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foreign acquisitions, challenges caused by integrating operations over distance, and across different languages, cultures, and political environments;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currency and regulatory risks associated with foreign countries and potential additional cybersecurity and compliance risks resulting from entry into new markets;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challenges by governmental authorities, including the Department of Justice, for anti-competitive or other reasons.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experienced, and expect to continue to experience, rapid growth, which has placed, and may continue to place, significant demands on our management and our operational and financial resources. We have more than five offices across the United States and one office in Israel. We have also experienced significant growth in the number of customers using our products and services and in the amount of data in our databases. In addition, our organizational structure is becoming more complex as we scale our operational, financial, and management controls, as well as our reporting systems and procedures, and expand internationally. As we continue to grow, we face challenges of integrating, developing, training, and motivating a rapidly growing employee base in our various offices around the world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13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1" w:right="339" w:bottom="1440" w:gutter="0" w:footer="0" w:header="0"/>
        </w:sectPr>
      </w:pPr>
    </w:p>
    <w:bookmarkStart w:id="48" w:name="page49"/>
    <w:bookmarkEnd w:id="4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customer service and satisfaction. As our paying customer base continues to grow, we will need to expand our account management, customer service and other personnel, which will require more complex management and systems. If we are not able to continue to provide high levels of customer service, our reputation, as well as our business, results of operations, and financial condition, could be harmed.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expand our sales capabilities could harm our ability to bring on new customers at the rate we anticipate.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experience, our business and reputation will suffer.</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 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 customer experience programs, in particular our research support services.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customers from time to time rely upon our customer technical and research support teams to resolve technical and data accuracy issues relating to our products and services. We may be unable to respond quickly enough to accommodate short-term increases in customer demand for support services. Increased customer demand for these services, without corresponding revenue, could increase costs and adversely affect our reputation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1" w:right="339" w:bottom="1440" w:gutter="0" w:footer="0" w:header="0"/>
        </w:sectPr>
      </w:pPr>
    </w:p>
    <w:bookmarkStart w:id="49" w:name="page50"/>
    <w:bookmarkEnd w:id="4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harm our business and operating results.</w:t>
      </w:r>
    </w:p>
    <w:p>
      <w:pPr>
        <w:spacing w:after="0" w:line="13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we target more of our sales efforts at larger enterprise customers and governmental or quasi-governmental entities, we may face longer sales cycles, greater competition, more complex customer due diligence, less favorable contractual terms, and less predictability in completing some of our sales.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Consequently, a target customer’s decision to use our services may be an enterprise-wide decision and, if so, these types of sales would require us to provide greater levels of education regarding the use and benefits of our products and services, as well as education regarding privacy and data protection laws and regulations to prospective customers. In addition, larger enterprise customers and governmental entities may demand more configuration, integration services, and features. As a result of these factors, these sales opportunities may require us to devote greater sales support and professional services resources to individual customers, driving up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offer the optimal pricing and packaging of our products and services.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limited experience in determining the optimal pricing and packaging of our products and services, and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will not be indicative of our future growth.</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experienced rapid organic and acquisition-driven growth in recent periods. We do not expect revenue growth in future periods to be consistent with recent history. Further, as we operate in a new and rapidly changing market, widespread acceptance and use of our platform is critical to our future growth and success. We believe our revenue growth depends on a number of factors, including, but not limited to, our ability to:</w:t>
      </w:r>
    </w:p>
    <w:p>
      <w:pPr>
        <w:spacing w:after="0" w:line="11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excellent customer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renew and grow current customer subscriptions;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convert users of and organizations on our free Community Edition into paying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introduce and grow adoption of our products and services in new markets outside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adequately expand our sales force and otherwise scale our operations as a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 including through the creation and use of additional integrations;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1" w:right="339" w:bottom="1440" w:gutter="0" w:footer="0" w:header="0"/>
        </w:sectPr>
      </w:pPr>
    </w:p>
    <w:bookmarkStart w:id="50" w:name="page51"/>
    <w:bookmarkEnd w:id="5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comply with existing and new applicable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 and package our products and services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execute on our acquisition strategy.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on the West Coast, where our headquarters is located, and in other locations where we maintain 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1" w:right="339" w:bottom="1440" w:gutter="0" w:footer="0" w:header="0"/>
        </w:sectPr>
      </w:pPr>
    </w:p>
    <w:bookmarkStart w:id="51" w:name="page52"/>
    <w:bookmarkEnd w:id="5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have overestimated the size of our total addressable market, our future growth rate may be limited.</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the estimates of our total addressable market included in this prospectus should not be taken as indicative of our ability to grow our business. For more information regarding the estimates of market opportunity and the forecasts of market growth included in this prospectus, see the sections titled “Summary—Our Market Opportunity” and “Business—Our Market Opportunity.”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133"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attract and retain customers and grow subscriptions of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price and package our products and services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unforeseen costs and expenses, including those related to the expansion of our business and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of revenue and expenses related to the development or acquisition of technologies, products, or businesses;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1" w:right="339" w:bottom="1440" w:gutter="0" w:footer="0" w:header="0"/>
        </w:sectPr>
      </w:pPr>
    </w:p>
    <w:bookmarkStart w:id="52" w:name="page53"/>
    <w:bookmarkEnd w:id="5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and amortization associated with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restructuring and transaction-related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while maintaining our company culture;</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platform in new markets outside of the United States;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If we need additional capital and cannot raise it on acceptable terms, or at all, we may not be able to, among other things:</w:t>
      </w:r>
    </w:p>
    <w:p>
      <w:pPr>
        <w:spacing w:after="0" w:line="13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 new features, integrations, capabilities, and enhancements;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 to expand our product development, sales, and marketing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“—Risks Related to Our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devote, and may continue to devote, substantial resources to our earlier platforms.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newest platform was developed by combining features from our earlier DiscoverOrg platform and the platform developed by (and acquired by us through the acquisition of) Pre-Acquisition ZI. Certain existing customers continue to use and may prefer to continue to use in the future those earlier platforms, which we continue to support. If we are unable to migrate our existing customers using our earlier platforms to our new platform, we may continue to devote substantial resources to the maintenance of our earlier platforms, which could have an adverse effect on our business, results of operations, and financial condition, or we may experience customer dissatisfaction if we choose to no longer support those earlier platforms, which could cause certain customers not to renew or grow their subscriptions.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1" w:right="339" w:bottom="1440" w:gutter="0" w:footer="0" w:header="0"/>
        </w:sectPr>
      </w:pPr>
    </w:p>
    <w:bookmarkStart w:id="53" w:name="page54"/>
    <w:bookmarkEnd w:id="5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sales to customers outside the United States expose us to risks inherent in international operations.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success depends in part on our ability to expand sales to customers located outside of the United States. For the years ended December 31, 2018 and 2019, our business outside of the United States accounted for approximately 7% and 9% of total revenue, respectively.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138"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need to localize our products and services, including translation into foreign languages and associated expenses;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competition from local incumbents that better understand the local market, customs, and culture, may market and operate more effectively, and may enjoy greater local affinity or awareness;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need to comply with foreign regulatory frameworks or business practices, which among other things may favor local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evolving domestic and international tax environments;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foreign currency fluctuations and controls, which may make our products and services more expensive for international customers and could add volatility to our operating results;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vetting and monitoring internal or external sales or customer experience resources in new and evolving markets to confirm they maintain standards consistent with our brand and reputation;</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uncertainty regarding regulation, currency, tax, and operations resulting from the Brexit vote that could disrupt trade, the sale of our services and commerce and movement of our people between the United Kingdom, the European Union, and other locations;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public perception of governments in the regions where we operate or plan to operate;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different pricing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different or lesser protection of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longer accounts receivable payment cycles and other collection difficulties;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natural disasters, pandemics (such as COVID-19), acts of war, terrorism, pandemics, or security breaches;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1" w:right="339" w:bottom="1440" w:gutter="0" w:footer="0" w:header="0"/>
        </w:sectPr>
      </w:pPr>
    </w:p>
    <w:bookmarkStart w:id="54" w:name="page55"/>
    <w:bookmarkEnd w:id="5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regional economic and political conditions; and</w:t>
      </w:r>
    </w:p>
    <w:p>
      <w:pPr>
        <w:spacing w:after="0" w:line="171" w:lineRule="exact"/>
        <w:rPr>
          <w:rFonts w:ascii="Arial" w:cs="Arial" w:eastAsia="Arial" w:hAnsi="Arial"/>
          <w:sz w:val="18"/>
          <w:szCs w:val="18"/>
          <w:color w:val="auto"/>
        </w:rPr>
      </w:pPr>
    </w:p>
    <w:p>
      <w:pPr>
        <w:ind w:left="340" w:right="1380" w:hanging="8"/>
        <w:spacing w:after="0" w:line="438" w:lineRule="auto"/>
        <w:tabs>
          <w:tab w:leader="none" w:pos="6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 Any of these factors could negatively impact our business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could result in serious harm to our reputation, business, and financial condition.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Threats to network and data security are constantly evolving and becoming increasingly diverse and sophisticated. Our products and services, as well as our servers and computer systems and those of third parties that we rely on in our operations could be vulnerable to cybersecurity risks. As such, we may be subject to risks inherent to companies that process personal data. An increasing number of organizations have disclosed breaches of their information security systems, some of which have involved sophisticated and highly targeted attacks.</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the target of attempts to identify and exploit system vulnerabilities and/or penetrate or bypass our security measures in order to gain unauthorized access to our systems, including an incident that has resulted in exfiltration of the contact records from our database. 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1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experience breaches of our security measures due to human error, malfeasance, system errors or vulnerabilities, or other irregularities.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1" w:right="339" w:bottom="1440" w:gutter="0" w:footer="0" w:header="0"/>
        </w:sectPr>
      </w:pPr>
    </w:p>
    <w:bookmarkStart w:id="55" w:name="page56"/>
    <w:bookmarkEnd w:id="5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systems and operations are vulnerable to damage or interruption from fire, flood, power loss, security breaches, computer viruses, telecommunications failure,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See “—Interruptions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errors, defects, disruptions, or other performance problems with our services could harm our reputation, business, results of operations, and financial condition.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 customers, all of which would reduce our revenue. Our business would also be harmed if our customers and potential customers believe our services are unreliable.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pandemics (such as COVID-19) or an act of terrorism, a decision to close the facilities without adequate notice, or other unanticipated problems at these facilities could result in lengthy interruptions in our services.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hardware, software, data, and cloud computing systems may not continue to be available at reasonable prices, on commercially reasonable terms, or at all. Any loss of the right to use any of these hardware, software, or 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1" w:right="339" w:bottom="1440" w:gutter="0" w:footer="0" w:header="0"/>
        </w:sectPr>
      </w:pPr>
    </w:p>
    <w:bookmarkStart w:id="56" w:name="page57"/>
    <w:bookmarkEnd w:id="5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diminished or eliminated.</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Small text files (referred to as “cookies”) placed on internet browsers by certain websites are used to gather data regarding the content of a user’s web browsing activity. We license data gathered using cookies to identify trends in online content consumption by business organizations in order to make assumptions about the goods and services such businesses may purchase. The availability of this data may be limited by numerous potential factors, including general trends among internet users to refuse to accept cookies on their web browsers, laws or regulations limiting the transferability or use of information gathered using cookies, or the refusal of providers of such information to provide it to us or to provide it to us on favorable terms. If we are not able to obtain this information on the terms we anticipate, we will not be able to provide some of our predictive intent products or services, which may cause a reduction in revenue or a reduction in revenue growth. It may negatively impact our ability to obtain new customers, as well as our ability to renew or grow the subscriptions of existing customers.</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Cookies may easily be deleted or blocked by internet users. All of the most commonly used internet browsers (including Chrome, Firefox, Internet Explorer,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In addition, the Safari and Firefox browsers block third-party cookies by default, and other browsers may do so in the future. Unless such default settings in browsers were altered by internet users to permit the placement of third-party cookies, fewer cookies would be available, which could adversely affect our business. In addition, companies such as Google have publicly disclosed their intention to move away from cookies to another form of persistent unique identifier (“ID”) to identify individual internet users or internet-connected devices in the bidding process on advertising exchanges. If companies do not use shared IDs across the entire ecosystem, this could have a negative impact on our ability obtain content consumption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8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was originally founded in 2007, though much of our growth has occurred in recent periods. Our newest platform was introduced publicly in September 2019.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Additionally, the sales cycle for the evaluation and implementation of our paid versions, which can range from a single day to many months, may also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1" w:right="339" w:bottom="1440" w:gutter="0" w:footer="0" w:header="0"/>
        </w:sectPr>
      </w:pPr>
    </w:p>
    <w:bookmarkStart w:id="57" w:name="page58"/>
    <w:bookmarkEnd w:id="5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for any of a variety of claims, which could harm our reputation and adversely affect our business, results of operations, and financial condition.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 the future be sued by third parties for various claims including alleged infringement of proprietary intellectual property rights.</w:t>
      </w:r>
    </w:p>
    <w:p>
      <w:pPr>
        <w:spacing w:after="0" w:line="1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breached laws or regulations relating to privacy or data protection. Additionally, there are potential issues around possible ownership rights in personal data, which is subject to evolving regulatory oversight.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1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exposure to risks associated with various claims, including the use of intellectual property, may be increased as a result of acquisitions of other companies.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our acquisition.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1" w:right="339" w:bottom="1440" w:gutter="0" w:footer="0" w:header="0"/>
        </w:sectPr>
      </w:pPr>
    </w:p>
    <w:bookmarkStart w:id="58" w:name="page59"/>
    <w:bookmarkEnd w:id="5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if we breach our contracts, and our insurance may be inadequate to cover our losses.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platform and could harm our business.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12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1" w:right="339" w:bottom="1440" w:gutter="0" w:footer="0" w:header="0"/>
        </w:sectPr>
      </w:pPr>
    </w:p>
    <w:bookmarkStart w:id="59" w:name="page60"/>
    <w:bookmarkEnd w:id="5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result of damage to portions of its infrastructure. If the use of the internet is adversely affected by these issues, demand for our platform could decline.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could incur greater operating expenses and our user acquisition and retention could be negatively impacted if network operators:</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subject to requirements under the U.S. Treasury Department’s Office of Foreign Assets Control, anti-corruption, anti-bribery, and similar laws, such as the U.S. Foreign Corrupt Practices Act of 1977, as amended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1" w:right="339" w:bottom="1440" w:gutter="0" w:footer="0" w:header="0"/>
        </w:sectPr>
      </w:pPr>
    </w:p>
    <w:bookmarkStart w:id="60" w:name="page61"/>
    <w:bookmarkEnd w:id="6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existing financial accounting standards or practices may harm our results of operations.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particular, in May 2014, the FASB and International Accounting Standard Board jointly issued a new revenue recognition standard, Accounting Standard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later codified as Accounting Standards Codification (“ASC”) Topic 606 (collectively with subsequent amendments, “Topic 606”), that is designed to improve financial reporting by creating a common recognition guidance for GAAP. The core principle of this guidance is that an entity should recognize revenue to depict the transfer of promised services to customers in an amount that reflects the consideration to which the entity expects to be entitled in exchange for those services.</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We adopted Topic 606, effective January 1, 2018, using the full retrospective method of adoption as if the adoption occurred on January 1, 2017, while 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We believe that the revenue presented for Pre-Acquisition ZI in 2018 would not have materially changed, had Pre-Acquisition ZI used the full retrospective method of adoption for Topic 606 and restated their 2018 revenue figures. See Note 2 - Basis of Presentation and Summary of Significant Accounting Policies within our consolidated financial statements included appearing elsewhere in this prospectus for additional information.</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(“Topic 842”),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1" w:right="339" w:bottom="1440" w:gutter="0" w:footer="0" w:header="0"/>
        </w:sectPr>
      </w:pPr>
    </w:p>
    <w:bookmarkStart w:id="61" w:name="page62"/>
    <w:bookmarkEnd w:id="6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balance of retained earnings in the period of adoption. We adopted Topic 842 as of January 1, 2019 under this new alternative transition method. We elected the package of practical expedients permitted under the transition guidance within the new standard, which among other things, allows us to carry forward the historical lease classification. In addition, as a practical expedient relating to our property leases, we will not separate lease components from nonlease components. We did not elect the hindsight practical expedient permitted under the transition guidance within the new lease standard. While adoption of Topic 842 did not have a material impact to our consolidated statements of operations or comprehensive loss, we did record a material increase to our assets and liabilities on the balance sheet upon adoption of this standard. Upon adoption, we recognized a right-of-use asset of $9.3 million and a lease liability of $12.8 million, largely pertaining to the Company’s headquarter office lease, with a cumulative-effect adjustment, net of tax, to retained earnings in the amount of $1.8 million representing hidden impairment. In addition, we recorded an additional $28.6 million right-of-use asset and lease liability on February 1, 2019 in connection with the acquisition of Pre-Acquisition ZI.</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difficulties in implementing these pronouncements could cause us to fail to meet our financial reporting obligations, which could result in regulatory discipline and harm investors’ confidence in us.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of SOX, to furnish a report by management on, among other things, the effectiveness of our internal control over financial reporting in the second annual report on Form 10-K following the completion of the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Beginning with our second annual report on Form 10-K following the completion of the IPO, our independent registered public accounting firm will be required to attest to the effectiveness of our internal control over financial reporting on an annual basis. However, while we remain an emerging growth company, we are not required to include an attestation report on internal control over financial reporting issued by our independent registered public accounting firm.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w:t>
      </w:r>
    </w:p>
    <w:p>
      <w:pPr>
        <w:spacing w:after="0" w:line="12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1" w:right="339" w:bottom="1440" w:gutter="0" w:footer="0" w:header="0"/>
        </w:sectPr>
      </w:pPr>
    </w:p>
    <w:bookmarkStart w:id="62" w:name="page63"/>
    <w:bookmarkEnd w:id="6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weakness in our internal controls over financial reporting. This could materially adversely affect us and lead to a decline in the market price of our Class A common stock.</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the audit of our consolidated financial statements for the year ended December 31, 2018, our management and auditors determined that a material weakness existed in the internal control over financial reporting due to insufficient controls over the review and approval of manual journal entries, including appropriate segregation of duties, and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remediated several of the issues described above and continue to take remediation steps, including hiring additional personnel around and subsequent to December 31, 2018, including a new chief financial officer with experience with scale subscription businesses and a vice president of accounting and controller with public company experience, we continued to have a limited number of personnel with the level of GAAP accounting knowledge, specifically related to complex accounting transactions, commensurate with our financial reporting requirements. As such, we continued to have a material weakness in our control over financial reporting as of December 31, 2019.</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believe the additional accounting resources will remediate the weakness with respect to insufficient personnel, there can be no assurance that the material weakness will be remediated on a timely basis or at all, or that additional material weaknesses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which, in turn, to may adversely affect our reputation and business and the market price of our Class A common stock.</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and, if achieved, maintain profitability.</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incurred significant net losses in each year since our inception, including net losses of $28.6 million in 2018 and $78.0 million in 2019, and we had an accumulated deficit of $213.8 million as of December 31, 2019. We may not achieve or maintain profitability in the future. Because the market for our platform is rapidly evolving and has not yet reached widespread adoption, it is difficult for us to predict our future results of operations or the limits of our market opportunity. We expect our operating expenses to significantly increase over the next several years as we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that we did not incur as a private company. If our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1" w:right="339" w:bottom="1440" w:gutter="0" w:footer="0" w:header="0"/>
        </w:sectPr>
      </w:pPr>
    </w:p>
    <w:bookmarkStart w:id="63" w:name="page64"/>
    <w:bookmarkEnd w:id="6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achieve or sustain profitability on a consistent basis could cause the value of our Class A common stock to decline.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balance sheet reflects goodwill of $445.7 million, $966.8 million, and $966.8 million as of December 31, 2018, December 31, 2019, and March 31, 2020, respectively, and intangible assets of $88.7 million, $370.6 million, and $360.4 million as of December 31, 2018, December 31, 2019, and March 31, 2020, respectively. In accordance with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manner of our use of acquired assets or the strategy for our overall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negative industry or economic trends;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decline in our market capitalization relative to net book value for a sustained period.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may impact our financial results.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our business continues to grow and if we become more profitable, we anticipate that our income tax obligations could significantly increase. If our existing tax credits and net operating loss carry-forwards become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1" w:right="339" w:bottom="1440" w:gutter="0" w:footer="0" w:header="0"/>
        </w:sectPr>
      </w:pPr>
    </w:p>
    <w:bookmarkStart w:id="64" w:name="page65"/>
    <w:bookmarkEnd w:id="6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fully utilized, we may be unable to offset or otherwise mitigate our tax obligations to the same extent as in prior years. This could have a material impact to our future cash flows or operating results.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22, 2017, the legislation commonly referred to as the Tax Cuts and Jobs Act (the “Tax Act”), was enacted, which contains significant changes to U.S. tax law, including, but not limited to, a reduction in the corporate tax rate and a transition to a modified territorial system of taxation. The primary impact of the new legislation on us is that our ability to take deductions for interest payments is subject to limitations. The impact of the Tax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of which can be uncertain. The amount of taxes we pay in these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1" w:right="339" w:bottom="1440" w:gutter="0" w:footer="0" w:header="0"/>
        </w:sectPr>
      </w:pPr>
    </w:p>
    <w:bookmarkStart w:id="65" w:name="page66"/>
    <w:bookmarkEnd w:id="6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2020, on a pro forma basis after giving effect to the Reorganization Transactions and the Offering Transactions, we would have had total outstanding indebtedness of approximately $841.5 million consisting of outstanding borrowings under our first lien credit facilities. Additionally, we would have had $100 million of availability under our first lien revolving credit facility as of March 31, 2020 on the same pro forma basis. Our substantial indebtedness may:</w:t>
      </w:r>
    </w:p>
    <w:p>
      <w:pPr>
        <w:spacing w:after="0" w:line="13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it difficult for us to satisfy our financial obligations, including with respect to our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under our secured credit facilities, are at variable rates of interest;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our ability to pay dividends;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less-leveraged competitors;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1" w:right="339" w:bottom="1440" w:gutter="0" w:footer="0" w:header="0"/>
        </w:sectPr>
      </w:pPr>
    </w:p>
    <w:bookmarkStart w:id="66" w:name="page67"/>
    <w:bookmarkEnd w:id="6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competitive, and industry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0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Our total scheduled principal repayments of debt made in 2019 and 2018 were $6.5 million and $3.7 million, respectively. Our total interest expense, net for 2019 and 2018 was $102.4 million and $58.2 million, respectively. We may be unable to maintain a level of cash flow sufficient to permit us to pay the principal, premium, if any, and interest on our indebtedness.</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 governing our secured credit facilities restricts,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In addition, under the covenants of the credit agreement governing our secured credit facilities, ZoomInfo OpCo is restricted from making certain payments, including dividend payments to ZoomInfo Technologies Inc., subject to certain exceptions.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1" w:right="339" w:bottom="1440" w:gutter="0" w:footer="0" w:header="0"/>
        </w:sectPr>
      </w:pPr>
    </w:p>
    <w:bookmarkStart w:id="67" w:name="page68"/>
    <w:bookmarkEnd w:id="6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 we may incur higher interest costs if interest rates increase. These higher interest costs could have a material adverse impact on our financial condition and the levels of cash we maintain for working capital.</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These reforms and other pressures may cause LIBOR to be replaced with a new benchmark or to perform differently than in the past. The consequences of these developments cannot be entirely predicted but could include an increase in the cost of our variable rate indebtedness.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our credit ratings could adversely impact our operations and lower our profitability.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Credit rating agencies continually revise their ratings for the companies that they follow, including us. Credit rating agencies also evaluate our industry as a whole and may change their credit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1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ZoomInfo Technologies Inc. is a holding company, and has no material assets other than its ownership of HoldCo Units. ZoomInfo HoldCo is a holding company and has no material assets other than its ownership of OpCo Units. ZoomInfo Technologies Inc. has no independent means of generating revenue.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Additionally, to the extent that ZoomInfo Technologies Inc. needs funds, and ZoomInfo OpCo or ZoomInfo HoldCo is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1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anticipate that ZoomInfo OpCo will continue to be treated as a partnership for U.S. federal income tax purposes and, as such, generally will not be subject to any entity-level U.S. federal income tax. Instead, taxable income will be allocated to holders of OpCo Units. Accordingly, the ZoomInfo Tax Group will be required to pay income taxes on our allocable share of any net taxable income of ZoomInfo OpCo. Recently enacted legislation that is effective for taxable years beginning after December 31, 2017 may impute liability for adjustments to a partnership’s tax return on the partnership itself in certain circumstances, absent an election to the contrary. ZoomInfo OpCo may be subject to material liabilities pursuant to this legislation and related guidance if, for example, its calculations of taxable income are incorrect. In addition, the ZoomInfo Tax Group’s allocable share of ZoomInfo OpCo’s net taxable income will increase over time as our Pre-IPO OpCo Unitholders continue to exchange their OpCo Units (together with a corresponding number of shares of Class B common stock) for shares of our Class A common stock. Such increase in our taxable income may increase our tax expenses and may have an adverse effect on our business, results of operations, and financial condition.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Distributions from ZoomInfo OpCo may in certain periods exceed our liabilities, including tax liabilities, and obligations to make payments under the tax receivable agreements. Our board of directors, in its sole discretion, will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1" w:right="339" w:bottom="1440" w:gutter="0" w:footer="0" w:header="0"/>
        </w:sectPr>
      </w:pPr>
    </w:p>
    <w:bookmarkStart w:id="68" w:name="page69"/>
    <w:bookmarkEnd w:id="6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make any determination from time to time with respect to the use of any such excess cash so accumulated, which may include, among other uses, to acquire additional newly issued OpCo Units from ZoomInfo OpCo at a per unit price determined by reference to the market value of the Class A common stock, to pay dividends, which may include special dividends, on its Class A common stock and Class C common stock, to fund repurchases of its Class A common stock and Class C common stock, or any combination of the foregoing. We will have no obligation to distribute such cash (or other available cash other than any declared dividend) to our stockholders. See “Certain Relationships and Related Person Transactions—ZoomInfo OpCo Amended and Restated Limited Liability Company Agreement.”</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no current plans to pay cash dividends on our Class A common stock or Class C common stock. Holders of Class B common stock do not have any right to receive dividends, or to receive a distribution upon a liquidation, dissolution, or winding up of ZoomInfo Technologies Inc., with respect to their Class B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ZoomInfo Technologies Inc. is required to pay our pre-IPO owners for most of the benefits relating to any additional tax depreciation or amortization deductions that we may claim as a result of the ZoomInfo Tax Group’s allocable share of existing tax basis acquired in the IPO, the ZoomInfo Tax Group’s increase in its allocable share of existing tax basis, and anticipated tax basis adjustments the ZoomInfo Tax Group receives in connection with sales or exchanges of OpCo Units after the IPO, and certain other tax attributes.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connection with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each case,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1" w:right="339" w:bottom="1440" w:gutter="0" w:footer="0" w:header="0"/>
        </w:sectPr>
      </w:pPr>
    </w:p>
    <w:bookmarkStart w:id="69" w:name="page70"/>
    <w:bookmarkEnd w:id="6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obligations under the tax receivable 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the IPO, the payments that the members of the ZoomInfo Tax Group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w:t>
      </w:r>
    </w:p>
    <w:p>
      <w:pPr>
        <w:spacing w:after="0" w:line="1"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corresponding number of shares of Class B common stock) on the date of this offering) is approximately $ million (assuming a public offering price of $ per share of Class A common stock, which is the last reported sale price of our Class A common stock on the Nasdaq on , 2020).</w:t>
      </w:r>
    </w:p>
    <w:p>
      <w:pPr>
        <w:spacing w:after="0" w:line="1"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The payments under the tax receivable agreements are not conditioned upon continued ownership of us by the exchanging holders of OpCo Units or the prior owners of the Blocker Companies. See “Certain Relationships and Related Person Transactions—Tax Receivable Agreements.”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the lesser of (i) 6.5% per annum and (ii) one year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 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Technologies Inc. by ZoomInfo HoldCo are not sufficient to permit ZoomInfo Technologies Inc. to make payments under the tax receivable agreements after it has paid taxes and other expenses. Based upon certain assumptions described in greater detail below under “Certain Relationships and Related Person Transactions—Tax Receivable Agreements,” we estimate that if ZoomInfo Technologies Inc. were to exercise its termination right immediately following this offering, the aggregate amount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1" w:right="339" w:bottom="1440" w:gutter="0" w:footer="0" w:header="0"/>
        </w:sectPr>
      </w:pPr>
    </w:p>
    <w:bookmarkStart w:id="70" w:name="page71"/>
    <w:bookmarkEnd w:id="7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of these termination payments would be approximately $ million. The foregoing number is merely an estimate and the actual payments could differ materially.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Class A common stock in a change of control transaction.</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as a result of our ownership of ZoomInfo HoldCo, applicable restrictions could make it impractical for us to continue our business as contemplated and could have a material adverse effect on our business.</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w:t>
      </w:r>
    </w:p>
    <w:p>
      <w:pPr>
        <w:jc w:val="both"/>
        <w:ind w:firstLine="8"/>
        <w:spacing w:after="0" w:line="302" w:lineRule="auto"/>
        <w:tabs>
          <w:tab w:leader="none" w:pos="271" w:val="left"/>
        </w:tabs>
        <w:numPr>
          <w:ilvl w:val="0"/>
          <w:numId w:val="51"/>
        </w:numPr>
        <w:rPr>
          <w:rFonts w:ascii="Arial" w:cs="Arial" w:eastAsia="Arial" w:hAnsi="Arial"/>
          <w:sz w:val="16"/>
          <w:szCs w:val="16"/>
          <w:color w:val="auto"/>
        </w:rPr>
      </w:pPr>
      <w:r>
        <w:rPr>
          <w:rFonts w:ascii="Arial" w:cs="Arial" w:eastAsia="Arial" w:hAnsi="Arial"/>
          <w:sz w:val="16"/>
          <w:szCs w:val="16"/>
          <w:color w:val="auto"/>
        </w:rPr>
        <w:t>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0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Reorganization Transactions, we obtained control over ZoomInfo HoldCo. As the sole managing member of ZoomInfo OpCo, ZoomInfo HoldCo controls and operates ZoomInfo OpCo. On that basis, we believe that neither our interest in ZoomInfo HoldCo nor ZoomInfo HoldCo’s interest in ZoomInfo OpCo is an “investment security” as that term is used in the 1940 Act. However, if we were to cease participation in the management of ZoomInfo HoldCo, if ZoomInfo HoldCo were to cease participation in the management of ZoomInfo OpCo, or if ZoomInfo OpCo itself becomes an investment company, our interest in ZoomInfo HoldCo or ZoomInfo HoldCo’s interest in ZoomInfo OpCo, as applicable, could be deemed an “investment security” for purposes of the 1940 Act.</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ZoomInfo HoldCo, and ZoomInfo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parties to our stockholders agreement control us, and their interests may conflict with ours or yours in the future.</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Immediately following this offering, the parties to our stockholders agreement will beneficially own approximately power of our Class A, Class B, and Class C common stock (or % if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 of the combined voting</w:t>
      </w:r>
    </w:p>
    <w:p>
      <w:pPr>
        <w:spacing w:after="0" w:line="482" w:lineRule="exact"/>
        <w:rPr>
          <w:sz w:val="20"/>
          <w:szCs w:val="20"/>
          <w:color w:val="auto"/>
        </w:rPr>
      </w:pPr>
    </w:p>
    <w:p>
      <w:pPr>
        <w:sectPr>
          <w:pgSz w:w="11900" w:h="16838" w:orient="portrait"/>
          <w:cols w:equalWidth="0" w:num="2">
            <w:col w:w="8900" w:space="380"/>
            <w:col w:w="1960"/>
          </w:cols>
          <w:pgMar w:left="320" w:top="121"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121" w:right="339" w:bottom="1440" w:gutter="0" w:footer="0" w:header="0"/>
          <w:type w:val="continuous"/>
        </w:sectPr>
      </w:pPr>
    </w:p>
    <w:bookmarkStart w:id="71" w:name="page72"/>
    <w:bookmarkEnd w:id="7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underwriters exercise in full their option to purchase additional shares of 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Moreover, we agreed to nominate to our board of directors individuals designated by TA Associates, Carlyle, and our Founders in accordance with our stockholders agreement. TA Associates, Carlyle, and our Founders each retained the right to designate directors for so long as they beneficially own at least 5% of the voting power of all shares of our outstanding capital stock entitled to vote generally in the election of our directors. See “Certain Relationships and Related Person Transactions—Stockholders Agreement.” Even when the parties to our stockholders agreement cease to own shares of our stock representing a majority of the total voting power, for so long as the parties to our stockholders agreement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including the appointment and removal of our officers. In particular, for so long as the parties to our stockholders agreement continue to own a significant percentage of our stock, the parties to our stockholders agreement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3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immediately following this offering, the Pre-IPO OpCo Unitholders will own % of the OpCo Units (or % if the underwriters exercise in full their option to purchase additional shares of Class A common stock). Because they hold their ownership interest in our business directly in ZoomInfo OpCo, rather than through ZoomInfo Technologies Inc., the Pre-IPO OpCo Unitholders may have conflicting interests with holders of shares of our Class A common stock. For example, if ZoomInfo OpCo makes distributions through ZoomInfo HoldCo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 receivable agreements that we entered in connection with the IPO, whether and when to incur new or refinance existing indebtedness and whether and when ZoomInfo Technologies Inc. should terminate the tax receivable agreements and accelerate its obligations thereunder. In addition, the structuring of future transactions may take into consideration our pre-IPO owners’ tax or other considerations even where no similar benefit would accrue to us. See “Certain Relationships and Related Person Transactions—Tax Receivable Agreements.”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does not limit the ability of our Sponsors to compete with us, and they and certain of our executive officers may have investments in businesses whose interests conflict with ours.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 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See “Description of Capital Stock—Conflicts of Interest.” Our Sponsors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1" w:right="339" w:bottom="1440" w:gutter="0" w:footer="0" w:header="0"/>
        </w:sectPr>
      </w:pPr>
    </w:p>
    <w:bookmarkStart w:id="72" w:name="page73"/>
    <w:bookmarkEnd w:id="7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and their respective affiliates also may pursue acquisition opportunities that may be complementary to our business, and, as a result, those acquisition 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intend to rely on, exemptions and relief from certain corporate governance requirements. You will not have the same protections afforded to stockholders of companies that are subject to such requirements.</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After the completion of this offering, certain affiliates of TA Associates, Carlyle, and our Founders will beneficially own approximately % of the combined voting power of our Class A, Class B, and Class C common stock (or % if the underwriters exercise in full their option to purchase additional</w:t>
      </w:r>
    </w:p>
    <w:p>
      <w:pPr>
        <w:jc w:val="both"/>
        <w:spacing w:after="0" w:line="253" w:lineRule="auto"/>
        <w:rPr>
          <w:sz w:val="20"/>
          <w:szCs w:val="20"/>
          <w:color w:val="auto"/>
        </w:rPr>
      </w:pPr>
      <w:r>
        <w:rPr>
          <w:rFonts w:ascii="Arial" w:cs="Arial" w:eastAsia="Arial" w:hAnsi="Arial"/>
          <w:sz w:val="18"/>
          <w:szCs w:val="18"/>
          <w:color w:val="auto"/>
        </w:rPr>
        <w:t>shares of Class A common stock) and are parties, among others, to a stockholders agreement described in “Certain Relationships and Related Person Transactions—Stockholders Agreement.”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3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board that is composed of a majority of “independent directors,” as defined under the Nasdaq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director nominations be made, or recommended to the full board of directors, by its independent directors, or by a nominations/governance committee that is composed entirely of independent directors.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intend to continue to utilize these exemptions for as long as we continue to qualify as a “controlled company.” Accordingly, you will not have the same protections afforded to stockholders of companies that are subject to all of the corporate governance requirements of the Nasdaq.</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to (and plan to) rely on exemptions and relief from certain reporting requirements that are applicable to other SEC-registered public companies that are not emerging growth companies. These exemptions and relief include (i) not being required to comply with the auditor attestation requirements of Section 404 of SOX, (ii) not being required to comply with any requirement that may be adopted by the PCAOB regarding mandatory audit firm rotation or a supplement to the auditor’s report providing additional information about the audit and the financial statements, (iii) reduced disclosure obligations regarding executive compensation, and (iv)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we have not included all of the executive compensation-related information that would be required if we were not an emerging growth company.</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are not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remain an emerging growth company until the fiscal year-end following the fifth anniversary of the completion of the IPO, though we may cease to be an emerging growth company earlier under certain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1" w:right="339" w:bottom="1440" w:gutter="0" w:footer="0" w:header="0"/>
        </w:sectPr>
      </w:pPr>
    </w:p>
    <w:bookmarkStart w:id="73" w:name="page74"/>
    <w:bookmarkEnd w:id="7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circumstances, including (1) if our gross revenue exceeds $1.07 billion in any fiscal year, (2) if we become a large accelerated filer, with at least $700.0 million of equity securities held by non-affiliates, or (3) if we issue more than $1.0 billion in non-convertible notes in any three-year period.</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cannot predict whether investors will find our Class A common stock less attractive if we rely on these exemptions and relief. If some investors find our Class A common stock less attractive as a result, there may be a less active trading market for our Class A common stock and our stock price may decline and/or be more volatile.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increased costs and are subject to additional regulations and requirements as a public company, which could impair our profitability, make it more difficult to run our business, or divert management’s attention from our business.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are and will be required to commit significant resources and management time and attention to the requirements of being a public company, which has caused us to incur significant legal, accounting, and other expenses that we did not incur as a private company, including costs associated with public company reporting requirements and recruiting and retaining independent directors. We also have incurred and will continue to incur costs associated with SOX and the Dodd-Frank Wall Street Reform and Consumer Protection Act and related rules implemented by the SEC and the Nasdaq, and compliance with these requirements places significant demands on our legal, accounting, and finance staff and on our accounting, financial, and information systems. The expenses incurred by public companies generally for reporting and corporate governance purposes have been increasing. These rules and regulations have increased our legal and financial compliance costs and made some activities more time-consuming and costly. In addition, we might not be successful in implementing these requirements.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trading market for our Class A common stock is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 analysts cease coverage of us or fail to regularly publish reports on us, we could lose visibility in the financial markets, which in turn could cause the price or trading volume of our Class A common stock to decline and our Class A common stock to be less liquid.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multi-class structure may have on the market price of our Class A common stock.</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cannot predict whether our multi-class structure, combined with the concentrated control of our stockholders who held our capital stock prior to the completion of this offering, including our Sponsors, executive officers, employees, and directors and their affiliates, will result in a lower or more volatile market price of our Class A common stock or in adverse publicity or other adverse consequences. In addition, certain index providers have announced restrictions on including companies with multiple class share structures in certain of their indexes. For example, in July 2017, FTSE Russell and Standard</w:t>
      </w:r>
    </w:p>
    <w:p>
      <w:pPr>
        <w:spacing w:after="0" w:line="1" w:lineRule="exact"/>
        <w:rPr>
          <w:sz w:val="20"/>
          <w:szCs w:val="20"/>
          <w:color w:val="auto"/>
        </w:rPr>
      </w:pPr>
    </w:p>
    <w:p>
      <w:pPr>
        <w:jc w:val="both"/>
        <w:ind w:firstLine="8"/>
        <w:spacing w:after="0" w:line="253" w:lineRule="auto"/>
        <w:tabs>
          <w:tab w:leader="none" w:pos="2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Poor’s announced that they would cease to allow most newly public companies utilizing dual or multi-class capital structures to be included in their indices. Under the announced policies, our multi-class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1" w:right="339" w:bottom="1440" w:gutter="0" w:footer="0" w:header="0"/>
        </w:sectPr>
      </w:pPr>
    </w:p>
    <w:bookmarkStart w:id="74" w:name="page75"/>
    <w:bookmarkEnd w:id="7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disparity in the voting rights among the classes of common stock may have a potential adverse effect on the price of our Class A common stock.</w:t>
      </w:r>
    </w:p>
    <w:p>
      <w:pPr>
        <w:spacing w:after="0" w:line="20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Each share of our Class A common stock entitles its holder to one vote on all matters on which stockholders of ZoomInfo Technologies Inc. are entitled to vote generally. Shares of Class B common stock have no economic rights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All of our Class B common stock is held by the Pre-IPO OpCo Unitholders, including the Sponsors and the Founders, and the Pre-IPO HoldCo Unitholders. Shares of Class C common stock have the same economic rights as shares of Class A common stock,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All of our Class C common stock is held by the Pre-IPO Blocker Holders. The difference in voting rights could adversely affect the value of our Class A common stock by, for example, delaying or deferring a change of control or if investors view, or any potential future purchaser of our company views, the superior voting rights of the Class B and Class C common stock to have value. Because of the ten-to-one voting ratio between our Class B and Class C common stock, on the one hand, and Class A common stock, on the other hand, the holders of our Class B and Class C common stock collectively will continue to control a majority of the combined voting power of our common stock and therefore be able to control all matters submitted to our stockholders so long as the Class B and Class C common stock represent at least 9.1% of all outstanding stock of our Class A, Class B, and Class C common stock. This concentrated control will limit or preclude the ability of holders of Class A common stock to influence corporate matters for the foreseeable future. For a description of our multi-class structure, see “Description of Capital Stock.”</w:t>
      </w:r>
    </w:p>
    <w:p>
      <w:pPr>
        <w:spacing w:after="0" w:line="1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 Class A common stock at or above the public offering price due to a number of factors, such as those listed elsewhere in this “Risk Factors” section and the following:</w:t>
      </w:r>
    </w:p>
    <w:p>
      <w:pPr>
        <w:spacing w:after="0" w:line="134"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our competitors, or other comparable companies report operating results below the expectations of public market analysts and investors;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variations in our, our competitors’, or other comparable companies’ quarterly operating results or dividends, if any, to stockholders;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guidance, if any, that we, our competitors, or other comparable companies provide to the public, any changes in this guidance, or failure to meet this guidance;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by us or others in our industry to meet analysts’ earnings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publication of research reports about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market valuations of similar companies or 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similar companies;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1" w:right="339" w:bottom="1440" w:gutter="0" w:footer="0" w:header="0"/>
        </w:sectPr>
      </w:pPr>
    </w:p>
    <w:bookmarkStart w:id="75" w:name="page76"/>
    <w:bookmarkEnd w:id="7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partnerships, joint ventures, or capital commitments;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Class A common stock relative to other investment alternatives;</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relating to litigation, government investigations, changes in laws, or changes in business or regulatory conditions, or differing interpretations or enforcement thereof;</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 publicity about the industries we participate in;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individual scandals.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Class A common stock or OpCo Units in connection with our incentive plans, acquisitions, or otherwise.</w:t>
      </w:r>
    </w:p>
    <w:p>
      <w:pPr>
        <w:spacing w:after="0" w:line="11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As of , 2020, we have shares of Class A common stock authorized but unissued, including shares of Class A common stock issuable upon exchange of OpCo Units or HoldCo Units that are held by the Pre-IPO OpCo Unitholders or the Pre-IPO HoldCo Unitholders,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respectively, shares of Class A common stock issuable upon conversion of shares of Class C common stock that are held by the Pre-IPO Blocker Holders, and shares of Class A common stock issuable upon the vesting and conversion of Class P Units held by the</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Continuing Class P Unitholders.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liability company agreements of ZoomInfo OpCo and ZoomInfo HoldCo permit ZoomInfo OpCo and ZoomInfo HoldCo to issue an unlimited number of additional limited liability company interests of ZoomInfo OpCo and ZoomInfo HoldCo, respectively, with designations, preferences, rights, powers, and duties that are different from, and may be senior to, those applicable to the OpCo Units or the HoldCo Units, as applicable, and which may be exchangeable for shares of our Class A common stock. Additionally, we have reserved an aggregate of 18,650,000 shares of Class A common stock for issuance under our 2020 Omnibus Incentive Plan. In connection with the IPO, 513,440 restricted stock units, 47,620 LTIP Units, 577,879 stock options, which we refer to as “leverage restoration options,” with a strike price equal to the public offering price per share of Class A common stock, and 630,000 Class P Units with a participation threshold (</w:t>
      </w:r>
      <w:r>
        <w:rPr>
          <w:rFonts w:ascii="Arial" w:cs="Arial" w:eastAsia="Arial" w:hAnsi="Arial"/>
          <w:sz w:val="16"/>
          <w:szCs w:val="16"/>
          <w:i w:val="1"/>
          <w:iCs w:val="1"/>
          <w:color w:val="auto"/>
        </w:rPr>
        <w:t>i</w:t>
      </w:r>
      <w:r>
        <w:rPr>
          <w:rFonts w:ascii="Arial" w:cs="Arial" w:eastAsia="Arial" w:hAnsi="Arial"/>
          <w:sz w:val="16"/>
          <w:szCs w:val="16"/>
          <w:color w:val="auto"/>
        </w:rPr>
        <w:t>.</w:t>
      </w:r>
      <w:r>
        <w:rPr>
          <w:rFonts w:ascii="Arial" w:cs="Arial" w:eastAsia="Arial" w:hAnsi="Arial"/>
          <w:sz w:val="16"/>
          <w:szCs w:val="16"/>
          <w:i w:val="1"/>
          <w:iCs w:val="1"/>
          <w:color w:val="auto"/>
        </w:rPr>
        <w:t>e</w:t>
      </w:r>
      <w:r>
        <w:rPr>
          <w:rFonts w:ascii="Arial" w:cs="Arial" w:eastAsia="Arial" w:hAnsi="Arial"/>
          <w:sz w:val="16"/>
          <w:szCs w:val="16"/>
          <w:color w:val="auto"/>
        </w:rPr>
        <w:t>., strike price) equal to the public offering price per share of Class A common stock were granted under our 2020 Omnibus Incentive Plan. See “Executive Compensation—Compensation Arrangements Adopted in Connection with the IPO—2020 Omnibus Incentive Plan.” Any Class A common stock that we issue, including under our 2020 Omnibus Incentive Plan or other equity incentive plans that we may adopt in the future, would dilute the percentage ownership held by the investors who purchase Class A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Class A common stock.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have a total of shares of our Class A common stock outstanding (or shares if the underwriters exercise in full their option to purchase additional shares of our Class A common stock). All of the shares of our Class A common stock sold in this offering will be freely tradable without restriction or further registration under the Securities Act of 1933, as amended (the “Securities Act”), by persons other than our “affiliates,” as that term is defined under Rule 144 of the Securities Act (“Rule 144”). See “Shares Eligible for Future Sale.”</w:t>
      </w:r>
    </w:p>
    <w:p>
      <w:pPr>
        <w:spacing w:after="0" w:line="1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under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Under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2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Subject to the terms of the applicable limited liability company agreement, an aggregate of OpCo Units and an aggregate of HoldCo Units may be exchanged for shares of our Class A common stock and an aggregate of shares of Class C common stock may</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 converted into shares of our Class A common stock. Any shares we issue upon exchange of OpCo Units or HoldCo Units or upon the conversion of shares of Class C common stock, as applicable, will be “restricted securities” as defined in Rule 144 and may not be sold in the absence of registration under the Securities Act unless an exemption from registration is available, including the exemptions contained in Rule 144. We, our executive officers, our directors, the holders of all of our Class C common stock, the holders of substantially all of our outstanding OpCo Units, and certain holders of our HoldCo Units have agreed, subject to certain exceptions, not to dispose of or hedge any shares of our Class A common stock (including shares issued upon exchange of OpCo Units or HoldCo Units or upon conversion of shares of Class 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1" w:right="339" w:bottom="1440" w:gutter="0" w:footer="0" w:header="0"/>
        </w:sectPr>
      </w:pPr>
    </w:p>
    <w:bookmarkStart w:id="77" w:name="page78"/>
    <w:bookmarkEnd w:id="7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common stock, as applicable) or securities convertible into or exchangeable for shares of our Class A common stock, including our Class B and Class C common stock, for days from the date of this prospectus, except with certain underwriters’ prior written consent. See “Underwriting.”</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certain limitations and exceptions, pursuant to the terms of the amended and restated limited liability company agreement of ZoomInfo OpCo, the holders of Class P Units, which have a weighted-average per unit participation threshold (</w:t>
      </w:r>
      <w:r>
        <w:rPr>
          <w:rFonts w:ascii="Arial" w:cs="Arial" w:eastAsia="Arial" w:hAnsi="Arial"/>
          <w:sz w:val="18"/>
          <w:szCs w:val="18"/>
          <w:i w:val="1"/>
          <w:iCs w:val="1"/>
          <w:color w:val="auto"/>
        </w:rPr>
        <w:t>i.e.,</w:t>
      </w:r>
      <w:r>
        <w:rPr>
          <w:rFonts w:ascii="Arial" w:cs="Arial" w:eastAsia="Arial" w:hAnsi="Arial"/>
          <w:sz w:val="18"/>
          <w:szCs w:val="18"/>
          <w:color w:val="auto"/>
        </w:rPr>
        <w:t xml:space="preserve"> the strike price) of $5.53 per Class P Unit, will be able to exchange their Class P Units into shares of our Class A common stock, as described in “Organizational Structure—Reclassification and Amendment and Restatement of Limited Liability Company Agreement of ZoomInfo OpCo” and “Certain Relationships and Related Person Transactions —ZoomInfo OpCo Amended and Restated Limited Liability Company Agreement.”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However, subject to the expiration or waiver of the -day lock-up period, the holders of these shares of Class A common stock (including shares issued upon exchange of OpCo Units or HoldCo Units or upon conversion of shares of Class C common stock, as applicable) will have the right, subject to certain exceptions and conditions, to require us to register their shares of Class A common stock under the Securities Act, and they will have the right to participate in future registrations of securities by us. Following completion of this offering, the shares covered by registration rights would represent approximately % of our total Class A common stock outstanding (or % shares if the underwriters exercise in full their option to purchase additional shares of our Class A common stock). Registration of any of these outstanding shares of Class A common stock would result in such shares becoming freely tradable without compliance with Rule 144 upon effectiveness of the registration statement. See “Shares Eligible for Future Sale—Registration Rights” and “Certain Relationships and Related Person Transactions—Registration Rights Agreement.”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filed a registration statement on Form S-8 under the Securities Act to register shares of our Class A common stock or securities convertible into or exchangeable for shares of our Class A common stock issued pursuant to the 2020 Plan. Such Form S-8 registration statement automatically became effective upon filing. Accordingly, shares registered under such registration statement will be available for sale in the open market. Our registration statement on Form S-8 covers 18,650,000 shares of our Class A common stock.</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make a merger with or acquisition of our Company more difficult without the approval of our board of directors. Among other things, these provisions:</w:t>
      </w:r>
    </w:p>
    <w:p>
      <w:pPr>
        <w:spacing w:after="0" w:line="116" w:lineRule="exact"/>
        <w:rPr>
          <w:sz w:val="20"/>
          <w:szCs w:val="20"/>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1" w:right="339" w:bottom="1440" w:gutter="0" w:footer="0" w:header="0"/>
        </w:sectPr>
      </w:pPr>
    </w:p>
    <w:bookmarkStart w:id="78" w:name="page79"/>
    <w:bookmarkEnd w:id="7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60" w:right="20" w:hanging="328"/>
        <w:spacing w:after="0" w:line="282"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1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prohibit stockholder action by written consent by holders of Class A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for certain limitations on convening special stockholder meetings;</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that certain provisions of our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an alternative forum, the Court of Chancery of the State of Delaware will, to the fullest extent permitted by law, be the sole and exclusive forum for any (i) derivative action or proceeding brought on our behalf, (ii) action asserting a claim of breach of a fiduciary duty owed by any current or former director, officer, stockholder or employee of ours to us or our stockholders, (iii) action asserting a claim arising under any provision of the Delaware General Corporation Law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Unless we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1" w:right="339" w:bottom="1440" w:gutter="0" w:footer="0" w:header="0"/>
        </w:sectPr>
      </w:pPr>
    </w:p>
    <w:bookmarkStart w:id="79" w:name="page80"/>
    <w:bookmarkEnd w:id="7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This prospectus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“outlook,” “believes,” “expects,” “potential,” “continues,” “may,” “will,” “should,” “could,” “seeks,” “predicts,” “intends,” “trends,” “plans,” “estimates,” “anticipates,” or the negative version of these words or other comparable words.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forward-looking statements contained in this prospectus are based on management’s current expectations and are not guarantees of future performance. Our expectations, beliefs and projections are expressed in good faith and we believe there is a reasonable basis for them. However, there can be no assurance that management’s expectations, beliefs and projections will result or be achieved. Such forward-looking statements are subject to various risks, uncertainties, assumptions or changes in circumstances that are difficult to predict or quantify. Accordingly, there are or will be important factors including:</w:t>
      </w:r>
    </w:p>
    <w:p>
      <w:pPr>
        <w:spacing w:after="0" w:line="134" w:lineRule="exact"/>
        <w:rPr>
          <w:sz w:val="20"/>
          <w:szCs w:val="20"/>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COVID-19 pandemic, including the global economic uncertainty and measures taken in response, could materially impact our business and future results of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larger well-funded companies shifting their existing business models to become more competitive with us;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provide or adapt our platform for changes in laws and regulations or public perception, or changes in the enforcement of such laws, relating to data privacy;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effects of companies more effectively catering to our customers by offering more tailored products or platforms at lower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adverse general economic and market conditions reducing spending on sales and marketing;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effects of declining demand for sales and marketing subscription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improve our technology and keep up with new processes for data collection, organization, and cleansing;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provide a highly accurate, reliable, and comprehensive platform moving forward;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reliance on third-party systems that we do not control to integrate with our system and our potential inability to continue to support integration;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ability to adequately fund research and development potentially limiting introduction of new features, integrations, and enhancements;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attract new customers and expand existing subscriptions;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decrease in participation in our contributory network or increased opt-out rates impacting the depth, breadth, and accuracy of our platform;</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failure to protect and maintain our brand and our ability to attract and retain customers;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factors described under “Risk Factors.”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1" w:right="339" w:bottom="1440" w:gutter="0" w:footer="0" w:header="0"/>
        </w:sectPr>
      </w:pPr>
    </w:p>
    <w:bookmarkStart w:id="81" w:name="page82"/>
    <w:bookmarkEnd w:id="8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Any forward-looking statement made by us in this prospectus speaks only as of the date of this prospectus. We undertake no obligation to publicly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1" w:right="339" w:bottom="1440" w:gutter="0" w:footer="0" w:header="0"/>
        </w:sectPr>
      </w:pPr>
    </w:p>
    <w:bookmarkStart w:id="82" w:name="page83"/>
    <w:bookmarkEnd w:id="8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includes market and industry data and forecasts that we have derived from independent consultant reports, publicly available information, various industry publications, other published industry sources, including S&amp;P Global Market Intelligence (“Capital IQ”), Salesforce Research (“Salesforce.com”), Global Industry Analysts (“Global Industry Analysts, Inc.”), Sirius Decisions (“SiriusDecisions”), and Forrester Research, Inc. (“Forrester”), and our internal data and estimates, including data generated utilizing our ZoomInfo platform. Independent consultant reports, industry publications, and other published industry sources generally indicate that the information contained therein was obtained from sources believed to be reliable.</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source of certain statistical data, estimates, and forecasts contained in this prospectus are the following independent industry publications or reports:</w:t>
      </w:r>
    </w:p>
    <w:p>
      <w:pPr>
        <w:spacing w:after="0" w:line="116" w:lineRule="exact"/>
        <w:rPr>
          <w:sz w:val="20"/>
          <w:szCs w:val="20"/>
          <w:color w:val="auto"/>
        </w:rPr>
      </w:pPr>
    </w:p>
    <w:p>
      <w:pPr>
        <w:ind w:left="66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B2B Sales and Marketing Intelligence Solutions Drive Improved Business Outcomes, a commissioned study conducted by Forrester Consulting on behalf of DiscoverOrg, August 2019;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State of Sales, Salesforce Research, July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S&amp;P Global Capital IQ database, ©2019: S&amp;P Global Market Intelligence;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Global Industry Analysts, Global Customer Relationship Management (CRM) Software Industry Report, October 2019;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Tracking the True Cost of Sales, Sirius Decisions, 2019.</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internal data and estimates are based upon information obtained from trade and business organizations and other contacts in the markets in which we operate and our management’s understanding of industry conditions. Although we believe that such information is reliable, we have not had this information verified by any independent sources.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1" w:right="339" w:bottom="1440" w:gutter="0" w:footer="0" w:header="0"/>
        </w:sectPr>
      </w:pPr>
    </w:p>
    <w:bookmarkStart w:id="83" w:name="page84"/>
    <w:bookmarkEnd w:id="8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ORGANIZATIONAL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 Following the IPO and the Transactions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will recognize the assets and liabilities received in the reorganization at their historical carrying amounts, as reflected in the historical consolidated financial statements of ZoomInfo OpCo, the accounting predecessor. ZoomInfo Technologies Inc. will consolidate ZoomInfo OpCo through ZoomInfo HoldCo in its consolidated financial statements and record a non-controlling interest related to the OpCo Units and HoldCo Units held by our pre-IPO owners on its consolidated balance sheet and statement of income.</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Pre-IPO OpCo Unitholders and the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voting power afforded to Pre-IPO OpCo Unitholders and Pre-IPO HoldCo Unitholders, as applicable, by their shares of Class B common stock is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Transactions—ZoomInfo OpCo Amended and Restated Limited Liability Company Agreement,” “Certain Relationships and Related Person Transactions—ZoomInfo HoldCo Amended and Restated Limited Liability Company Agreement” and “Description of Capital Stock.” Holders of outstanding shares of our Class A common stock, Class B common stock, and Class C common stock vote as a single class on all matters on which stockholders are entitled to vote generally, except as otherwise required by law.</w:t>
      </w:r>
    </w:p>
    <w:p>
      <w:pPr>
        <w:spacing w:after="0" w:line="14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organizational structure is commonly referred to as an UP-C structure. This organizational structure allows our Pre-IPO OpCo Unitholders to retain their equity ownership in ZoomInfo OpCo, an entity that is classified as a partnership for U.S. federal income tax purposes, in the form of OpCo Units. Investors in this offering will, by contrast, hold their equity ownership in ZoomInfo Technologies Inc., a Delaware corporation that is a domestic corporation for U.S. federal income tax purposes, in the form of shares of Class A common stock. Pre-IPO Blocker Holders hold their equity ownership in ZoomInfo Technologies Inc. in the form of shares of Class C common stock. Pre-IPO HoldCo Unitholders hold their equity ownership in ZoomInfo HoldCo, an entity classified as a corporation for U.S. federal income tax purposes, in the form of HoldCo Units. We believe that our Pre-IPO OpCo Unitholders will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 liquidity that holders of non-publicly traded limited liability companies are not typically afforded. We do not believe that our UP-C structure gives rise to any significant business or strategic benefit or detriment to us.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diagram below depicts our organizational structure after giving effect to this offering. For purposes of depicting ownership of voting power in ZoomInfo Technologies Inc., the below diagram takes into account shares of Class B common stock held by Pre-IPO OpCo Unitholders and Pre-IPO HoldCo Unitholders and shares of Class C common stock held by Pre-IPO Blocker Holders.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93345</wp:posOffset>
            </wp:positionV>
            <wp:extent cx="5349240" cy="51777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5177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60"/>
        </w:numPr>
        <w:rPr>
          <w:rFonts w:ascii="Arial" w:cs="Arial" w:eastAsia="Arial" w:hAnsi="Arial"/>
          <w:sz w:val="13"/>
          <w:szCs w:val="13"/>
          <w:color w:val="auto"/>
        </w:rPr>
      </w:pPr>
      <w:r>
        <w:rPr>
          <w:rFonts w:ascii="Arial" w:cs="Arial" w:eastAsia="Arial" w:hAnsi="Arial"/>
          <w:sz w:val="13"/>
          <w:szCs w:val="13"/>
          <w:color w:val="auto"/>
        </w:rPr>
        <w:t>Each share of Class B common stock provides the holder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w:t>
      </w:r>
    </w:p>
    <w:p>
      <w:pPr>
        <w:jc w:val="right"/>
        <w:ind w:left="340"/>
        <w:spacing w:after="0" w:line="241" w:lineRule="auto"/>
        <w:rPr>
          <w:sz w:val="20"/>
          <w:szCs w:val="20"/>
          <w:color w:val="auto"/>
        </w:rPr>
      </w:pPr>
      <w:r>
        <w:rPr>
          <w:rFonts w:ascii="Arial" w:cs="Arial" w:eastAsia="Arial" w:hAnsi="Arial"/>
          <w:sz w:val="14"/>
          <w:szCs w:val="14"/>
          <w:color w:val="auto"/>
        </w:rPr>
        <w:t>Technologies Inc. are entitled to vote generally. Immediately following this offering, the Pre-IPO OpCo Unitholders and the Pre-IPO HoldCo Unitholders will hold            and shares of our Class B common stock, respectively, collectively representing 100% of our outstanding Class B common stock, and will collectively hold   % of the voting power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 ZoomInfo Technologies Inc. For additional information, see “Description of Capital Stock—Common Stock—Class B Common Stock.”</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1" w:right="339" w:bottom="1440" w:gutter="0" w:footer="0" w:header="0"/>
        </w:sectPr>
      </w:pPr>
    </w:p>
    <w:bookmarkStart w:id="85" w:name="page86"/>
    <w:bookmarkEnd w:id="8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40" w:hanging="332"/>
        <w:spacing w:after="0" w:line="266" w:lineRule="auto"/>
        <w:tabs>
          <w:tab w:leader="none" w:pos="332" w:val="left"/>
        </w:tabs>
        <w:numPr>
          <w:ilvl w:val="0"/>
          <w:numId w:val="61"/>
        </w:numPr>
        <w:rPr>
          <w:rFonts w:ascii="Arial" w:cs="Arial" w:eastAsia="Arial" w:hAnsi="Arial"/>
          <w:sz w:val="13"/>
          <w:szCs w:val="13"/>
          <w:color w:val="auto"/>
        </w:rPr>
      </w:pPr>
      <w:r>
        <w:rPr>
          <w:rFonts w:ascii="Arial" w:cs="Arial" w:eastAsia="Arial" w:hAnsi="Arial"/>
          <w:sz w:val="13"/>
          <w:szCs w:val="13"/>
          <w:color w:val="auto"/>
        </w:rPr>
        <w:t>Each share of Class C common stock provides the holder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Immediately following this offering, the Pre-IPO</w:t>
      </w:r>
    </w:p>
    <w:p>
      <w:pPr>
        <w:spacing w:after="0" w:line="1" w:lineRule="exact"/>
        <w:rPr>
          <w:sz w:val="20"/>
          <w:szCs w:val="20"/>
          <w:color w:val="auto"/>
        </w:rPr>
      </w:pPr>
    </w:p>
    <w:p>
      <w:pPr>
        <w:ind w:left="340"/>
        <w:spacing w:after="0"/>
        <w:tabs>
          <w:tab w:leader="none" w:pos="2660" w:val="left"/>
          <w:tab w:leader="none" w:pos="9720" w:val="left"/>
        </w:tabs>
        <w:rPr>
          <w:sz w:val="20"/>
          <w:szCs w:val="20"/>
          <w:color w:val="auto"/>
        </w:rPr>
      </w:pPr>
      <w:r>
        <w:rPr>
          <w:rFonts w:ascii="Arial" w:cs="Arial" w:eastAsia="Arial" w:hAnsi="Arial"/>
          <w:sz w:val="14"/>
          <w:szCs w:val="14"/>
          <w:color w:val="auto"/>
        </w:rPr>
        <w:t>Blocker Holders will hold</w:t>
      </w:r>
      <w:r>
        <w:rPr>
          <w:sz w:val="20"/>
          <w:szCs w:val="20"/>
          <w:color w:val="auto"/>
        </w:rPr>
        <w:tab/>
      </w:r>
      <w:r>
        <w:rPr>
          <w:rFonts w:ascii="Arial" w:cs="Arial" w:eastAsia="Arial" w:hAnsi="Arial"/>
          <w:sz w:val="14"/>
          <w:szCs w:val="14"/>
          <w:color w:val="auto"/>
        </w:rPr>
        <w:t>shares of our Class C common stock, representing 100% of our Class C common stock, and will collectively hold</w:t>
      </w:r>
      <w:r>
        <w:rPr>
          <w:sz w:val="20"/>
          <w:szCs w:val="20"/>
          <w:color w:val="auto"/>
        </w:rPr>
        <w:tab/>
      </w:r>
      <w:r>
        <w:rPr>
          <w:rFonts w:ascii="Arial" w:cs="Arial" w:eastAsia="Arial" w:hAnsi="Arial"/>
          <w:sz w:val="14"/>
          <w:szCs w:val="14"/>
          <w:color w:val="auto"/>
        </w:rPr>
        <w:t>% of the voting power in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ZoomInfo Technologies Inc. For additional information, see “Description of Capital Stock—Common Stock—Class C Common Stock.”</w:t>
      </w:r>
    </w:p>
    <w:p>
      <w:pPr>
        <w:spacing w:after="0" w:line="1" w:lineRule="exact"/>
        <w:rPr>
          <w:sz w:val="20"/>
          <w:szCs w:val="20"/>
          <w:color w:val="auto"/>
        </w:rPr>
      </w:pPr>
    </w:p>
    <w:p>
      <w:pPr>
        <w:spacing w:after="0"/>
        <w:tabs>
          <w:tab w:leader="none" w:pos="300" w:val="left"/>
          <w:tab w:leader="none" w:pos="2500" w:val="left"/>
        </w:tabs>
        <w:rPr>
          <w:sz w:val="20"/>
          <w:szCs w:val="20"/>
          <w:color w:val="auto"/>
        </w:rPr>
      </w:pPr>
      <w:r>
        <w:rPr>
          <w:rFonts w:ascii="Arial" w:cs="Arial" w:eastAsia="Arial" w:hAnsi="Arial"/>
          <w:sz w:val="14"/>
          <w:szCs w:val="14"/>
          <w:color w:val="auto"/>
        </w:rPr>
        <w:t>(3)</w:t>
        <w:tab/>
        <w:t>At the time of this offering,</w:t>
      </w:r>
      <w:r>
        <w:rPr>
          <w:sz w:val="20"/>
          <w:szCs w:val="20"/>
          <w:color w:val="auto"/>
        </w:rPr>
        <w:tab/>
      </w:r>
      <w:r>
        <w:rPr>
          <w:rFonts w:ascii="Arial" w:cs="Arial" w:eastAsia="Arial" w:hAnsi="Arial"/>
          <w:sz w:val="13"/>
          <w:szCs w:val="13"/>
          <w:color w:val="auto"/>
        </w:rPr>
        <w:t>shares of Class A common stock would be issuable upon the exchange of Class P Units (assuming such Class P Units are fully vested) that are held by</w:t>
      </w:r>
    </w:p>
    <w:p>
      <w:pPr>
        <w:spacing w:after="0" w:line="1" w:lineRule="exact"/>
        <w:rPr>
          <w:sz w:val="20"/>
          <w:szCs w:val="20"/>
          <w:color w:val="auto"/>
        </w:rPr>
      </w:pPr>
    </w:p>
    <w:p>
      <w:pPr>
        <w:ind w:left="340"/>
        <w:spacing w:after="0" w:line="241" w:lineRule="auto"/>
        <w:rPr>
          <w:sz w:val="20"/>
          <w:szCs w:val="20"/>
          <w:color w:val="auto"/>
        </w:rPr>
      </w:pPr>
      <w:r>
        <w:rPr>
          <w:rFonts w:ascii="Arial" w:cs="Arial" w:eastAsia="Arial" w:hAnsi="Arial"/>
          <w:sz w:val="14"/>
          <w:szCs w:val="14"/>
          <w:color w:val="auto"/>
        </w:rPr>
        <w:t>the Continuing Class P Unitholders. For additional information, see “—Reclassification and Amendment and Restatement of Limited Liability Company Agreement of ZoomInfo OpCo” and “Certain Relationships and Related Person Transactions—ZoomInfo OpCo Amended and Restated Limited Liability Company Agreement.”</w:t>
      </w:r>
    </w:p>
    <w:p>
      <w:pPr>
        <w:spacing w:after="0" w:line="1"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ZoomInfo LLC (formerly known as DiscoverOrg, LLC) serves as the borrower under the secured credit facilities. See “Description of Certain Indebtedness.”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presents the outstanding common stock, OpCo Units and HoldCo Units, after giving effect to this offering, (i) on an actual basis,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excluding the conversion of Class P Units held by the Continuing Class P Unitholders, which are convertible for shares of Class A common stock upon vesting, and (ii) on a diluted basis, assuming the conversion of such Class P Units, following completion of the Reorganization Transactions and the Offering Transactions:</w:t>
      </w:r>
    </w:p>
    <w:p>
      <w:pPr>
        <w:spacing w:after="0" w:line="182"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13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Common Stock</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152"/>
        </w:trPr>
        <w:tc>
          <w:tcPr>
            <w:tcW w:w="136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3"/>
              </w:rPr>
              <w:t>Class A Common</w:t>
            </w: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162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3"/>
              </w:rPr>
              <w:t>Class C Common</w:t>
            </w: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99"/>
              </w:rPr>
              <w:t>HoldCo Units</w:t>
            </w:r>
          </w:p>
        </w:tc>
        <w:tc>
          <w:tcPr>
            <w:tcW w:w="15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OpCo Units</w:t>
            </w:r>
          </w:p>
        </w:tc>
        <w:tc>
          <w:tcPr>
            <w:tcW w:w="0" w:type="dxa"/>
            <w:vAlign w:val="bottom"/>
          </w:tcPr>
          <w:p>
            <w:pPr>
              <w:spacing w:after="0"/>
              <w:rPr>
                <w:sz w:val="1"/>
                <w:szCs w:val="1"/>
                <w:color w:val="auto"/>
              </w:rPr>
            </w:pPr>
          </w:p>
        </w:tc>
      </w:tr>
      <w:tr>
        <w:trPr>
          <w:trHeight w:val="186"/>
        </w:trPr>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162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Stock</w:t>
            </w:r>
          </w:p>
        </w:tc>
        <w:tc>
          <w:tcPr>
            <w:tcW w:w="128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8088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0885"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Public Stockholders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Pre-IPO OpCo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08088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0885"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Pre-IPO HoldCo Unitholders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Pre-IPO Blocker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08088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0885"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ZoomInfo Technologies Inc.</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ZoomInfo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08088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0885" cy="128905"/>
                    </a:xfrm>
                    <a:prstGeom prst="rect">
                      <a:avLst/>
                    </a:prstGeom>
                    <a:noFill/>
                  </pic:spPr>
                </pic:pic>
              </a:graphicData>
            </a:graphic>
          </wp:anchor>
        </w:drawing>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outstanding</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after giving effect to the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-80645</wp:posOffset>
            </wp:positionV>
            <wp:extent cx="5323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ind w:left="400"/>
        <w:spacing w:after="0" w:line="201" w:lineRule="auto"/>
        <w:rPr>
          <w:sz w:val="20"/>
          <w:szCs w:val="20"/>
          <w:color w:val="auto"/>
        </w:rPr>
      </w:pPr>
      <w:r>
        <w:rPr>
          <w:rFonts w:ascii="Arial" w:cs="Arial" w:eastAsia="Arial" w:hAnsi="Arial"/>
          <w:sz w:val="14"/>
          <w:szCs w:val="14"/>
          <w:color w:val="auto"/>
        </w:rPr>
        <w:t>of Class P Units held by Continuing</w:t>
      </w:r>
    </w:p>
    <w:p>
      <w:pPr>
        <w:ind w:left="400"/>
        <w:spacing w:after="0"/>
        <w:rPr>
          <w:sz w:val="20"/>
          <w:szCs w:val="20"/>
          <w:color w:val="auto"/>
        </w:rPr>
      </w:pPr>
      <w:r>
        <w:rPr>
          <w:rFonts w:ascii="Arial" w:cs="Arial" w:eastAsia="Arial" w:hAnsi="Arial"/>
          <w:sz w:val="14"/>
          <w:szCs w:val="14"/>
          <w:color w:val="auto"/>
        </w:rPr>
        <w:t>Class P Unitholders</w:t>
      </w:r>
      <w:r>
        <w:rPr>
          <w:rFonts w:ascii="Arial" w:cs="Arial" w:eastAsia="Arial" w:hAnsi="Arial"/>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-3175</wp:posOffset>
            </wp:positionV>
            <wp:extent cx="5323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color w:val="auto"/>
        </w:rPr>
        <w:t>Total, after giving further effect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080885"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0885" cy="291465"/>
                    </a:xfrm>
                    <a:prstGeom prst="rect">
                      <a:avLst/>
                    </a:prstGeom>
                    <a:noFill/>
                  </pic:spPr>
                </pic:pic>
              </a:graphicData>
            </a:graphic>
          </wp:anchor>
        </w:drawing>
      </w:r>
    </w:p>
    <w:p>
      <w:pPr>
        <w:ind w:left="400"/>
        <w:spacing w:after="0" w:line="201" w:lineRule="auto"/>
        <w:rPr>
          <w:sz w:val="20"/>
          <w:szCs w:val="20"/>
          <w:color w:val="auto"/>
        </w:rPr>
      </w:pPr>
      <w:r>
        <w:rPr>
          <w:rFonts w:ascii="Arial" w:cs="Arial" w:eastAsia="Arial" w:hAnsi="Arial"/>
          <w:sz w:val="14"/>
          <w:szCs w:val="14"/>
          <w:color w:val="auto"/>
        </w:rPr>
        <w:t>vesting of employee equity grants under</w:t>
      </w:r>
    </w:p>
    <w:p>
      <w:pPr>
        <w:ind w:left="400"/>
        <w:spacing w:after="0"/>
        <w:rPr>
          <w:sz w:val="20"/>
          <w:szCs w:val="20"/>
          <w:color w:val="auto"/>
        </w:rPr>
      </w:pPr>
      <w:r>
        <w:rPr>
          <w:rFonts w:ascii="Arial" w:cs="Arial" w:eastAsia="Arial" w:hAnsi="Arial"/>
          <w:sz w:val="14"/>
          <w:szCs w:val="14"/>
          <w:color w:val="auto"/>
        </w:rPr>
        <w:t>our 2020 Omnibus Incentive Plan</w:t>
      </w:r>
      <w:r>
        <w:rPr>
          <w:rFonts w:ascii="Arial" w:cs="Arial" w:eastAsia="Arial" w:hAnsi="Arial"/>
          <w:sz w:val="9"/>
          <w:szCs w:val="9"/>
          <w:color w:val="auto"/>
        </w:rPr>
        <w:t>(2)</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-98425</wp:posOffset>
            </wp:positionV>
            <wp:extent cx="53232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23205" cy="8890"/>
                    </a:xfrm>
                    <a:prstGeom prst="rect">
                      <a:avLst/>
                    </a:prstGeom>
                    <a:noFill/>
                  </pic:spPr>
                </pic:pic>
              </a:graphicData>
            </a:graphic>
          </wp:anchor>
        </w:drawing>
      </w:r>
    </w:p>
    <w:p>
      <w:pPr>
        <w:ind w:left="340" w:hanging="332"/>
        <w:spacing w:after="0" w:line="241" w:lineRule="auto"/>
        <w:tabs>
          <w:tab w:leader="none" w:pos="332"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connection with the conversion of any Class P Unit for a share of Class A common stock, one OpCo Unit will be issued to ZoomInfo HoldCo and one HoldCo Unit will be issued to ZoomInfo Technologies Inc.</w:t>
      </w:r>
    </w:p>
    <w:p>
      <w:pPr>
        <w:jc w:val="both"/>
        <w:ind w:left="340" w:hanging="332"/>
        <w:spacing w:after="0" w:line="248" w:lineRule="auto"/>
        <w:tabs>
          <w:tab w:leader="none" w:pos="332"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513,440 restricted stock units and 47,620 LTIP Units granted in connection with the IPO under the 2020 Omnibus Incentive Plan. In addition, 577,879 stock options, which we refer to as “leverage restoration options,” and 630,000 Class P Units, in each case with a strike price of the public offering price per share of Class A common stock, were granted in connection with the IPO under the 2020 Omnibus Incentive Plan.</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presents the economic interests and combined voting power in ZoomInfo Technologies Inc. held by the Sponsors, the Founders, management and others, and public stockholders (which does not reflect the exchange of any Class P Unit for a share of Class A common stock), after giving effect to this offering: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40" w:type="dxa"/>
            <w:vAlign w:val="bottom"/>
            <w:gridSpan w:val="3"/>
          </w:tcPr>
          <w:p>
            <w:pPr>
              <w:jc w:val="center"/>
              <w:ind w:left="948"/>
              <w:spacing w:after="0"/>
              <w:rPr>
                <w:sz w:val="20"/>
                <w:szCs w:val="20"/>
                <w:color w:val="auto"/>
              </w:rPr>
            </w:pPr>
            <w:r>
              <w:rPr>
                <w:rFonts w:ascii="Arial" w:cs="Arial" w:eastAsia="Arial" w:hAnsi="Arial"/>
                <w:sz w:val="14"/>
                <w:szCs w:val="14"/>
                <w:b w:val="1"/>
                <w:bCs w:val="1"/>
                <w:color w:val="auto"/>
                <w:w w:val="91"/>
              </w:rPr>
              <w:t>Common Stock</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20" w:type="dxa"/>
            <w:vAlign w:val="bottom"/>
            <w:gridSpan w:val="3"/>
            <w:vMerge w:val="restart"/>
          </w:tcPr>
          <w:p>
            <w:pPr>
              <w:jc w:val="right"/>
              <w:ind w:right="908"/>
              <w:spacing w:after="0"/>
              <w:rPr>
                <w:sz w:val="20"/>
                <w:szCs w:val="20"/>
                <w:color w:val="auto"/>
              </w:rPr>
            </w:pPr>
            <w:r>
              <w:rPr>
                <w:rFonts w:ascii="Arial" w:cs="Arial" w:eastAsia="Arial" w:hAnsi="Arial"/>
                <w:sz w:val="14"/>
                <w:szCs w:val="14"/>
                <w:b w:val="1"/>
                <w:bCs w:val="1"/>
                <w:color w:val="auto"/>
              </w:rPr>
              <w:t>Voting Power</w:t>
            </w:r>
            <w:r>
              <w:rPr>
                <w:rFonts w:ascii="Arial" w:cs="Arial" w:eastAsia="Arial" w:hAnsi="Arial"/>
                <w:sz w:val="9"/>
                <w:szCs w:val="9"/>
                <w:b w:val="1"/>
                <w:bCs w:val="1"/>
                <w:color w:val="auto"/>
              </w:rPr>
              <w:t>(2)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948"/>
              <w:spacing w:after="0"/>
              <w:rPr>
                <w:sz w:val="20"/>
                <w:szCs w:val="20"/>
                <w:color w:val="auto"/>
              </w:rPr>
            </w:pPr>
            <w:r>
              <w:rPr>
                <w:rFonts w:ascii="Arial" w:cs="Arial" w:eastAsia="Arial" w:hAnsi="Arial"/>
                <w:sz w:val="14"/>
                <w:szCs w:val="14"/>
                <w:b w:val="1"/>
                <w:bCs w:val="1"/>
                <w:color w:val="auto"/>
                <w:w w:val="93"/>
              </w:rPr>
              <w:t>Owned</w:t>
            </w:r>
            <w:r>
              <w:rPr>
                <w:rFonts w:ascii="Arial" w:cs="Arial" w:eastAsia="Arial" w:hAnsi="Arial"/>
                <w:sz w:val="9"/>
                <w:szCs w:val="9"/>
                <w:b w:val="1"/>
                <w:bCs w:val="1"/>
                <w:color w:val="auto"/>
                <w:w w:val="93"/>
              </w:rPr>
              <w:t>(1)</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Votes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Sponsors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20" w:type="dxa"/>
            <w:vAlign w:val="bottom"/>
            <w:gridSpan w:val="4"/>
          </w:tcPr>
          <w:p>
            <w:pPr>
              <w:ind w:left="20"/>
              <w:spacing w:after="0"/>
              <w:rPr>
                <w:sz w:val="20"/>
                <w:szCs w:val="20"/>
                <w:color w:val="auto"/>
              </w:rPr>
            </w:pPr>
            <w:r>
              <w:rPr>
                <w:rFonts w:ascii="Arial" w:cs="Arial" w:eastAsia="Arial" w:hAnsi="Arial"/>
                <w:sz w:val="18"/>
                <w:szCs w:val="18"/>
                <w:color w:val="auto"/>
              </w:rPr>
              <w:t>Founders</w:t>
            </w:r>
            <w:r>
              <w:rPr>
                <w:rFonts w:ascii="Arial" w:cs="Arial" w:eastAsia="Arial" w:hAnsi="Arial"/>
                <w:sz w:val="23"/>
                <w:szCs w:val="23"/>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Management and Others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4"/>
          </w:tcPr>
          <w:p>
            <w:pPr>
              <w:ind w:left="20"/>
              <w:spacing w:after="0"/>
              <w:rPr>
                <w:sz w:val="20"/>
                <w:szCs w:val="20"/>
                <w:color w:val="auto"/>
              </w:rPr>
            </w:pPr>
            <w:r>
              <w:rPr>
                <w:rFonts w:ascii="Arial" w:cs="Arial" w:eastAsia="Arial" w:hAnsi="Arial"/>
                <w:sz w:val="18"/>
                <w:szCs w:val="18"/>
                <w:color w:val="auto"/>
              </w:rPr>
              <w:t>Public Stockholders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8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6100" w:type="dxa"/>
            <w:vAlign w:val="bottom"/>
            <w:gridSpan w:val="2"/>
          </w:tcPr>
          <w:p>
            <w:pPr>
              <w:ind w:left="554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6" w:name="page87"/>
    <w:bookmarkEnd w:id="8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340" w:hanging="332"/>
        <w:spacing w:after="0" w:line="241" w:lineRule="auto"/>
        <w:tabs>
          <w:tab w:leader="none" w:pos="332"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relates to one OpCo Unit or HoldCo Unit.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Based on beneficial ownership, reflects one vote per share of Class A common stock, ten votes per share of Class B common stock, and ten votes per share of Class C common stock. See</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“Principal and Selling Stockholders” for additional information.</w:t>
      </w:r>
    </w:p>
    <w:p>
      <w:pPr>
        <w:spacing w:after="0" w:line="1" w:lineRule="exact"/>
        <w:rPr>
          <w:sz w:val="20"/>
          <w:szCs w:val="20"/>
          <w:color w:val="auto"/>
        </w:rPr>
      </w:pPr>
    </w:p>
    <w:p>
      <w:pPr>
        <w:spacing w:after="0"/>
        <w:tabs>
          <w:tab w:leader="none" w:pos="300" w:val="left"/>
          <w:tab w:leader="none" w:pos="4020" w:val="left"/>
          <w:tab w:leader="none" w:pos="10280" w:val="left"/>
        </w:tabs>
        <w:rPr>
          <w:sz w:val="20"/>
          <w:szCs w:val="20"/>
          <w:color w:val="auto"/>
        </w:rPr>
      </w:pPr>
      <w:r>
        <w:rPr>
          <w:rFonts w:ascii="Arial" w:cs="Arial" w:eastAsia="Arial" w:hAnsi="Arial"/>
          <w:sz w:val="14"/>
          <w:szCs w:val="14"/>
          <w:color w:val="auto"/>
        </w:rPr>
        <w:t>(3)</w:t>
        <w:tab/>
        <w:t>Reflects (i) Henry Schuck’s indirect economic interest in</w:t>
      </w:r>
      <w:r>
        <w:rPr>
          <w:sz w:val="20"/>
          <w:szCs w:val="20"/>
          <w:color w:val="auto"/>
        </w:rPr>
        <w:tab/>
      </w:r>
      <w:r>
        <w:rPr>
          <w:rFonts w:ascii="Arial" w:cs="Arial" w:eastAsia="Arial" w:hAnsi="Arial"/>
          <w:sz w:val="14"/>
          <w:szCs w:val="14"/>
          <w:color w:val="auto"/>
        </w:rPr>
        <w:t>OpCo Units and associated shares of Class B common stock held directly by HSKB Funds, LLC and</w:t>
      </w:r>
      <w:r>
        <w:rPr>
          <w:sz w:val="20"/>
          <w:szCs w:val="20"/>
          <w:color w:val="auto"/>
        </w:rPr>
        <w:tab/>
      </w:r>
      <w:r>
        <w:rPr>
          <w:rFonts w:ascii="Arial" w:cs="Arial" w:eastAsia="Arial" w:hAnsi="Arial"/>
          <w:sz w:val="12"/>
          <w:szCs w:val="12"/>
          <w:color w:val="auto"/>
        </w:rPr>
        <w:t>OpCo Units and</w:t>
      </w:r>
    </w:p>
    <w:p>
      <w:pPr>
        <w:spacing w:after="0" w:line="1" w:lineRule="exact"/>
        <w:rPr>
          <w:sz w:val="20"/>
          <w:szCs w:val="20"/>
          <w:color w:val="auto"/>
        </w:rPr>
      </w:pPr>
    </w:p>
    <w:p>
      <w:pPr>
        <w:ind w:left="340"/>
        <w:spacing w:after="0"/>
        <w:tabs>
          <w:tab w:leader="none" w:pos="8740" w:val="left"/>
        </w:tabs>
        <w:rPr>
          <w:sz w:val="20"/>
          <w:szCs w:val="20"/>
          <w:color w:val="auto"/>
        </w:rPr>
      </w:pPr>
      <w:r>
        <w:rPr>
          <w:rFonts w:ascii="Arial" w:cs="Arial" w:eastAsia="Arial" w:hAnsi="Arial"/>
          <w:sz w:val="14"/>
          <w:szCs w:val="14"/>
          <w:color w:val="auto"/>
        </w:rPr>
        <w:t>associated shares of Class B common stock held directly by DO Holdings (WA), LLC; and (ii) Kirk Brown’s indirect economic interest in</w:t>
      </w:r>
      <w:r>
        <w:rPr>
          <w:sz w:val="20"/>
          <w:szCs w:val="20"/>
          <w:color w:val="auto"/>
        </w:rPr>
        <w:tab/>
      </w:r>
      <w:r>
        <w:rPr>
          <w:rFonts w:ascii="Arial" w:cs="Arial" w:eastAsia="Arial" w:hAnsi="Arial"/>
          <w:sz w:val="12"/>
          <w:szCs w:val="12"/>
          <w:color w:val="auto"/>
        </w:rPr>
        <w:t>OpCo Units and associated shares of Class</w:t>
      </w:r>
    </w:p>
    <w:p>
      <w:pPr>
        <w:spacing w:after="0" w:line="1" w:lineRule="exact"/>
        <w:rPr>
          <w:sz w:val="20"/>
          <w:szCs w:val="20"/>
          <w:color w:val="auto"/>
        </w:rPr>
      </w:pPr>
    </w:p>
    <w:p>
      <w:pPr>
        <w:jc w:val="both"/>
        <w:ind w:left="340"/>
        <w:spacing w:after="0" w:line="248" w:lineRule="auto"/>
        <w:rPr>
          <w:sz w:val="20"/>
          <w:szCs w:val="20"/>
          <w:color w:val="auto"/>
        </w:rPr>
      </w:pPr>
      <w:r>
        <w:rPr>
          <w:rFonts w:ascii="Arial" w:cs="Arial" w:eastAsia="Arial" w:hAnsi="Arial"/>
          <w:sz w:val="14"/>
          <w:szCs w:val="14"/>
          <w:color w:val="auto"/>
        </w:rPr>
        <w:t>B common stock held directly by DO Holdings (WA), LLC. Messrs. Schuck and Brown may be deemed to share voting and dispositive power over the securities held by DO Holdings (WA), LLC. Mr. Schuck may be deemed to control voting power over the securities held by HSKB Funds I, LLC and HSKB Funds II, LLC. See “Principal and Selling Stockholders” for additional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of ZoomInfo Technologies Inc.</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ZoomInfo Technologies Inc. was incorporated as a Delaware corporation on November 14, 2019. ZoomInfo Technologies Inc. has not engaged in any business or other activities except in connection with its formation. The amended and restated certificate of incorporation of ZoomInfo Technologies Inc. authorizes three classes of common stock, Class A common stock, Class B common stock, and Class C common stock, each having the terms described in “Description of Capital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ZoomInfo HoldCo</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ZoomInfo Technologies Inc. formed ZoomInfo HoldCo on February 25, 2020 as a new subsidiary and became the sole managing member of ZoomInfo HoldCo. Upon the consummation of the Reorganization Transactions, ZoomInfo HoldCo became the sole managing member of ZoomInfo OpCo and the management of ZoomInfo HoldCo vested in its manager. Certain pre-IPO owners acquired interests in ZoomInfo HoldCo and ZoomInfo HoldCo acquired OpCo Units previously held directly or indirectly by such pre-IPO owners pursuant to the Blocker Mergers described below and in connection with the redemption of certain OpCo Units.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Blocker Mergers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connection with the Reorganization Transactions, ZoomInfo Technologies Inc. formed a new merger subsidiary with respect to each of the Blocker Companies, through which certain of our Pre-IPO Blocker Holders held their interests in us, and each merger subsidiary merged with and into the respective Blocker Companies in reverse subsidiary mergers, and the surviving entities merged with and into ZoomInfo Technologies Inc. In the Blocker Mergers, the Pre-IPO Blocker Holders, as the 100% owners of the Blocker Companies, received (i) 98,106,387 shares of newly issued Class C common stock and (ii) an aggregate cash amount equal to 275,269 shares of Class C common stock multiplied by the public offering price per share of Class A common stock, less the underwriting discount, in respect of reductions in such Pre-IPO Blocker Holders’ equity interests, and ZoomInfo Technologies Inc. acquired an equal number of outstanding OpCo Units from the Pre-IPO Blocker Holders. ZoomInfo Technologies Inc. contributed the OpCo Units it received in the Blocker Mergers to ZoomInfo HoldCo in exchange for a corresponding number of newly issued HoldCo Units.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and Amendment and Restatement of Limited Liability Company Agreement of ZoomInfo OpCo</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IPO, the capital structure of ZoomInfo OpCo consisted of four different classes of limited partnership interests (Series A Preferred Units, Preferred, Common, and Class P). A portion of the proceeds from the IPO was used to redeem and cancel all outstanding Series A Preferred Units. The limited liability company agreement of ZoomInfo OpCo was amended and restated to, among other things, modify its capital structure by reclassifying its outstanding preferred units and common units into a new class of units that we refer to as “OpCo Units.” Class P Units that were held by Continuing Class P Unitholders at the time of the IPO remained as Class P Units. Additionally, ZoomInfo OpCo effected a four-for-one reverse unit split. Immediately following the Reorganization Transactions but prior to the other Offering Transactions described below, there were 340,795,683 OpCo Units issued and outstanding.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1" w:right="339" w:bottom="1440" w:gutter="0" w:footer="0" w:header="0"/>
        </w:sectPr>
      </w:pPr>
    </w:p>
    <w:bookmarkStart w:id="87" w:name="page88"/>
    <w:bookmarkEnd w:id="8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connection with the Reclassification, all vested and unvested Class P Units (other than Class P Units held by Continuing Class P Unitholders) were converted into vested and unvested Employee Units. “Employee Units” refers to the portion of HoldCo Units into which certain Class P Units (including, without limitation, certain indirectly held Class P Units) were converted in the Reorganization Transactions. The number of Employee Units delivered in respect of each Class P Unit was determined based on the amount of proceeds that would be distributed to such Class P Unit if the Company were to be sold at a value derived from the initial public offering price in the IPO, and the intrinsic value of the Employee Units issued in respect of each Class P Unit had an intrinsic value equal to the hypothetical proceeds such Class P Unit would have received. In addition, we granted 577,879 options to purchase shares of Class A common stock under the 2020 Omnibus Incentive Plan to all holders of Class P Units whose interests are converted in the Reclassification, in substitution for part of the economic benefit of the Class P Units that is not reflected in the conversion of Class P Units to Employee Units. We refer to these stock options as “leverage restoration options.” For additional information regarding the conversion of the Class P Units, see “Executive Compensation—Compensation Arrangements Adopted in Connection with the IPO—Conversion of Class P Units.”</w:t>
      </w:r>
    </w:p>
    <w:p>
      <w:pPr>
        <w:spacing w:after="0" w:line="1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the amended and restated limited liability company agreement of ZoomInfo OpCo, ZoomInfo HoldCo is the sole managing member of ZoomInfo OpCo. Pursuant to the amended and restated limited liability company agreement of ZoomInfo Holdco, the management of ZoomInfo HoldCo vests in its manager. Accordingly, ZoomInfo Technologies Inc., through ZoomInfo HoldCo, has the right to determine when distributions will be made to the members of ZoomInfo OpCo and the amount of any such distributions. If ZoomInfo Technologies Inc., through ZoomInfo HoldCo, authorizes a distribution, such distribution will be made to the members of ZoomInfo OpCo pro rata in accordance with the percentages of their respective limited liability company interests.</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holders of OpCo Units in ZoomInfo OpCo, including ZoomInfo HoldCo, a member of the ZoomInfo Tax Group, will incur United States federal, state, and local income taxes on their allocable share of any taxable income of ZoomInfo OpCo. The amended and restated limited liability company agreement provides for cash distributions to the holders of limited liability company interests in ZoomInfo OpCo if the taxable income of ZoomInfo OpCo will give rise to taxable income for its members. In accordance with the amended and restated limited liability company agreement, we intend to cause ZoomInfo HoldCo to cause ZoomInfo OpCo to make pro rata (other than with respect to Class P Units) cash distributions to the holders of limited liability company interests in ZoomInfo OpCo for purposes of funding such holders’ tax obligations in respect of the income of ZoomInfo OpCo that is allocated to them. Generally, these tax distributions will be computed, other than with respect to Class P Units, based on an estimate of the taxable income of ZoomInfo OpCo allocated to the holder of OpCo Units that receives the greatest proportionate allocation of income multiplied by an assumed tax rate. Tax distributions with respect to Class P Units will be determined based on the assumed tax liability of such Continuing Class P Unitholder with respect to such Class P Units rather than on a pro rata basis.</w:t>
      </w:r>
    </w:p>
    <w:p>
      <w:pPr>
        <w:spacing w:after="0" w:line="13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have the right to exchange their vested Class P Units into a number of shares of Class A common stock that will generally be equal to (a) the product of the number of vested Class P Units to be exchanged with a given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strike price) and then-current difference between the per share value of an OpCo Unit at the time of the exchange (based on the public trading price of Class A common stock) and the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also provides that a holder of OpCo Units will not have the right to exchange OpCo Units if ZoomInfo HoldCo reasonably determines that such exchange would be prohibited by law or regulation or would violate any agreements with ZoomInfo Technologies Inc. or its subsidiaries by which the holder of OpCo Units is bound, or ZoomInfo Technologies Inc.’s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1" w:right="339" w:bottom="1440" w:gutter="0" w:footer="0" w:header="0"/>
        </w:sectPr>
      </w:pPr>
    </w:p>
    <w:bookmarkStart w:id="88" w:name="page89"/>
    <w:bookmarkEnd w:id="8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insider trading policies. Upon such exchange, ZoomInfo Technologies Inc. will contribute the OpCo Units it receives to ZoomInfo HoldCo in exchange for a corresponding number of newly issued HoldCo Units. As a holder exchanges OpCo Units (together with a corresponding number of shares of Class B common stock) for shares of Class A common stock, the number of HoldCo Units held by ZoomInfo Technologies Inc. in exchange for the exchanged OpCo Units is correspondingly increased as it acquires the exchanged OpCo Units. See “Certain Relationships and Related Person Transactions— ZoomInfo OpCo Amended and Restated Limited Liability Company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ZoomInfo HoldCo Amended and Restated Limited Liability Company Agreement</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the Reorganization Transactions, we amended and restated the limited liability company agreement of ZoomInfo HoldCo under which the Pre-IPO HoldCo Unitholders (or certain of their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The amended and restated limited liability company agreement of ZoomInfo HoldCo also provides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 See “Certain Relationships and Related Person Transactions—ZoomInfo HoldCo Amended and Restated Limited Liability Company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Transactions</w:t>
      </w:r>
    </w:p>
    <w:p>
      <w:pPr>
        <w:spacing w:after="0" w:line="17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At the time of the consummation of the IPO, ZoomInfo Technologies Inc. consummated the purchase, for cash, of newly issued HoldCo Units from ZoomInfo HoldCo at a purchase price per unit equal to the initial public offering price per share of Class A common stock in the IPO net of the underwriting discount. ZoomInfo HoldCo, in turn, consummated the purchase, for cash, of newly issued OpCo Units from ZoomInfo OpCo at a purchase price per unit equal to the initial public offering price per share of Class A common stock in the IPO net of the underwriting discount. ZoomInfo HoldCo purchased from ZoomInfo OpCo 48,528,783 newly issued OpCo Units for an aggregate of $966.9 million. The issuance and sale of such newly issued OpCo Units by ZoomInfo OpCo to ZoomInfo HoldCo correspondingly diluted the ownership interests of our pre-IPO owners in ZoomInfo OpCo. See “Principal and Selling Stockholders” for more information regarding the proceeds from the IPO that were paid to our directors and named executive officers. In addition, ZoomInfo Technologies Inc. used a portion of the net proceeds from the IPO (including from the exercise by the underwriters of their option to purchase additional shares of Class A common stock) (i) to purchase newly issued HoldCo Units from ZoomInfo HoldCo, which in turn purchased the same number of newly issued OpCo Units from ZoomInfo OpCo, (ii) to purchase OpCo Units from certain Pre-IPO OpCo Unitholders; and</w:t>
      </w:r>
    </w:p>
    <w:p>
      <w:pPr>
        <w:spacing w:after="0" w:line="5" w:lineRule="exact"/>
        <w:rPr>
          <w:sz w:val="20"/>
          <w:szCs w:val="20"/>
          <w:color w:val="auto"/>
        </w:rPr>
      </w:pPr>
    </w:p>
    <w:p>
      <w:pPr>
        <w:jc w:val="both"/>
        <w:ind w:firstLine="8"/>
        <w:spacing w:after="0" w:line="287" w:lineRule="auto"/>
        <w:tabs>
          <w:tab w:leader="none" w:pos="324"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fund merger consideration payable to certain Pre-IPO Blocker Holders in connection with the Blocker Mergers. The foregoing purchases of OpCo Units were at a price per unit equal to the initial public offering price per share of Class A common stock in the IPO, less the underwriting discount. Upon each purchase of HoldCo Units or OpCo Units, the corresponding shares of Class B common stock were canceled. ZoomInfo Technologies Inc. contributed the OpCo Units it received in the Blocker Mergers to ZoomInfo HoldCo in exchange for a corresponding number of newly issued HoldCo Units. The number of outstanding OpCo Units of ZoomInfo OpCo equals the aggregate number of outstanding shares of Class A common stock, Class B common stock, and Class C common stock. ZoomInfo Technologies Inc. holds, indirectly through ZoomInfo HoldCo, a number of OpCo Units that is equal to the number of shares of Class A common stock that it has issued, a relationship that we believe fosters transparency because it results in a single share of Class A common stock representing (albeit indirectly) the same percentage equity interest in ZoomInfo OpCo as a single OpCo Unit.</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connection with the Reorganization Transactions,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1" w:right="339" w:bottom="1440" w:gutter="0" w:footer="0" w:header="0"/>
        </w:sectPr>
      </w:pPr>
    </w:p>
    <w:bookmarkStart w:id="89" w:name="page90"/>
    <w:bookmarkEnd w:id="8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the tax basis adjustments generated over time may increase (for tax purposes) depreciation and amortization deductions and, therefore, may reduce the amount of tax that the ZoomInfo Tax Group would otherwise be required to pay in the future.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pacing w:after="0" w:line="1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ZoomInfo OpCo used the proceeds it received through ZoomInfo HoldCo from the IPO to redeem and cancel all outstanding Series A Preferred Units, to repay our second lien term loans, to repay outstanding borrowings under our first lien revolving credit facility, and for general corporate purposes. See “Certain Relationships and Related Person Transactions—Purchase of OpCo Units and Payment of Blocker Merger Consideration.”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refer to the foregoing transactions as the “Offering Transactions.”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1" w:right="339" w:bottom="1440" w:gutter="0" w:footer="0" w:header="0"/>
        </w:sectPr>
      </w:pPr>
    </w:p>
    <w:bookmarkStart w:id="90" w:name="page91"/>
    <w:bookmarkEnd w:id="9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filing the registration statement of which this prospectus is a part to permit holders of the shares of our Class A common stock included in the section entitled “Principal and Selling Stockholders” to resell such shares. The selling stockholders will receive all of the net proceeds from the sale of shares of our Class A common stock in this offering. We are not selling any shares of our Class A common stock under this prospectus and will not receive any proceeds from the sale of shares by the selling stockholders or if the underwriters exercise their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1" w:right="339" w:bottom="1440" w:gutter="0" w:footer="0" w:header="0"/>
        </w:sectPr>
      </w:pPr>
    </w:p>
    <w:bookmarkStart w:id="91" w:name="page92"/>
    <w:bookmarkEnd w:id="9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no current plans to pay dividends on our Class A common stock or Class C common stock. Holders of our Class B common stock do not have any right to receive dividends, or to receive a distribution upon a liquidation, dissolution, or winding up of ZoomInfo Technologies Inc., with respect to their Class B common stock. The declaration, amount, and payment of any future dividends on shares of Class A common stock or Class C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6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See “Certain Relationships and Related Person Transactions —ZoomInfo OpCo Amended and Restated Limited Liability Company Agreement.”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in accordance with the percentages of their respective limited liability company interests.</w:t>
      </w:r>
    </w:p>
    <w:p>
      <w:pPr>
        <w:spacing w:after="0" w:line="7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anticipate that cash received by ZoomInfo HoldCo may, in certain periods, exceed its liabilities, including tax liabilities, and obligations to make payments under the tax receivable agreements. We expect that ZoomInfo HoldCo will use any such excess cash from time to time to acquire additional newly issued OpCo Units from ZoomInfo OpCo at a per unit price determined by reference to the market value of the Class A common stock; to pay dividends, which may include special dividends, on its Class A common stock and Class C common stock; to fund repurchases of its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agreement governing our secured credit facilities contains a number of covenants that restrict, subject to certain exceptions, certain of our subsidiaries’ ability to pay dividends to us. See “Description of Certain Indebtedness.”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financing arrangements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its formation in November 2019, ZoomInfo Technologies Inc. has not paid any dividends to holders of 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1" w:right="339" w:bottom="1440" w:gutter="0" w:footer="0" w:header="0"/>
        </w:sectPr>
      </w:pPr>
    </w:p>
    <w:bookmarkStart w:id="92" w:name="page93"/>
    <w:bookmarkEnd w:id="9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outstanding common stock. In 2018 and 2019 and during the three months ended March, 31, 2020, ZoomInfo OpCo made cash distributions to equity partners in an aggregate amount of $93.4 million, $16.5 million, and $5.0 million, respectively.</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1" w:right="339" w:bottom="1440" w:gutter="0" w:footer="0" w:header="0"/>
        </w:sectPr>
      </w:pPr>
    </w:p>
    <w:bookmarkStart w:id="93" w:name="page94"/>
    <w:bookmarkEnd w:id="9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cash and cash equivalents and capitalization as of March 31, 2020.</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and cash equivalents are not components of our total capitalization. You should read this table together with the other information contained in this prospectus, including “Organizational Structure,” “Unaudited Pro Forma Combined and Consolidated Financial Information,” “Management’s Discussion and Analysis of Financial Condition and Results of Operations,” and our historical financial statements and related notes thereto included elsewhere in this prospectus.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95"/>
        </w:trPr>
        <w:tc>
          <w:tcPr>
            <w:tcW w:w="9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ZoomInfo OpCo</w:t>
            </w:r>
          </w:p>
        </w:tc>
        <w:tc>
          <w:tcPr>
            <w:tcW w:w="0" w:type="dxa"/>
            <w:vAlign w:val="bottom"/>
          </w:tcPr>
          <w:p>
            <w:pPr>
              <w:spacing w:after="0"/>
              <w:rPr>
                <w:sz w:val="1"/>
                <w:szCs w:val="1"/>
                <w:color w:val="auto"/>
              </w:rPr>
            </w:pPr>
          </w:p>
        </w:tc>
      </w:tr>
      <w:tr>
        <w:trPr>
          <w:trHeight w:val="183"/>
        </w:trPr>
        <w:tc>
          <w:tcPr>
            <w:tcW w:w="9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lien revolving credit facility</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0"/>
        </w:trPr>
        <w:tc>
          <w:tcPr>
            <w:tcW w:w="9640" w:type="dxa"/>
            <w:vAlign w:val="bottom"/>
          </w:tcPr>
          <w:p>
            <w:pPr>
              <w:ind w:left="220"/>
              <w:spacing w:after="0"/>
              <w:rPr>
                <w:sz w:val="20"/>
                <w:szCs w:val="20"/>
                <w:color w:val="auto"/>
              </w:rPr>
            </w:pPr>
            <w:r>
              <w:rPr>
                <w:rFonts w:ascii="Arial" w:cs="Arial" w:eastAsia="Arial" w:hAnsi="Arial"/>
                <w:sz w:val="18"/>
                <w:szCs w:val="18"/>
                <w:color w:val="auto"/>
              </w:rPr>
              <w:t>First lien term loans</w:t>
            </w:r>
            <w:r>
              <w:rPr>
                <w:rFonts w:ascii="Arial" w:cs="Arial" w:eastAsia="Arial" w:hAnsi="Arial"/>
                <w:sz w:val="23"/>
                <w:szCs w:val="23"/>
                <w:color w:val="auto"/>
                <w:vertAlign w:val="superscript"/>
              </w:rPr>
              <w:t>(2)</w:t>
            </w:r>
          </w:p>
        </w:tc>
        <w:tc>
          <w:tcPr>
            <w:tcW w:w="200" w:type="dxa"/>
            <w:vAlign w:val="bottom"/>
          </w:tcPr>
          <w:p>
            <w:pPr>
              <w:spacing w:after="0"/>
              <w:rPr>
                <w:sz w:val="23"/>
                <w:szCs w:val="23"/>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70"/>
        </w:trPr>
        <w:tc>
          <w:tcPr>
            <w:tcW w:w="9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lien term loans</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37"/>
        </w:trPr>
        <w:tc>
          <w:tcPr>
            <w:tcW w:w="96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20"/>
                <w:szCs w:val="20"/>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1,238.8</w:t>
            </w:r>
          </w:p>
        </w:tc>
        <w:tc>
          <w:tcPr>
            <w:tcW w:w="0" w:type="dxa"/>
            <w:vAlign w:val="bottom"/>
          </w:tcPr>
          <w:p>
            <w:pPr>
              <w:spacing w:after="0"/>
              <w:rPr>
                <w:sz w:val="1"/>
                <w:szCs w:val="1"/>
                <w:color w:val="auto"/>
              </w:rPr>
            </w:pPr>
          </w:p>
        </w:tc>
      </w:tr>
      <w:tr>
        <w:trPr>
          <w:trHeight w:val="27"/>
        </w:trPr>
        <w:tc>
          <w:tcPr>
            <w:tcW w:w="9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Series A Preferred Units</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Members’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70"/>
        </w:trPr>
        <w:tc>
          <w:tcPr>
            <w:tcW w:w="9640" w:type="dxa"/>
            <w:vAlign w:val="bottom"/>
          </w:tcPr>
          <w:p>
            <w:pPr>
              <w:ind w:left="360"/>
              <w:spacing w:after="0"/>
              <w:rPr>
                <w:sz w:val="20"/>
                <w:szCs w:val="20"/>
                <w:color w:val="auto"/>
              </w:rPr>
            </w:pPr>
            <w:r>
              <w:rPr>
                <w:rFonts w:ascii="Arial" w:cs="Arial" w:eastAsia="Arial" w:hAnsi="Arial"/>
                <w:sz w:val="18"/>
                <w:szCs w:val="18"/>
                <w:color w:val="auto"/>
              </w:rPr>
              <w:t>Class A common stock, $0.01 par value per share, 1,000 shares authorized and no shares issued and outstanding</w:t>
            </w:r>
          </w:p>
        </w:tc>
        <w:tc>
          <w:tcPr>
            <w:tcW w:w="200" w:type="dxa"/>
            <w:vAlign w:val="bottom"/>
          </w:tcPr>
          <w:p>
            <w:pPr>
              <w:spacing w:after="0"/>
              <w:rPr>
                <w:sz w:val="23"/>
                <w:szCs w:val="23"/>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Class B common stock, $0.01 par value per share, 1,000 shares authorized and 100 shares issued and outstanding</w:t>
            </w:r>
            <w:r>
              <w:rPr>
                <w:rFonts w:ascii="Arial" w:cs="Arial" w:eastAsia="Arial" w:hAnsi="Arial"/>
                <w:sz w:val="23"/>
                <w:szCs w:val="23"/>
                <w:color w:val="auto"/>
                <w:w w:val="98"/>
                <w:vertAlign w:val="superscript"/>
              </w:rPr>
              <w:t>(5)</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640" w:type="dxa"/>
            <w:vAlign w:val="bottom"/>
          </w:tcPr>
          <w:p>
            <w:pPr>
              <w:ind w:left="360"/>
              <w:spacing w:after="0"/>
              <w:rPr>
                <w:sz w:val="20"/>
                <w:szCs w:val="20"/>
                <w:color w:val="auto"/>
              </w:rPr>
            </w:pPr>
            <w:r>
              <w:rPr>
                <w:rFonts w:ascii="Arial" w:cs="Arial" w:eastAsia="Arial" w:hAnsi="Arial"/>
                <w:sz w:val="18"/>
                <w:szCs w:val="18"/>
                <w:color w:val="auto"/>
              </w:rPr>
              <w:t>Class C common stock, $0.01 par value per share, no shares authorized and no shares issued and outstanding</w:t>
            </w:r>
            <w:r>
              <w:rPr>
                <w:rFonts w:ascii="Arial" w:cs="Arial" w:eastAsia="Arial" w:hAnsi="Arial"/>
                <w:sz w:val="23"/>
                <w:szCs w:val="23"/>
                <w:color w:val="auto"/>
                <w:vertAlign w:val="superscript"/>
              </w:rPr>
              <w:t>(6)</w:t>
            </w:r>
          </w:p>
        </w:tc>
        <w:tc>
          <w:tcPr>
            <w:tcW w:w="200" w:type="dxa"/>
            <w:vAlign w:val="bottom"/>
          </w:tcPr>
          <w:p>
            <w:pPr>
              <w:spacing w:after="0"/>
              <w:rPr>
                <w:sz w:val="23"/>
                <w:szCs w:val="23"/>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9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640" w:type="dxa"/>
            <w:vAlign w:val="bottom"/>
          </w:tcPr>
          <w:p>
            <w:pPr>
              <w:ind w:left="22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964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63"/>
        </w:trPr>
        <w:tc>
          <w:tcPr>
            <w:tcW w:w="9640" w:type="dxa"/>
            <w:vAlign w:val="bottom"/>
          </w:tcPr>
          <w:p>
            <w:pPr>
              <w:ind w:left="20"/>
              <w:spacing w:after="0"/>
              <w:rPr>
                <w:sz w:val="20"/>
                <w:szCs w:val="20"/>
                <w:color w:val="auto"/>
              </w:rPr>
            </w:pPr>
            <w:r>
              <w:rPr>
                <w:rFonts w:ascii="Arial" w:cs="Arial" w:eastAsia="Arial" w:hAnsi="Arial"/>
                <w:sz w:val="18"/>
                <w:szCs w:val="18"/>
                <w:color w:val="auto"/>
              </w:rPr>
              <w:t>Total capitalization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1,218.9</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9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of March 31, 2020, we had drawn down $35.0 million against our $100.0 million first lien revolving credit facility. As of March 31, 2020, there were no outstanding letters of credit under our first lien revolving credit facility. In connection with the IPO, we used a portion of the net proceeds from the IPO to repay $35.0 million of outstanding borrowings under our first lien revolving credit facility. For a further description of our first lien credit agreement, see “Description of Certain Indebtedness.”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$856.4 million aggregate face amount of our first lien term loans, including current portion, net of unamortized discounts and issuance costs of $14.9 million. Our first lien term loans mature on February 1, 2026. In June 2020, we used a portion of the net proceeds from the IPO to prepay $100.0 million aggregate principal amount of the outstanding first lien term loans, including accrued interest thereon. For a further description of our first lien credit agreement, see “Description of Certain Indebtedness.”</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32"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Represents the $370.0 million aggregate face amount of our second lien term loans net of unamortized discounts and issuance costs of $7.7 million. Our second lien term loans mature on February 1, 2027. As of March 31, 2020, a payment of $377.0 million would have been required to be made to repay all borrowings under our second lien term loans, including $3.7 million of prepayment premiums and $3.3 million of accrued interest. In connection with the IPO, we used a portion of the net proceeds of the IPO to prepay in full all outstanding indebtedness under the second lien credit agreement and terminated the agreement. For a further description of our second lien credit agreement, see “Description of Certain Indebtedness.”</w:t>
      </w:r>
    </w:p>
    <w:p>
      <w:pPr>
        <w:jc w:val="both"/>
        <w:ind w:left="340" w:hanging="332"/>
        <w:spacing w:after="0" w:line="246"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of March 31, 2020, $239.6 million aggregate liquidation preference of Series A Preferred Units was outstanding, with respect to which there were $32.6 million of accrued but unpaid distributions. As of March 31, 2020, the aggregate redemption price, including applicable premium and redemption price adjustments of $44.3 million, for the Series A Preferred Units would have been $283.9 million. In connection with the IPO. we redeemed and cancelled all outstanding Series A Preferred Units for approximately $274.2 million, including accumulated but unpaid distributions and related prepayment premiums.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1" w:right="339" w:bottom="1440" w:gutter="0" w:footer="0" w:header="0"/>
        </w:sectPr>
      </w:pPr>
    </w:p>
    <w:bookmarkStart w:id="94" w:name="page95"/>
    <w:bookmarkEnd w:id="94"/>
    <w:p>
      <w:pPr>
        <w:jc w:val="center"/>
        <w:ind w:right="-331"/>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1"/>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32" w:right="20" w:hanging="332"/>
        <w:spacing w:after="0" w:line="247" w:lineRule="auto"/>
        <w:tabs>
          <w:tab w:leader="none" w:pos="324"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jc w:val="both"/>
        <w:ind w:left="332" w:hanging="332"/>
        <w:spacing w:after="0" w:line="246" w:lineRule="auto"/>
        <w:tabs>
          <w:tab w:leader="none" w:pos="324"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200" w:lineRule="exact"/>
        <w:rPr>
          <w:sz w:val="20"/>
          <w:szCs w:val="20"/>
          <w:color w:val="auto"/>
        </w:rPr>
      </w:pPr>
    </w:p>
    <w:p>
      <w:pPr>
        <w:spacing w:after="0" w:line="2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32"/>
          </w:cols>
          <w:pgMar w:left="328" w:top="121" w:right="339" w:bottom="1440" w:gutter="0" w:footer="0" w:header="0"/>
        </w:sectPr>
      </w:pPr>
    </w:p>
    <w:bookmarkStart w:id="95" w:name="page96"/>
    <w:bookmarkEnd w:id="9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AND CONSOLIDATED FINANCIAL INFORMATION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unaudited pro forma combined and consolidated statement of operations for the year ended December 31, 2019 and the three months ended March 31, 2020 and the unaudited pro forma consolidated balance sheet as of March 31, 2020 give pro forma effect to the Zoom Information Acquisition, the Reorganization Transactions, and the Offering Transactions (collectively, the “Transactions”).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 forma adjustments related to the Zoom Information Acquisition are described in the notes to the unaudited pro forma combined and consolidated statement of operations for the year ended December 31, 2019 and primarily include:</w:t>
      </w:r>
    </w:p>
    <w:p>
      <w:pPr>
        <w:spacing w:after="0" w:line="116"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issuance of the first lien and second lien term loans to fund the Zoom Information Acquisition and refinancing our pre-existing term loans;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amortization of acquired intangibles and acquisition-related unearned revenue adjustments.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pro forma adjustments related to the Reorganization Transactions are described in the notes to the unaudited pro forma combined and consolidated financial information and primarily include:</w:t>
      </w:r>
    </w:p>
    <w:p>
      <w:pPr>
        <w:spacing w:after="0" w:line="116" w:lineRule="exact"/>
        <w:rPr>
          <w:sz w:val="20"/>
          <w:szCs w:val="20"/>
          <w:color w:val="auto"/>
        </w:rPr>
      </w:pPr>
    </w:p>
    <w:p>
      <w:pPr>
        <w:jc w:val="both"/>
        <w:ind w:left="660" w:hanging="328"/>
        <w:spacing w:after="0" w:line="263"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amendment and restatement of ZoomInfo Technologies Inc.’s certificate of incorporation to, among other things, (i) provide for Class A, Class B, and Class C common stock and (ii) issue shares of Class B common stock to the Pre-IPO OpCo Unitholders and the Pre-IPO HoldCo Unitholders equal to the number of OpCo Units and HoldCo Units they own, respectively;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Blocker Mergers and the issuance of shares of Class C common stock to the Pre-IPO Blocker Holders;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approximate 69.5% non-controlling interest in ZoomInfo OpCo represented by OpCo Units not held by ZoomInfo HoldCo after the completion of the Reorganization Transactions and prior to the Offering Transactions;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approximate 5.4% non-controlling interest in ZoomInfo HoldCo represented by HoldCo Units not held by ZoomInfo Technologies Inc. after the completion of the Reorganization Transactions and prior to the Offering Transactions;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execution of the tax receivable agreements and recognition of the related payable under such agreements.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pro forma adjustments related to the Offering Transactions are described in the notes to the unaudited pro forma combined and consolidated financial information and primarily include:</w:t>
      </w:r>
    </w:p>
    <w:p>
      <w:pPr>
        <w:spacing w:after="0" w:line="116" w:lineRule="exact"/>
        <w:rPr>
          <w:sz w:val="20"/>
          <w:szCs w:val="20"/>
          <w:color w:val="auto"/>
        </w:rPr>
      </w:pPr>
    </w:p>
    <w:p>
      <w:pPr>
        <w:jc w:val="both"/>
        <w:ind w:left="660" w:hanging="328"/>
        <w:spacing w:after="0" w:line="263"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issuance of 51,175,000 shares of our Class A common stock in the IPO and the receipt of net proceeds of approximately $1,019.6 million, based on the initial public offering price of $21.00 per share in the IPO, after deducting the underwriting discount and estimated unpaid offering expenses;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redemption of all 51.75 million outstanding Series A Preferred Units for $274.2 million;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payment of $380.6 million to repay all amounts outstanding under our second lien term loans, which includes related prepayment premiums of approximately $3.7 million and accrued interest of approximately $6.9 million;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payment of $35.0 million to repay all outstanding borrowings under our first lien revolving credit facility.</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unaudited pro forma combined and consolidated statement of operations for the year ended December 31, 2019 gives pro forma effect to the Transactions as if they had occurred on January 1, 2019. The unaudited pro forma combined and consolidated statement of operations for the three months ended March 31, 2020 gives pro forma effect to the Reorganization Transactions and the Offering Transactions as if they had occurred on January 1, 2019.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1" w:right="339" w:bottom="1440" w:gutter="0" w:footer="0" w:header="0"/>
        </w:sectPr>
      </w:pPr>
    </w:p>
    <w:bookmarkStart w:id="96" w:name="page97"/>
    <w:bookmarkEnd w:id="9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consolidated balance sheet as of March 31, 2020 gives effect to the Reorganization Transactions and the Offering Transactions as if they had occurred on March 31, 2020.</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ZoomInfo OpCo’s historical consolidated financial information has been derived from its consolidated financial statements and accompanying notes included elsewhere in this prospectus. Pre-Acquisition ZI’s historical consolidated financial information has been derived from its consolidated financial statements and accompanying notes included elsewhere in this prospectus. ZoomInfo Technologies Inc. was formed on November 14, 2019 and had no material assets or results of operations until the completion of the IPO. Therefore, its historical financial information is not included in the unaudited pro forma combined and consolidated financial information.</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combined and consolidated financial information was prepared in accordance with Article 11 of Regulation S-X, using the assumptions set forth in the notes to the unaudited pro forma combined and consolidated financial information. The unaudited pro forma combined and consolidated financial information has been adjusted to give effect to events that are (i) directly attributable to the Transactions, (ii) factually supportable, and (iii) expected to have a continuing impact on the statement of operations.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public company, we are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would be based on subjective estimates and assumptions that could not be factually supported. We have not included any pro forma adjustments related to these costs.</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unaudited pro forma combined and consolidated financial information is provided for informational purposes only and is not necessarily indicative of the operating results that would have occurred if the Transactions had been completed as of the dates set forth above, nor is it indicative of our future results. The unaudited pro forma combined and consolidated financial information also does not give effect to the potential impact of any anticipated synergies, operating efficiencies, or cost savings that may result from the Transactions or any integration costs that do not have a continuing impact.</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combined and consolidated financial information should be read together with “Organizational Structure,” “Capitalization,” “Selected Historical Consolidated Financial Data,” “Management’s Discussion and Analysis of Financial Condition and Results of Operations,” and our historical financial statements and related notes thereto and the historical financial statements of Pre-Acquisition ZI and related notes thereto, each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1" w:right="339" w:bottom="1440" w:gutter="0" w:footer="0" w:header="0"/>
        </w:sectPr>
      </w:pPr>
    </w:p>
    <w:bookmarkStart w:id="97" w:name="page98"/>
    <w:bookmarkEnd w:id="97"/>
    <w:p>
      <w:pPr>
        <w:jc w:val="center"/>
        <w:ind w:right="-4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COMBINED AND CONSOLIDATED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 except per share data)</w:t>
      </w:r>
    </w:p>
    <w:p>
      <w:pPr>
        <w:sectPr>
          <w:pgSz w:w="11900" w:h="16838" w:orient="portrait"/>
          <w:cols w:equalWidth="0" w:num="1">
            <w:col w:w="11120"/>
          </w:cols>
          <w:pgMar w:left="340" w:top="121" w:right="43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 Forma Adjustments</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ZoomInfo OpCo</w:t>
            </w:r>
            <w:r>
              <w:rPr>
                <w:rFonts w:ascii="Arial" w:cs="Arial" w:eastAsia="Arial" w:hAnsi="Arial"/>
                <w:sz w:val="9"/>
                <w:szCs w:val="9"/>
                <w:b w:val="1"/>
                <w:bCs w:val="1"/>
                <w:color w:val="auto"/>
              </w:rPr>
              <w:t>(a)</w:t>
            </w: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Pre-Acquisition</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Zoom Information</w:t>
            </w:r>
          </w:p>
        </w:tc>
        <w:tc>
          <w:tcPr>
            <w:tcW w:w="140" w:type="dxa"/>
            <w:vAlign w:val="bottom"/>
          </w:tcPr>
          <w:p>
            <w:pPr>
              <w:spacing w:after="0"/>
              <w:rPr>
                <w:sz w:val="14"/>
                <w:szCs w:val="14"/>
                <w:color w:val="auto"/>
              </w:rPr>
            </w:pPr>
          </w:p>
        </w:tc>
        <w:tc>
          <w:tcPr>
            <w:tcW w:w="1780" w:type="dxa"/>
            <w:vAlign w:val="bottom"/>
            <w:gridSpan w:val="2"/>
          </w:tcPr>
          <w:p>
            <w:pPr>
              <w:ind w:left="240"/>
              <w:spacing w:after="0"/>
              <w:rPr>
                <w:sz w:val="20"/>
                <w:szCs w:val="20"/>
                <w:color w:val="auto"/>
              </w:rPr>
            </w:pPr>
            <w:r>
              <w:rPr>
                <w:rFonts w:ascii="Arial" w:cs="Arial" w:eastAsia="Arial" w:hAnsi="Arial"/>
                <w:sz w:val="14"/>
                <w:szCs w:val="14"/>
                <w:b w:val="1"/>
                <w:bCs w:val="1"/>
                <w:color w:val="auto"/>
              </w:rPr>
              <w:t>Reorganization</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20"/>
              <w:spacing w:after="0" w:line="189" w:lineRule="exact"/>
              <w:rPr>
                <w:sz w:val="20"/>
                <w:szCs w:val="20"/>
                <w:color w:val="auto"/>
              </w:rPr>
            </w:pPr>
            <w:r>
              <w:rPr>
                <w:rFonts w:ascii="Arial" w:cs="Arial" w:eastAsia="Arial" w:hAnsi="Arial"/>
                <w:sz w:val="21"/>
                <w:szCs w:val="21"/>
                <w:b w:val="1"/>
                <w:bCs w:val="1"/>
                <w:color w:val="auto"/>
                <w:vertAlign w:val="subscript"/>
              </w:rPr>
              <w:t>ZI</w:t>
            </w:r>
            <w:r>
              <w:rPr>
                <w:rFonts w:ascii="Arial" w:cs="Arial" w:eastAsia="Arial" w:hAnsi="Arial"/>
                <w:sz w:val="8"/>
                <w:szCs w:val="8"/>
                <w:b w:val="1"/>
                <w:bCs w:val="1"/>
                <w:color w:val="auto"/>
              </w:rPr>
              <w:t>(b)</w:t>
            </w:r>
          </w:p>
        </w:tc>
        <w:tc>
          <w:tcPr>
            <w:tcW w:w="160" w:type="dxa"/>
            <w:vAlign w:val="bottom"/>
          </w:tcPr>
          <w:p>
            <w:pPr>
              <w:spacing w:after="0"/>
              <w:rPr>
                <w:sz w:val="16"/>
                <w:szCs w:val="16"/>
                <w:color w:val="auto"/>
              </w:rPr>
            </w:pP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Acquisition</w:t>
            </w:r>
            <w:r>
              <w:rPr>
                <w:rFonts w:ascii="Arial" w:cs="Arial" w:eastAsia="Arial" w:hAnsi="Arial"/>
                <w:sz w:val="9"/>
                <w:szCs w:val="9"/>
                <w:b w:val="1"/>
                <w:bCs w:val="1"/>
                <w:color w:val="auto"/>
                <w:w w:val="98"/>
              </w:rPr>
              <w:t>(c)</w:t>
            </w:r>
          </w:p>
        </w:tc>
        <w:tc>
          <w:tcPr>
            <w:tcW w:w="140" w:type="dxa"/>
            <w:vAlign w:val="bottom"/>
          </w:tcPr>
          <w:p>
            <w:pPr>
              <w:spacing w:after="0"/>
              <w:rPr>
                <w:sz w:val="16"/>
                <w:szCs w:val="16"/>
                <w:color w:val="auto"/>
              </w:rPr>
            </w:pPr>
          </w:p>
        </w:tc>
        <w:tc>
          <w:tcPr>
            <w:tcW w:w="1780" w:type="dxa"/>
            <w:vAlign w:val="bottom"/>
            <w:gridSpan w:val="2"/>
          </w:tcPr>
          <w:p>
            <w:pPr>
              <w:ind w:left="320"/>
              <w:spacing w:after="0"/>
              <w:rPr>
                <w:sz w:val="20"/>
                <w:szCs w:val="20"/>
                <w:color w:val="auto"/>
              </w:rPr>
            </w:pPr>
            <w:r>
              <w:rPr>
                <w:rFonts w:ascii="Arial" w:cs="Arial" w:eastAsia="Arial" w:hAnsi="Arial"/>
                <w:sz w:val="14"/>
                <w:szCs w:val="14"/>
                <w:b w:val="1"/>
                <w:bCs w:val="1"/>
                <w:color w:val="auto"/>
              </w:rPr>
              <w:t>Transactions</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auto"/>
              </w:rPr>
              <w:t>Transactions</w:t>
            </w:r>
          </w:p>
        </w:tc>
        <w:tc>
          <w:tcPr>
            <w:tcW w:w="0" w:type="dxa"/>
            <w:vAlign w:val="bottom"/>
          </w:tcPr>
          <w:p>
            <w:pPr>
              <w:spacing w:after="0"/>
              <w:rPr>
                <w:sz w:val="1"/>
                <w:szCs w:val="1"/>
                <w:color w:val="auto"/>
              </w:rPr>
            </w:pPr>
          </w:p>
        </w:tc>
      </w:tr>
      <w:tr>
        <w:trPr>
          <w:trHeight w:val="184"/>
        </w:trPr>
        <w:tc>
          <w:tcPr>
            <w:tcW w:w="2680" w:type="dxa"/>
            <w:vAlign w:val="bottom"/>
          </w:tcPr>
          <w:p>
            <w:pPr>
              <w:spacing w:after="0"/>
              <w:rPr>
                <w:sz w:val="20"/>
                <w:szCs w:val="20"/>
                <w:color w:val="auto"/>
              </w:rPr>
            </w:pPr>
            <w:r>
              <w:rPr>
                <w:rFonts w:ascii="Arial" w:cs="Arial" w:eastAsia="Arial" w:hAnsi="Arial"/>
                <w:sz w:val="14"/>
                <w:szCs w:val="14"/>
                <w:color w:val="auto"/>
              </w:rPr>
              <w:t>Revenue</w:t>
            </w: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293.3</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31.6</w:t>
            </w:r>
          </w:p>
        </w:tc>
        <w:tc>
          <w:tcPr>
            <w:tcW w:w="14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73"/>
        </w:trPr>
        <w:tc>
          <w:tcPr>
            <w:tcW w:w="2680" w:type="dxa"/>
            <w:vAlign w:val="bottom"/>
          </w:tcPr>
          <w:p>
            <w:pPr>
              <w:spacing w:after="0"/>
              <w:rPr>
                <w:sz w:val="20"/>
                <w:szCs w:val="20"/>
                <w:color w:val="auto"/>
              </w:rPr>
            </w:pPr>
            <w:r>
              <w:rPr>
                <w:rFonts w:ascii="Arial" w:cs="Arial" w:eastAsia="Arial" w:hAnsi="Arial"/>
                <w:sz w:val="14"/>
                <w:szCs w:val="14"/>
                <w:color w:val="auto"/>
              </w:rPr>
              <w:t>Cost of service:</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200"/>
              <w:spacing w:after="0"/>
              <w:rPr>
                <w:sz w:val="20"/>
                <w:szCs w:val="20"/>
                <w:color w:val="auto"/>
              </w:rPr>
            </w:pPr>
            <w:r>
              <w:rPr>
                <w:rFonts w:ascii="Arial" w:cs="Arial" w:eastAsia="Arial" w:hAnsi="Arial"/>
                <w:sz w:val="14"/>
                <w:szCs w:val="14"/>
                <w:color w:val="auto"/>
              </w:rPr>
              <w:t>Cost of service</w:t>
            </w:r>
          </w:p>
        </w:tc>
        <w:tc>
          <w:tcPr>
            <w:tcW w:w="4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78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9"/>
        </w:trPr>
        <w:tc>
          <w:tcPr>
            <w:tcW w:w="2680" w:type="dxa"/>
            <w:vAlign w:val="bottom"/>
          </w:tcPr>
          <w:p>
            <w:pPr>
              <w:ind w:left="200"/>
              <w:spacing w:after="0"/>
              <w:rPr>
                <w:sz w:val="20"/>
                <w:szCs w:val="20"/>
                <w:color w:val="auto"/>
              </w:rPr>
            </w:pPr>
            <w:r>
              <w:rPr>
                <w:rFonts w:ascii="Arial" w:cs="Arial" w:eastAsia="Arial" w:hAnsi="Arial"/>
                <w:sz w:val="14"/>
                <w:szCs w:val="14"/>
                <w:color w:val="auto"/>
              </w:rPr>
              <w:t>Amortization of acquired technology</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8"/>
                <w:szCs w:val="18"/>
                <w:color w:val="auto"/>
              </w:rPr>
            </w:pP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680" w:type="dxa"/>
            <w:vAlign w:val="bottom"/>
          </w:tcPr>
          <w:p>
            <w:pPr>
              <w:spacing w:after="0"/>
              <w:rPr>
                <w:sz w:val="20"/>
                <w:szCs w:val="20"/>
                <w:color w:val="auto"/>
              </w:rPr>
            </w:pPr>
            <w:r>
              <w:rPr>
                <w:rFonts w:ascii="Arial" w:cs="Arial" w:eastAsia="Arial" w:hAnsi="Arial"/>
                <w:sz w:val="14"/>
                <w:szCs w:val="14"/>
                <w:color w:val="auto"/>
              </w:rPr>
              <w:t>Gross profit</w:t>
            </w:r>
          </w:p>
        </w:tc>
        <w:tc>
          <w:tcPr>
            <w:tcW w:w="4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30.4</w:t>
            </w:r>
          </w:p>
        </w:tc>
        <w:tc>
          <w:tcPr>
            <w:tcW w:w="140" w:type="dxa"/>
            <w:vAlign w:val="bottom"/>
          </w:tcPr>
          <w:p>
            <w:pPr>
              <w:spacing w:after="0"/>
              <w:rPr>
                <w:sz w:val="16"/>
                <w:szCs w:val="16"/>
                <w:color w:val="auto"/>
              </w:rPr>
            </w:pPr>
          </w:p>
        </w:tc>
        <w:tc>
          <w:tcPr>
            <w:tcW w:w="178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473"/>
        </w:trPr>
        <w:tc>
          <w:tcPr>
            <w:tcW w:w="2680" w:type="dxa"/>
            <w:vAlign w:val="bottom"/>
          </w:tcPr>
          <w:p>
            <w:pPr>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200"/>
              <w:spacing w:after="0"/>
              <w:rPr>
                <w:sz w:val="20"/>
                <w:szCs w:val="20"/>
                <w:color w:val="auto"/>
              </w:rPr>
            </w:pPr>
            <w:r>
              <w:rPr>
                <w:rFonts w:ascii="Arial" w:cs="Arial" w:eastAsia="Arial" w:hAnsi="Arial"/>
                <w:sz w:val="14"/>
                <w:szCs w:val="14"/>
                <w:color w:val="auto"/>
              </w:rPr>
              <w:t>Sales and marketing</w:t>
            </w:r>
          </w:p>
        </w:tc>
        <w:tc>
          <w:tcPr>
            <w:tcW w:w="4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7"/>
                <w:szCs w:val="17"/>
                <w:color w:val="auto"/>
              </w:rPr>
            </w:pPr>
          </w:p>
        </w:tc>
        <w:tc>
          <w:tcPr>
            <w:tcW w:w="178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3"/>
        </w:trPr>
        <w:tc>
          <w:tcPr>
            <w:tcW w:w="2680" w:type="dxa"/>
            <w:vAlign w:val="bottom"/>
          </w:tcPr>
          <w:p>
            <w:pPr>
              <w:ind w:left="200"/>
              <w:spacing w:after="0"/>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7"/>
                <w:szCs w:val="17"/>
                <w:color w:val="auto"/>
              </w:rPr>
            </w:pPr>
          </w:p>
        </w:tc>
        <w:tc>
          <w:tcPr>
            <w:tcW w:w="178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3"/>
        </w:trPr>
        <w:tc>
          <w:tcPr>
            <w:tcW w:w="268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7"/>
                <w:szCs w:val="17"/>
                <w:color w:val="auto"/>
              </w:rPr>
            </w:pPr>
          </w:p>
        </w:tc>
        <w:tc>
          <w:tcPr>
            <w:tcW w:w="178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7"/>
        </w:trPr>
        <w:tc>
          <w:tcPr>
            <w:tcW w:w="2680" w:type="dxa"/>
            <w:vAlign w:val="bottom"/>
          </w:tcPr>
          <w:p>
            <w:pPr>
              <w:ind w:left="200"/>
              <w:spacing w:after="0" w:line="147" w:lineRule="exact"/>
              <w:rPr>
                <w:sz w:val="20"/>
                <w:szCs w:val="20"/>
                <w:color w:val="auto"/>
              </w:rPr>
            </w:pPr>
            <w:r>
              <w:rPr>
                <w:rFonts w:ascii="Arial" w:cs="Arial" w:eastAsia="Arial" w:hAnsi="Arial"/>
                <w:sz w:val="14"/>
                <w:szCs w:val="14"/>
                <w:color w:val="auto"/>
              </w:rPr>
              <w:t>Amortization of other acquired</w:t>
            </w:r>
          </w:p>
        </w:tc>
        <w:tc>
          <w:tcPr>
            <w:tcW w:w="40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2"/>
                <w:szCs w:val="12"/>
                <w:color w:val="auto"/>
              </w:rPr>
            </w:pPr>
          </w:p>
        </w:tc>
        <w:tc>
          <w:tcPr>
            <w:tcW w:w="1780" w:type="dxa"/>
            <w:vAlign w:val="bottom"/>
            <w:gridSpan w:val="2"/>
            <w:vMerge w:val="restart"/>
          </w:tcPr>
          <w:p>
            <w:pPr>
              <w:ind w:left="114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680" w:type="dxa"/>
            <w:vAlign w:val="bottom"/>
          </w:tcPr>
          <w:p>
            <w:pPr>
              <w:ind w:left="380"/>
              <w:spacing w:after="0"/>
              <w:rPr>
                <w:sz w:val="20"/>
                <w:szCs w:val="20"/>
                <w:color w:val="auto"/>
              </w:rPr>
            </w:pPr>
            <w:r>
              <w:rPr>
                <w:rFonts w:ascii="Arial" w:cs="Arial" w:eastAsia="Arial" w:hAnsi="Arial"/>
                <w:sz w:val="14"/>
                <w:szCs w:val="14"/>
                <w:color w:val="auto"/>
              </w:rPr>
              <w:t>intangibles</w:t>
            </w: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80" w:type="dxa"/>
            <w:vAlign w:val="bottom"/>
          </w:tcPr>
          <w:p>
            <w:pPr>
              <w:ind w:left="200"/>
              <w:spacing w:after="0" w:line="142" w:lineRule="exact"/>
              <w:rPr>
                <w:sz w:val="20"/>
                <w:szCs w:val="20"/>
                <w:color w:val="auto"/>
              </w:rPr>
            </w:pPr>
            <w:r>
              <w:rPr>
                <w:rFonts w:ascii="Arial" w:cs="Arial" w:eastAsia="Arial" w:hAnsi="Arial"/>
                <w:sz w:val="14"/>
                <w:szCs w:val="14"/>
                <w:color w:val="auto"/>
              </w:rPr>
              <w:t>Restructuring and transaction-related</w:t>
            </w:r>
          </w:p>
        </w:tc>
        <w:tc>
          <w:tcPr>
            <w:tcW w:w="40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1420" w:type="dxa"/>
            <w:vAlign w:val="bottom"/>
            <w:vMerge w:val="restart"/>
          </w:tcPr>
          <w:p>
            <w:pPr>
              <w:ind w:left="114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spacing w:after="0"/>
              <w:rPr>
                <w:sz w:val="12"/>
                <w:szCs w:val="12"/>
                <w:color w:val="auto"/>
              </w:rPr>
            </w:pP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680" w:type="dxa"/>
            <w:vAlign w:val="bottom"/>
          </w:tcPr>
          <w:p>
            <w:pPr>
              <w:ind w:left="380"/>
              <w:spacing w:after="0"/>
              <w:rPr>
                <w:sz w:val="20"/>
                <w:szCs w:val="20"/>
                <w:color w:val="auto"/>
              </w:rPr>
            </w:pPr>
            <w:r>
              <w:rPr>
                <w:rFonts w:ascii="Arial" w:cs="Arial" w:eastAsia="Arial" w:hAnsi="Arial"/>
                <w:sz w:val="14"/>
                <w:szCs w:val="14"/>
                <w:color w:val="auto"/>
              </w:rPr>
              <w:t>expenses</w:t>
            </w: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20"/>
                <w:szCs w:val="20"/>
                <w:color w:val="auto"/>
              </w:rPr>
            </w:pPr>
            <w:r>
              <w:rPr>
                <w:rFonts w:ascii="Arial" w:cs="Arial" w:eastAsia="Arial" w:hAnsi="Arial"/>
                <w:sz w:val="14"/>
                <w:szCs w:val="14"/>
                <w:color w:val="auto"/>
              </w:rPr>
              <w:t>Income (loss) from operations</w:t>
            </w:r>
          </w:p>
        </w:tc>
        <w:tc>
          <w:tcPr>
            <w:tcW w:w="4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31.1</w:t>
            </w:r>
          </w:p>
        </w:tc>
        <w:tc>
          <w:tcPr>
            <w:tcW w:w="140" w:type="dxa"/>
            <w:vAlign w:val="bottom"/>
          </w:tcPr>
          <w:p>
            <w:pPr>
              <w:spacing w:after="0"/>
              <w:rPr>
                <w:sz w:val="16"/>
                <w:szCs w:val="16"/>
                <w:color w:val="auto"/>
              </w:rPr>
            </w:pPr>
          </w:p>
        </w:tc>
        <w:tc>
          <w:tcPr>
            <w:tcW w:w="178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03"/>
        </w:trPr>
        <w:tc>
          <w:tcPr>
            <w:tcW w:w="268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4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140" w:type="dxa"/>
            <w:vAlign w:val="bottom"/>
          </w:tcPr>
          <w:p>
            <w:pPr>
              <w:spacing w:after="0"/>
              <w:rPr>
                <w:sz w:val="17"/>
                <w:szCs w:val="17"/>
                <w:color w:val="auto"/>
              </w:rPr>
            </w:pPr>
          </w:p>
        </w:tc>
        <w:tc>
          <w:tcPr>
            <w:tcW w:w="178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02"/>
        </w:trPr>
        <w:tc>
          <w:tcPr>
            <w:tcW w:w="2680" w:type="dxa"/>
            <w:vAlign w:val="bottom"/>
          </w:tcPr>
          <w:p>
            <w:pPr>
              <w:ind w:left="200"/>
              <w:spacing w:after="0"/>
              <w:rPr>
                <w:sz w:val="20"/>
                <w:szCs w:val="20"/>
                <w:color w:val="auto"/>
              </w:rPr>
            </w:pPr>
            <w:r>
              <w:rPr>
                <w:rFonts w:ascii="Arial" w:cs="Arial" w:eastAsia="Arial" w:hAnsi="Arial"/>
                <w:sz w:val="14"/>
                <w:szCs w:val="14"/>
                <w:color w:val="auto"/>
              </w:rPr>
              <w:t>Loss on debt extinguishment</w:t>
            </w:r>
          </w:p>
        </w:tc>
        <w:tc>
          <w:tcPr>
            <w:tcW w:w="4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78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680" w:type="dxa"/>
            <w:vAlign w:val="bottom"/>
          </w:tcPr>
          <w:p>
            <w:pPr>
              <w:ind w:left="200"/>
              <w:spacing w:after="0"/>
              <w:rPr>
                <w:sz w:val="20"/>
                <w:szCs w:val="20"/>
                <w:color w:val="auto"/>
              </w:rPr>
            </w:pPr>
            <w:r>
              <w:rPr>
                <w:rFonts w:ascii="Arial" w:cs="Arial" w:eastAsia="Arial" w:hAnsi="Arial"/>
                <w:sz w:val="14"/>
                <w:szCs w:val="14"/>
                <w:color w:val="auto"/>
              </w:rPr>
              <w:t>Other income, net</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68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4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6"/>
                <w:szCs w:val="16"/>
                <w:color w:val="auto"/>
              </w:rPr>
            </w:pPr>
          </w:p>
        </w:tc>
        <w:tc>
          <w:tcPr>
            <w:tcW w:w="178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7"/>
        </w:trPr>
        <w:tc>
          <w:tcPr>
            <w:tcW w:w="2680" w:type="dxa"/>
            <w:vAlign w:val="bottom"/>
          </w:tcPr>
          <w:p>
            <w:pPr>
              <w:ind w:left="200"/>
              <w:spacing w:after="0" w:line="147" w:lineRule="exact"/>
              <w:rPr>
                <w:sz w:val="20"/>
                <w:szCs w:val="20"/>
                <w:color w:val="auto"/>
              </w:rPr>
            </w:pPr>
            <w:r>
              <w:rPr>
                <w:rFonts w:ascii="Arial" w:cs="Arial" w:eastAsia="Arial" w:hAnsi="Arial"/>
                <w:sz w:val="14"/>
                <w:szCs w:val="14"/>
                <w:color w:val="auto"/>
              </w:rPr>
              <w:t>Provision for (benefit from) income</w:t>
            </w:r>
          </w:p>
        </w:tc>
        <w:tc>
          <w:tcPr>
            <w:tcW w:w="40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1420" w:type="dxa"/>
            <w:vAlign w:val="bottom"/>
            <w:vMerge w:val="restart"/>
          </w:tcPr>
          <w:p>
            <w:pPr>
              <w:ind w:left="114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spacing w:after="0"/>
              <w:rPr>
                <w:sz w:val="12"/>
                <w:szCs w:val="12"/>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2680" w:type="dxa"/>
            <w:vAlign w:val="bottom"/>
          </w:tcPr>
          <w:p>
            <w:pPr>
              <w:ind w:left="380"/>
              <w:spacing w:after="0"/>
              <w:rPr>
                <w:sz w:val="20"/>
                <w:szCs w:val="20"/>
                <w:color w:val="auto"/>
              </w:rPr>
            </w:pPr>
            <w:r>
              <w:rPr>
                <w:rFonts w:ascii="Arial" w:cs="Arial" w:eastAsia="Arial" w:hAnsi="Arial"/>
                <w:sz w:val="14"/>
                <w:szCs w:val="14"/>
                <w:color w:val="auto"/>
              </w:rPr>
              <w:t>taxes</w:t>
            </w:r>
            <w:r>
              <w:rPr>
                <w:rFonts w:ascii="Arial" w:cs="Arial" w:eastAsia="Arial" w:hAnsi="Arial"/>
                <w:sz w:val="9"/>
                <w:szCs w:val="9"/>
                <w:color w:val="auto"/>
              </w:rPr>
              <w:t>(d)</w:t>
            </w: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80" w:type="dxa"/>
            <w:vAlign w:val="bottom"/>
          </w:tcPr>
          <w:p>
            <w:pPr>
              <w:spacing w:after="0"/>
              <w:rPr>
                <w:sz w:val="20"/>
                <w:szCs w:val="20"/>
                <w:color w:val="auto"/>
              </w:rPr>
            </w:pPr>
            <w:r>
              <w:rPr>
                <w:rFonts w:ascii="Arial" w:cs="Arial" w:eastAsia="Arial" w:hAnsi="Arial"/>
                <w:sz w:val="14"/>
                <w:szCs w:val="14"/>
                <w:color w:val="auto"/>
              </w:rPr>
              <w:t>Net income (loss)</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17"/>
                <w:szCs w:val="17"/>
                <w:color w:val="auto"/>
              </w:rPr>
            </w:pPr>
          </w:p>
        </w:tc>
        <w:tc>
          <w:tcPr>
            <w:tcW w:w="178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-2630805</wp:posOffset>
            </wp:positionV>
            <wp:extent cx="71323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-2373630</wp:posOffset>
            </wp:positionV>
            <wp:extent cx="71323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-1807845</wp:posOffset>
            </wp:positionV>
            <wp:extent cx="71323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-1550670</wp:posOffset>
            </wp:positionV>
            <wp:extent cx="71323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-1216660</wp:posOffset>
            </wp:positionV>
            <wp:extent cx="713232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-873760</wp:posOffset>
            </wp:positionV>
            <wp:extent cx="7132320" cy="128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-616585</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-351155</wp:posOffset>
            </wp:positionV>
            <wp:extent cx="713232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-2939415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8"/>
        </w:trPr>
        <w:tc>
          <w:tcPr>
            <w:tcW w:w="2680" w:type="dxa"/>
            <w:vAlign w:val="bottom"/>
          </w:tcPr>
          <w:p>
            <w:pPr>
              <w:ind w:left="200"/>
              <w:spacing w:after="0" w:line="129" w:lineRule="exact"/>
              <w:rPr>
                <w:sz w:val="20"/>
                <w:szCs w:val="20"/>
                <w:color w:val="auto"/>
              </w:rPr>
            </w:pPr>
            <w:r>
              <w:rPr>
                <w:rFonts w:ascii="Arial" w:cs="Arial" w:eastAsia="Arial" w:hAnsi="Arial"/>
                <w:sz w:val="14"/>
                <w:szCs w:val="14"/>
                <w:color w:val="auto"/>
                <w:w w:val="95"/>
              </w:rPr>
              <w:t>Less: Net income (loss) attributable to the</w:t>
            </w:r>
          </w:p>
        </w:tc>
        <w:tc>
          <w:tcPr>
            <w:tcW w:w="1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720" w:type="dxa"/>
            <w:vAlign w:val="bottom"/>
            <w:gridSpan w:val="7"/>
          </w:tcPr>
          <w:p>
            <w:pPr>
              <w:ind w:left="380"/>
              <w:spacing w:after="0"/>
              <w:rPr>
                <w:sz w:val="20"/>
                <w:szCs w:val="20"/>
                <w:color w:val="auto"/>
              </w:rPr>
            </w:pPr>
            <w:r>
              <w:rPr>
                <w:rFonts w:ascii="Arial" w:cs="Arial" w:eastAsia="Arial" w:hAnsi="Arial"/>
                <w:sz w:val="14"/>
                <w:szCs w:val="14"/>
                <w:color w:val="auto"/>
              </w:rPr>
              <w:t>non-controlling interest</w:t>
            </w: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w:t>
            </w:r>
          </w:p>
        </w:tc>
        <w:tc>
          <w:tcPr>
            <w:tcW w:w="360" w:type="dxa"/>
            <w:vAlign w:val="bottom"/>
          </w:tcPr>
          <w:p>
            <w:pPr>
              <w:ind w:left="20"/>
              <w:spacing w:after="0"/>
              <w:rPr>
                <w:sz w:val="20"/>
                <w:szCs w:val="20"/>
                <w:color w:val="auto"/>
              </w:rPr>
            </w:pPr>
            <w:r>
              <w:rPr>
                <w:rFonts w:ascii="Arial" w:cs="Arial" w:eastAsia="Arial" w:hAnsi="Arial"/>
                <w:sz w:val="12"/>
                <w:szCs w:val="12"/>
                <w:color w:val="auto"/>
              </w:rPr>
              <w:t>(e)</w:t>
            </w: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22"/>
        </w:trPr>
        <w:tc>
          <w:tcPr>
            <w:tcW w:w="6720" w:type="dxa"/>
            <w:vAlign w:val="bottom"/>
            <w:gridSpan w:val="7"/>
          </w:tcPr>
          <w:p>
            <w:pPr>
              <w:spacing w:after="0" w:line="122" w:lineRule="exact"/>
              <w:rPr>
                <w:sz w:val="20"/>
                <w:szCs w:val="20"/>
                <w:color w:val="auto"/>
              </w:rPr>
            </w:pPr>
            <w:r>
              <w:rPr>
                <w:rFonts w:ascii="Arial" w:cs="Arial" w:eastAsia="Arial" w:hAnsi="Arial"/>
                <w:sz w:val="14"/>
                <w:szCs w:val="14"/>
                <w:color w:val="auto"/>
              </w:rPr>
              <w:t>Net income (loss) attributable to ZoomInfo</w:t>
            </w:r>
          </w:p>
        </w:tc>
        <w:tc>
          <w:tcPr>
            <w:tcW w:w="520" w:type="dxa"/>
            <w:vAlign w:val="bottom"/>
            <w:vMerge w:val="restart"/>
          </w:tcPr>
          <w:p>
            <w:pPr>
              <w:jc w:val="right"/>
              <w:ind w:right="368"/>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color w:val="auto"/>
              </w:rPr>
              <w:t>39.9</w:t>
            </w:r>
          </w:p>
        </w:tc>
        <w:tc>
          <w:tcPr>
            <w:tcW w:w="360" w:type="dxa"/>
            <w:vAlign w:val="bottom"/>
            <w:vMerge w:val="restart"/>
          </w:tcPr>
          <w:p>
            <w:pPr>
              <w:spacing w:after="0"/>
              <w:rPr>
                <w:sz w:val="10"/>
                <w:szCs w:val="10"/>
                <w:color w:val="auto"/>
              </w:rPr>
            </w:pPr>
          </w:p>
        </w:tc>
        <w:tc>
          <w:tcPr>
            <w:tcW w:w="440" w:type="dxa"/>
            <w:vAlign w:val="bottom"/>
            <w:vMerge w:val="restart"/>
          </w:tcPr>
          <w:p>
            <w:pPr>
              <w:jc w:val="right"/>
              <w:ind w:right="28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7"/>
        </w:trPr>
        <w:tc>
          <w:tcPr>
            <w:tcW w:w="6720" w:type="dxa"/>
            <w:vAlign w:val="bottom"/>
            <w:gridSpan w:val="7"/>
          </w:tcPr>
          <w:p>
            <w:pPr>
              <w:ind w:left="160"/>
              <w:spacing w:after="0"/>
              <w:rPr>
                <w:sz w:val="20"/>
                <w:szCs w:val="20"/>
                <w:color w:val="auto"/>
              </w:rPr>
            </w:pPr>
            <w:r>
              <w:rPr>
                <w:rFonts w:ascii="Arial" w:cs="Arial" w:eastAsia="Arial" w:hAnsi="Arial"/>
                <w:sz w:val="14"/>
                <w:szCs w:val="14"/>
                <w:color w:val="auto"/>
              </w:rPr>
              <w:t>Technologies Inc.</w:t>
            </w:r>
          </w:p>
        </w:tc>
        <w:tc>
          <w:tcPr>
            <w:tcW w:w="5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3232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4"/>
          <w:szCs w:val="14"/>
          <w:color w:val="auto"/>
        </w:rPr>
        <w:t>Net income (loss) per Class A and Class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shares–basic and diluted</w:t>
      </w:r>
      <w:r>
        <w:rPr>
          <w:rFonts w:ascii="Arial" w:cs="Arial" w:eastAsia="Arial" w:hAnsi="Arial"/>
          <w:sz w:val="9"/>
          <w:szCs w:val="9"/>
          <w:color w:val="auto"/>
        </w:rPr>
        <w:t>(g)(h)</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Shares used in basic and diluted per share</w:t>
      </w:r>
    </w:p>
    <w:p>
      <w:pPr>
        <w:ind w:left="160"/>
        <w:spacing w:after="0"/>
        <w:rPr>
          <w:sz w:val="20"/>
          <w:szCs w:val="20"/>
          <w:color w:val="auto"/>
        </w:rPr>
      </w:pPr>
      <w:r>
        <w:rPr>
          <w:rFonts w:ascii="Arial" w:cs="Arial" w:eastAsia="Arial" w:hAnsi="Arial"/>
          <w:sz w:val="14"/>
          <w:szCs w:val="14"/>
          <w:color w:val="auto"/>
        </w:rPr>
        <w:t>calculations</w:t>
      </w:r>
      <w:r>
        <w:rPr>
          <w:rFonts w:ascii="Arial" w:cs="Arial" w:eastAsia="Arial" w:hAnsi="Arial"/>
          <w:sz w:val="9"/>
          <w:szCs w:val="9"/>
          <w:color w:val="auto"/>
        </w:rPr>
        <w:t>(g)(h)</w:t>
      </w:r>
    </w:p>
    <w:p>
      <w:pPr>
        <w:spacing w:after="0" w:line="169" w:lineRule="exact"/>
        <w:rPr>
          <w:sz w:val="20"/>
          <w:szCs w:val="20"/>
          <w:color w:val="auto"/>
        </w:rPr>
      </w:pPr>
    </w:p>
    <w:p>
      <w:pPr>
        <w:ind w:left="2040"/>
        <w:spacing w:after="0"/>
        <w:rPr>
          <w:sz w:val="20"/>
          <w:szCs w:val="20"/>
          <w:color w:val="auto"/>
        </w:rPr>
      </w:pPr>
      <w:r>
        <w:rPr>
          <w:rFonts w:ascii="Arial" w:cs="Arial" w:eastAsia="Arial" w:hAnsi="Arial"/>
          <w:sz w:val="17"/>
          <w:szCs w:val="17"/>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581"/>
        <w:spacing w:after="0"/>
        <w:rPr>
          <w:sz w:val="20"/>
          <w:szCs w:val="20"/>
          <w:color w:val="auto"/>
        </w:rPr>
      </w:pPr>
      <w:r>
        <w:rPr>
          <w:rFonts w:ascii="Arial" w:cs="Arial" w:eastAsia="Arial" w:hAnsi="Arial"/>
          <w:sz w:val="14"/>
          <w:szCs w:val="14"/>
          <w:b w:val="1"/>
          <w:bCs w:val="1"/>
          <w:color w:val="auto"/>
        </w:rPr>
        <w:t>Pro Forma</w:t>
      </w:r>
    </w:p>
    <w:p>
      <w:pPr>
        <w:spacing w:after="0" w:line="4" w:lineRule="exact"/>
        <w:rPr>
          <w:sz w:val="20"/>
          <w:szCs w:val="20"/>
          <w:color w:val="auto"/>
        </w:rPr>
      </w:pPr>
    </w:p>
    <w:p>
      <w:pPr>
        <w:ind w:left="601"/>
        <w:spacing w:after="0"/>
        <w:rPr>
          <w:sz w:val="20"/>
          <w:szCs w:val="20"/>
          <w:color w:val="auto"/>
        </w:rPr>
      </w:pPr>
      <w:r>
        <w:rPr>
          <w:rFonts w:ascii="Arial" w:cs="Arial" w:eastAsia="Arial" w:hAnsi="Arial"/>
          <w:sz w:val="14"/>
          <w:szCs w:val="14"/>
          <w:b w:val="1"/>
          <w:bCs w:val="1"/>
          <w:color w:val="auto"/>
        </w:rPr>
        <w:t>Combined</w:t>
      </w:r>
    </w:p>
    <w:p>
      <w:pPr>
        <w:spacing w:after="0" w:line="43" w:lineRule="exact"/>
        <w:rPr>
          <w:sz w:val="20"/>
          <w:szCs w:val="20"/>
          <w:color w:val="auto"/>
        </w:rPr>
      </w:pPr>
    </w:p>
    <w:p>
      <w:pPr>
        <w:ind w:left="1061" w:hanging="710"/>
        <w:spacing w:after="0"/>
        <w:tabs>
          <w:tab w:leader="none" w:pos="1061" w:val="left"/>
        </w:tabs>
        <w:numPr>
          <w:ilvl w:val="1"/>
          <w:numId w:val="71"/>
        </w:numPr>
        <w:rPr>
          <w:rFonts w:ascii="Arial" w:cs="Arial" w:eastAsia="Arial" w:hAnsi="Arial"/>
          <w:sz w:val="14"/>
          <w:szCs w:val="14"/>
          <w:color w:val="auto"/>
        </w:rPr>
      </w:pPr>
      <w:r>
        <w:rPr>
          <w:rFonts w:ascii="Arial" w:cs="Arial" w:eastAsia="Arial" w:hAnsi="Arial"/>
          <w:sz w:val="14"/>
          <w:szCs w:val="14"/>
          <w:color w:val="auto"/>
        </w:rPr>
        <w:t>334.6</w:t>
      </w:r>
    </w:p>
    <w:p>
      <w:pPr>
        <w:spacing w:after="0" w:line="200" w:lineRule="exact"/>
        <w:rPr>
          <w:rFonts w:ascii="Arial" w:cs="Arial" w:eastAsia="Arial" w:hAnsi="Arial"/>
          <w:sz w:val="14"/>
          <w:szCs w:val="14"/>
          <w:color w:val="auto"/>
        </w:rPr>
      </w:pPr>
    </w:p>
    <w:p>
      <w:pPr>
        <w:spacing w:after="0" w:line="314" w:lineRule="exact"/>
        <w:rPr>
          <w:rFonts w:ascii="Arial" w:cs="Arial" w:eastAsia="Arial" w:hAnsi="Arial"/>
          <w:sz w:val="14"/>
          <w:szCs w:val="14"/>
          <w:color w:val="auto"/>
        </w:rPr>
      </w:pPr>
    </w:p>
    <w:p>
      <w:pPr>
        <w:ind w:left="1121" w:hanging="1121"/>
        <w:spacing w:after="0"/>
        <w:tabs>
          <w:tab w:leader="none" w:pos="1121" w:val="left"/>
        </w:tabs>
        <w:numPr>
          <w:ilvl w:val="0"/>
          <w:numId w:val="71"/>
        </w:numPr>
        <w:rPr>
          <w:rFonts w:ascii="Arial" w:cs="Arial" w:eastAsia="Arial" w:hAnsi="Arial"/>
          <w:sz w:val="11"/>
          <w:szCs w:val="11"/>
          <w:color w:val="auto"/>
        </w:rPr>
      </w:pPr>
      <w:r>
        <w:rPr>
          <w:rFonts w:ascii="Arial" w:cs="Arial" w:eastAsia="Arial" w:hAnsi="Arial"/>
          <w:sz w:val="14"/>
          <w:szCs w:val="14"/>
          <w:color w:val="auto"/>
        </w:rPr>
        <w:t>53.7</w:t>
      </w:r>
    </w:p>
    <w:p>
      <w:pPr>
        <w:spacing w:after="0" w:line="41"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4"/>
          <w:szCs w:val="14"/>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20955</wp:posOffset>
            </wp:positionV>
            <wp:extent cx="7543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35" w:lineRule="exact"/>
        <w:rPr>
          <w:sz w:val="20"/>
          <w:szCs w:val="20"/>
          <w:color w:val="auto"/>
        </w:rPr>
      </w:pPr>
    </w:p>
    <w:p>
      <w:pPr>
        <w:ind w:left="1061"/>
        <w:spacing w:after="0"/>
        <w:rPr>
          <w:sz w:val="20"/>
          <w:szCs w:val="20"/>
          <w:color w:val="auto"/>
        </w:rPr>
      </w:pPr>
      <w:r>
        <w:rPr>
          <w:rFonts w:ascii="Arial" w:cs="Arial" w:eastAsia="Arial" w:hAnsi="Arial"/>
          <w:sz w:val="14"/>
          <w:szCs w:val="14"/>
          <w:color w:val="auto"/>
        </w:rPr>
        <w:t>254.1</w:t>
      </w:r>
    </w:p>
    <w:p>
      <w:pPr>
        <w:spacing w:after="0" w:line="200" w:lineRule="exact"/>
        <w:rPr>
          <w:sz w:val="20"/>
          <w:szCs w:val="20"/>
          <w:color w:val="auto"/>
        </w:rPr>
      </w:pPr>
    </w:p>
    <w:p>
      <w:pPr>
        <w:spacing w:after="0" w:line="314" w:lineRule="exact"/>
        <w:rPr>
          <w:sz w:val="20"/>
          <w:szCs w:val="20"/>
          <w:color w:val="auto"/>
        </w:rPr>
      </w:pPr>
    </w:p>
    <w:p>
      <w:pPr>
        <w:ind w:left="1061" w:hanging="1061"/>
        <w:spacing w:after="0"/>
        <w:tabs>
          <w:tab w:leader="none" w:pos="1061" w:val="left"/>
        </w:tabs>
        <w:numPr>
          <w:ilvl w:val="0"/>
          <w:numId w:val="72"/>
        </w:numPr>
        <w:rPr>
          <w:rFonts w:ascii="Arial" w:cs="Arial" w:eastAsia="Arial" w:hAnsi="Arial"/>
          <w:sz w:val="11"/>
          <w:szCs w:val="11"/>
          <w:color w:val="auto"/>
        </w:rPr>
      </w:pPr>
      <w:r>
        <w:rPr>
          <w:rFonts w:ascii="Arial" w:cs="Arial" w:eastAsia="Arial" w:hAnsi="Arial"/>
          <w:sz w:val="14"/>
          <w:szCs w:val="14"/>
          <w:color w:val="auto"/>
        </w:rPr>
        <w:t>112.9</w:t>
      </w:r>
    </w:p>
    <w:p>
      <w:pPr>
        <w:spacing w:after="0" w:line="42" w:lineRule="exact"/>
        <w:rPr>
          <w:sz w:val="20"/>
          <w:szCs w:val="20"/>
          <w:color w:val="auto"/>
        </w:rPr>
      </w:pPr>
    </w:p>
    <w:p>
      <w:pPr>
        <w:ind w:left="1121" w:hanging="1121"/>
        <w:spacing w:after="0"/>
        <w:tabs>
          <w:tab w:leader="none" w:pos="1121" w:val="left"/>
        </w:tabs>
        <w:numPr>
          <w:ilvl w:val="0"/>
          <w:numId w:val="73"/>
        </w:numPr>
        <w:rPr>
          <w:rFonts w:ascii="Arial" w:cs="Arial" w:eastAsia="Arial" w:hAnsi="Arial"/>
          <w:sz w:val="11"/>
          <w:szCs w:val="11"/>
          <w:color w:val="auto"/>
        </w:rPr>
      </w:pPr>
      <w:r>
        <w:rPr>
          <w:rFonts w:ascii="Arial" w:cs="Arial" w:eastAsia="Arial" w:hAnsi="Arial"/>
          <w:sz w:val="14"/>
          <w:szCs w:val="14"/>
          <w:color w:val="auto"/>
        </w:rPr>
        <w:t>30.9</w:t>
      </w:r>
    </w:p>
    <w:p>
      <w:pPr>
        <w:spacing w:after="0" w:line="42" w:lineRule="exact"/>
        <w:rPr>
          <w:sz w:val="20"/>
          <w:szCs w:val="20"/>
          <w:color w:val="auto"/>
        </w:rPr>
      </w:pPr>
    </w:p>
    <w:p>
      <w:pPr>
        <w:ind w:left="1121" w:hanging="1121"/>
        <w:spacing w:after="0"/>
        <w:tabs>
          <w:tab w:leader="none" w:pos="1121" w:val="left"/>
        </w:tabs>
        <w:numPr>
          <w:ilvl w:val="0"/>
          <w:numId w:val="74"/>
        </w:numPr>
        <w:rPr>
          <w:rFonts w:ascii="Arial" w:cs="Arial" w:eastAsia="Arial" w:hAnsi="Arial"/>
          <w:sz w:val="11"/>
          <w:szCs w:val="11"/>
          <w:color w:val="auto"/>
        </w:rPr>
      </w:pPr>
      <w:r>
        <w:rPr>
          <w:rFonts w:ascii="Arial" w:cs="Arial" w:eastAsia="Arial" w:hAnsi="Arial"/>
          <w:sz w:val="14"/>
          <w:szCs w:val="14"/>
          <w:color w:val="auto"/>
        </w:rPr>
        <w:t>41.3</w:t>
      </w:r>
    </w:p>
    <w:p>
      <w:pPr>
        <w:spacing w:after="0" w:line="163"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4"/>
          <w:szCs w:val="14"/>
          <w:color w:val="auto"/>
        </w:rPr>
        <w:t>18.6</w:t>
      </w:r>
    </w:p>
    <w:p>
      <w:pPr>
        <w:spacing w:after="0" w:line="163"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20955</wp:posOffset>
            </wp:positionV>
            <wp:extent cx="7543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35" w:lineRule="exact"/>
        <w:rPr>
          <w:sz w:val="20"/>
          <w:szCs w:val="20"/>
          <w:color w:val="auto"/>
        </w:rPr>
      </w:pPr>
    </w:p>
    <w:p>
      <w:pPr>
        <w:ind w:left="1121"/>
        <w:spacing w:after="0"/>
        <w:rPr>
          <w:sz w:val="20"/>
          <w:szCs w:val="20"/>
          <w:color w:val="auto"/>
        </w:rPr>
      </w:pPr>
      <w:r>
        <w:rPr>
          <w:rFonts w:ascii="Arial" w:cs="Arial" w:eastAsia="Arial" w:hAnsi="Arial"/>
          <w:sz w:val="14"/>
          <w:szCs w:val="14"/>
          <w:color w:val="auto"/>
        </w:rPr>
        <w:t>36.0</w:t>
      </w:r>
    </w:p>
    <w:p>
      <w:pPr>
        <w:ind w:left="1121" w:hanging="1121"/>
        <w:spacing w:after="0" w:line="203" w:lineRule="auto"/>
        <w:tabs>
          <w:tab w:leader="none" w:pos="1121" w:val="left"/>
        </w:tabs>
        <w:numPr>
          <w:ilvl w:val="0"/>
          <w:numId w:val="75"/>
        </w:numPr>
        <w:rPr>
          <w:rFonts w:ascii="Arial" w:cs="Arial" w:eastAsia="Arial" w:hAnsi="Arial"/>
          <w:sz w:val="23"/>
          <w:szCs w:val="23"/>
          <w:color w:val="auto"/>
          <w:vertAlign w:val="superscript"/>
        </w:rPr>
      </w:pPr>
      <w:r>
        <w:rPr>
          <w:rFonts w:ascii="Arial" w:cs="Arial" w:eastAsia="Arial" w:hAnsi="Arial"/>
          <w:sz w:val="14"/>
          <w:szCs w:val="14"/>
          <w:color w:val="auto"/>
        </w:rPr>
        <w:t>72.1</w:t>
      </w:r>
    </w:p>
    <w:p>
      <w:pPr>
        <w:spacing w:after="0" w:line="32" w:lineRule="exact"/>
        <w:rPr>
          <w:rFonts w:ascii="Arial" w:cs="Arial" w:eastAsia="Arial" w:hAnsi="Arial"/>
          <w:sz w:val="23"/>
          <w:szCs w:val="23"/>
          <w:color w:val="auto"/>
          <w:vertAlign w:val="superscript"/>
        </w:rPr>
      </w:pPr>
    </w:p>
    <w:p>
      <w:pPr>
        <w:ind w:left="1121"/>
        <w:spacing w:after="0"/>
        <w:rPr>
          <w:rFonts w:ascii="Arial" w:cs="Arial" w:eastAsia="Arial" w:hAnsi="Arial"/>
          <w:sz w:val="23"/>
          <w:szCs w:val="23"/>
          <w:color w:val="auto"/>
          <w:vertAlign w:val="superscript"/>
        </w:rPr>
      </w:pPr>
      <w:r>
        <w:rPr>
          <w:rFonts w:ascii="Arial" w:cs="Arial" w:eastAsia="Arial" w:hAnsi="Arial"/>
          <w:sz w:val="14"/>
          <w:szCs w:val="14"/>
          <w:color w:val="auto"/>
        </w:rPr>
        <w:t>18.2</w:t>
      </w:r>
    </w:p>
    <w:p>
      <w:pPr>
        <w:spacing w:after="0" w:line="29" w:lineRule="exact"/>
        <w:rPr>
          <w:rFonts w:ascii="Arial" w:cs="Arial" w:eastAsia="Arial" w:hAnsi="Arial"/>
          <w:sz w:val="23"/>
          <w:szCs w:val="23"/>
          <w:color w:val="auto"/>
          <w:vertAlign w:val="superscript"/>
        </w:rPr>
      </w:pPr>
    </w:p>
    <w:p>
      <w:pPr>
        <w:ind w:left="1241"/>
        <w:spacing w:after="0"/>
        <w:rPr>
          <w:rFonts w:ascii="Arial" w:cs="Arial" w:eastAsia="Arial" w:hAnsi="Arial"/>
          <w:sz w:val="23"/>
          <w:szCs w:val="23"/>
          <w:color w:val="auto"/>
          <w:vertAlign w:val="superscript"/>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20955</wp:posOffset>
            </wp:positionV>
            <wp:extent cx="7543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35" w:lineRule="exact"/>
        <w:rPr>
          <w:sz w:val="20"/>
          <w:szCs w:val="20"/>
          <w:color w:val="auto"/>
        </w:rPr>
      </w:pPr>
    </w:p>
    <w:p>
      <w:pPr>
        <w:ind w:left="1061"/>
        <w:spacing w:after="0"/>
        <w:rPr>
          <w:sz w:val="20"/>
          <w:szCs w:val="20"/>
          <w:color w:val="auto"/>
        </w:rPr>
      </w:pPr>
      <w:r>
        <w:rPr>
          <w:rFonts w:ascii="Arial" w:cs="Arial" w:eastAsia="Arial" w:hAnsi="Arial"/>
          <w:sz w:val="13"/>
          <w:szCs w:val="13"/>
          <w:color w:val="auto"/>
        </w:rPr>
        <w:t>(54.3)</w:t>
      </w:r>
    </w:p>
    <w:p>
      <w:pPr>
        <w:spacing w:after="0" w:line="17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20955</wp:posOffset>
            </wp:positionV>
            <wp:extent cx="7543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(50.9)</w:t>
      </w:r>
    </w:p>
    <w:p>
      <w:pPr>
        <w:spacing w:after="0" w:line="163" w:lineRule="exact"/>
        <w:rPr>
          <w:sz w:val="20"/>
          <w:szCs w:val="20"/>
          <w:color w:val="auto"/>
        </w:rPr>
      </w:pPr>
    </w:p>
    <w:p>
      <w:pPr>
        <w:ind w:left="1061" w:hanging="1061"/>
        <w:spacing w:after="0"/>
        <w:tabs>
          <w:tab w:leader="none" w:pos="1061" w:val="left"/>
        </w:tabs>
        <w:numPr>
          <w:ilvl w:val="0"/>
          <w:numId w:val="76"/>
        </w:numPr>
        <w:rPr>
          <w:rFonts w:ascii="Arial" w:cs="Arial" w:eastAsia="Arial" w:hAnsi="Arial"/>
          <w:sz w:val="11"/>
          <w:szCs w:val="11"/>
          <w:color w:val="auto"/>
        </w:rPr>
      </w:pPr>
      <w:r>
        <w:rPr>
          <w:rFonts w:ascii="Arial" w:cs="Arial" w:eastAsia="Arial" w:hAnsi="Arial"/>
          <w:sz w:val="13"/>
          <w:szCs w:val="13"/>
          <w:color w:val="auto"/>
        </w:rPr>
        <w:t>(31.3)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28575</wp:posOffset>
            </wp:positionV>
            <wp:extent cx="7543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28" w:lineRule="exact"/>
        <w:rPr>
          <w:sz w:val="20"/>
          <w:szCs w:val="20"/>
          <w:color w:val="auto"/>
        </w:rPr>
      </w:pPr>
    </w:p>
    <w:p>
      <w:pPr>
        <w:ind w:left="1061" w:hanging="710"/>
        <w:spacing w:after="0"/>
        <w:tabs>
          <w:tab w:leader="none" w:pos="1061" w:val="left"/>
        </w:tabs>
        <w:numPr>
          <w:ilvl w:val="0"/>
          <w:numId w:val="77"/>
        </w:numPr>
        <w:rPr>
          <w:rFonts w:ascii="Arial" w:cs="Arial" w:eastAsia="Arial" w:hAnsi="Arial"/>
          <w:sz w:val="13"/>
          <w:szCs w:val="13"/>
          <w:color w:val="auto"/>
        </w:rPr>
      </w:pPr>
      <w:r>
        <w:rPr>
          <w:rFonts w:ascii="Arial" w:cs="Arial" w:eastAsia="Arial" w:hAnsi="Arial"/>
          <w:sz w:val="13"/>
          <w:szCs w:val="13"/>
          <w:color w:val="auto"/>
        </w:rPr>
        <w:t>(19.6)</w:t>
      </w:r>
    </w:p>
    <w:p>
      <w:pPr>
        <w:spacing w:after="0" w:line="201" w:lineRule="exact"/>
        <w:rPr>
          <w:rFonts w:ascii="Arial" w:cs="Arial" w:eastAsia="Arial" w:hAnsi="Arial"/>
          <w:sz w:val="13"/>
          <w:szCs w:val="13"/>
          <w:color w:val="auto"/>
        </w:rPr>
      </w:pPr>
    </w:p>
    <w:p>
      <w:pPr>
        <w:ind w:left="1061" w:hanging="710"/>
        <w:spacing w:after="0"/>
        <w:tabs>
          <w:tab w:leader="none" w:pos="1061" w:val="left"/>
        </w:tabs>
        <w:numPr>
          <w:ilvl w:val="0"/>
          <w:numId w:val="77"/>
        </w:numPr>
        <w:rPr>
          <w:rFonts w:ascii="Arial" w:cs="Arial" w:eastAsia="Arial" w:hAnsi="Arial"/>
          <w:sz w:val="13"/>
          <w:szCs w:val="13"/>
          <w:color w:val="auto"/>
        </w:rPr>
      </w:pPr>
      <w:r>
        <w:rPr>
          <w:rFonts w:ascii="Arial" w:cs="Arial" w:eastAsia="Arial" w:hAnsi="Arial"/>
          <w:sz w:val="13"/>
          <w:szCs w:val="13"/>
          <w:color w:val="auto"/>
        </w:rPr>
        <w:t>(0.13)</w:t>
      </w:r>
    </w:p>
    <w:p>
      <w:pPr>
        <w:spacing w:after="0" w:line="174" w:lineRule="exact"/>
        <w:rPr>
          <w:rFonts w:ascii="Arial" w:cs="Arial" w:eastAsia="Arial" w:hAnsi="Arial"/>
          <w:sz w:val="13"/>
          <w:szCs w:val="13"/>
          <w:color w:val="auto"/>
        </w:rPr>
      </w:pPr>
    </w:p>
    <w:p>
      <w:pPr>
        <w:ind w:left="661"/>
        <w:spacing w:after="0"/>
        <w:rPr>
          <w:rFonts w:ascii="Arial" w:cs="Arial" w:eastAsia="Arial" w:hAnsi="Arial"/>
          <w:sz w:val="13"/>
          <w:szCs w:val="13"/>
          <w:color w:val="auto"/>
        </w:rPr>
      </w:pPr>
      <w:r>
        <w:rPr>
          <w:rFonts w:ascii="Arial" w:cs="Arial" w:eastAsia="Arial" w:hAnsi="Arial"/>
          <w:sz w:val="13"/>
          <w:szCs w:val="13"/>
          <w:color w:val="auto"/>
        </w:rPr>
        <w:t>150,160,371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-399415</wp:posOffset>
            </wp:positionV>
            <wp:extent cx="7543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ectPr>
          <w:pgSz w:w="11900" w:h="16838" w:orient="portrait"/>
          <w:cols w:equalWidth="0" w:num="2">
            <w:col w:w="9680" w:space="19"/>
            <w:col w:w="1421"/>
          </w:cols>
          <w:pgMar w:left="340" w:top="121" w:right="439" w:bottom="1440" w:gutter="0" w:footer="0" w:header="0"/>
          <w:type w:val="continuous"/>
        </w:sectPr>
      </w:pPr>
    </w:p>
    <w:bookmarkStart w:id="98" w:name="page99"/>
    <w:bookmarkEnd w:id="9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Pro Forma Adjustments</w:t>
            </w: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ZoomInfo OpCo</w:t>
            </w:r>
            <w:r>
              <w:rPr>
                <w:rFonts w:ascii="Arial" w:cs="Arial" w:eastAsia="Arial" w:hAnsi="Arial"/>
                <w:sz w:val="9"/>
                <w:szCs w:val="9"/>
                <w:b w:val="1"/>
                <w:bCs w:val="1"/>
                <w:color w:val="auto"/>
                <w:w w:val="97"/>
              </w:rPr>
              <w:t>(a)</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Reorganization</w:t>
            </w:r>
          </w:p>
        </w:tc>
        <w:tc>
          <w:tcPr>
            <w:tcW w:w="340" w:type="dxa"/>
            <w:vAlign w:val="bottom"/>
          </w:tcPr>
          <w:p>
            <w:pPr>
              <w:spacing w:after="0"/>
              <w:rPr>
                <w:sz w:val="13"/>
                <w:szCs w:val="13"/>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Offering Transactions</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Transactions</w:t>
            </w:r>
          </w:p>
        </w:tc>
        <w:tc>
          <w:tcPr>
            <w:tcW w:w="3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220"/>
              <w:spacing w:after="0"/>
              <w:rPr>
                <w:sz w:val="20"/>
                <w:szCs w:val="20"/>
                <w:color w:val="auto"/>
              </w:rPr>
            </w:pPr>
            <w:r>
              <w:rPr>
                <w:rFonts w:ascii="Arial" w:cs="Arial" w:eastAsia="Arial" w:hAnsi="Arial"/>
                <w:sz w:val="14"/>
                <w:szCs w:val="14"/>
                <w:color w:val="auto"/>
              </w:rPr>
              <w:t>Cost of service</w:t>
            </w:r>
          </w:p>
        </w:tc>
        <w:tc>
          <w:tcPr>
            <w:tcW w:w="1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580" w:type="dxa"/>
            <w:vAlign w:val="bottom"/>
            <w:gridSpan w:val="2"/>
          </w:tcPr>
          <w:p>
            <w:pPr>
              <w:ind w:left="20"/>
              <w:spacing w:after="0"/>
              <w:rPr>
                <w:sz w:val="20"/>
                <w:szCs w:val="20"/>
                <w:color w:val="auto"/>
              </w:rPr>
            </w:pPr>
            <w:r>
              <w:rPr>
                <w:rFonts w:ascii="Arial" w:cs="Arial" w:eastAsia="Arial" w:hAnsi="Arial"/>
                <w:sz w:val="11"/>
                <w:szCs w:val="11"/>
                <w:color w:val="auto"/>
              </w:rPr>
              <w:t>(m)</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acquired technology</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Sales and marketing</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97"/>
        </w:trPr>
        <w:tc>
          <w:tcPr>
            <w:tcW w:w="470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580" w:type="dxa"/>
            <w:vAlign w:val="bottom"/>
            <w:gridSpan w:val="2"/>
          </w:tcPr>
          <w:p>
            <w:pPr>
              <w:ind w:left="20"/>
              <w:spacing w:after="0"/>
              <w:rPr>
                <w:sz w:val="20"/>
                <w:szCs w:val="20"/>
                <w:color w:val="auto"/>
              </w:rPr>
            </w:pPr>
            <w:r>
              <w:rPr>
                <w:rFonts w:ascii="Arial" w:cs="Arial" w:eastAsia="Arial" w:hAnsi="Arial"/>
                <w:sz w:val="11"/>
                <w:szCs w:val="11"/>
                <w:color w:val="auto"/>
              </w:rPr>
              <w:t>(m)</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and administrative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97"/>
        </w:trPr>
        <w:tc>
          <w:tcPr>
            <w:tcW w:w="4700" w:type="dxa"/>
            <w:vAlign w:val="bottom"/>
          </w:tcPr>
          <w:p>
            <w:pPr>
              <w:ind w:left="220"/>
              <w:spacing w:after="0"/>
              <w:rPr>
                <w:sz w:val="20"/>
                <w:szCs w:val="20"/>
                <w:color w:val="auto"/>
              </w:rPr>
            </w:pPr>
            <w:r>
              <w:rPr>
                <w:rFonts w:ascii="Arial" w:cs="Arial" w:eastAsia="Arial" w:hAnsi="Arial"/>
                <w:sz w:val="14"/>
                <w:szCs w:val="14"/>
                <w:color w:val="auto"/>
              </w:rPr>
              <w:t>Amortization of other acquired intangibles</w:t>
            </w:r>
          </w:p>
        </w:tc>
        <w:tc>
          <w:tcPr>
            <w:tcW w:w="1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transaction-related expenses</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6"/>
        </w:trPr>
        <w:tc>
          <w:tcPr>
            <w:tcW w:w="4700" w:type="dxa"/>
            <w:vAlign w:val="bottom"/>
          </w:tcPr>
          <w:p>
            <w:pPr>
              <w:ind w:left="220"/>
              <w:spacing w:after="0"/>
              <w:rPr>
                <w:sz w:val="20"/>
                <w:szCs w:val="20"/>
                <w:color w:val="auto"/>
              </w:rPr>
            </w:pPr>
            <w:r>
              <w:rPr>
                <w:rFonts w:ascii="Arial" w:cs="Arial" w:eastAsia="Arial" w:hAnsi="Arial"/>
                <w:sz w:val="14"/>
                <w:szCs w:val="14"/>
                <w:color w:val="auto"/>
              </w:rPr>
              <w:t>Loss on debt extinguishment</w:t>
            </w:r>
          </w:p>
        </w:tc>
        <w:tc>
          <w:tcPr>
            <w:tcW w:w="1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net</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2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(Benefit from) income taxes</w:t>
            </w:r>
            <w:r>
              <w:rPr>
                <w:rFonts w:ascii="Arial" w:cs="Arial" w:eastAsia="Arial" w:hAnsi="Arial"/>
                <w:sz w:val="9"/>
                <w:szCs w:val="9"/>
                <w:color w:val="auto"/>
              </w:rPr>
              <w:t>(d)</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3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2"/>
        </w:trPr>
        <w:tc>
          <w:tcPr>
            <w:tcW w:w="47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Less: Net income (loss) attributable to the non-controlling interest</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7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9"/>
        </w:trPr>
        <w:tc>
          <w:tcPr>
            <w:tcW w:w="4700" w:type="dxa"/>
            <w:vAlign w:val="bottom"/>
          </w:tcPr>
          <w:p>
            <w:pPr>
              <w:ind w:left="20"/>
              <w:spacing w:after="0"/>
              <w:rPr>
                <w:sz w:val="20"/>
                <w:szCs w:val="20"/>
                <w:color w:val="auto"/>
              </w:rPr>
            </w:pPr>
            <w:r>
              <w:rPr>
                <w:rFonts w:ascii="Arial" w:cs="Arial" w:eastAsia="Arial" w:hAnsi="Arial"/>
                <w:sz w:val="14"/>
                <w:szCs w:val="14"/>
                <w:color w:val="auto"/>
              </w:rPr>
              <w:t>Net income attributable to ZoomInfo Technologies Inc.</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112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5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rPr>
              <w:t>Net income (loss) per Class A and Class C shares–basic and diluted</w:t>
            </w:r>
            <w:r>
              <w:rPr>
                <w:rFonts w:ascii="Arial" w:cs="Arial" w:eastAsia="Arial" w:hAnsi="Arial"/>
                <w:sz w:val="9"/>
                <w:szCs w:val="9"/>
                <w:color w:val="auto"/>
              </w:rPr>
              <w:t>(g)(h)</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used in basic per share calculations</w:t>
            </w:r>
            <w:r>
              <w:rPr>
                <w:rFonts w:ascii="Arial" w:cs="Arial" w:eastAsia="Arial" w:hAnsi="Arial"/>
                <w:sz w:val="9"/>
                <w:szCs w:val="9"/>
                <w:color w:val="auto"/>
              </w:rPr>
              <w:t>(g)(h)</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150,160,371</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21" w:right="339" w:bottom="1440" w:gutter="0" w:footer="0" w:header="0"/>
        </w:sectPr>
      </w:pPr>
    </w:p>
    <w:bookmarkStart w:id="99" w:name="page100"/>
    <w:bookmarkEnd w:id="9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CONSOLIDATED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millions, except share amounts)</w:t>
      </w:r>
    </w:p>
    <w:p>
      <w:pPr>
        <w:sectPr>
          <w:pgSz w:w="11900" w:h="16838" w:orient="portrait"/>
          <w:cols w:equalWidth="0" w:num="1">
            <w:col w:w="11200"/>
          </w:cols>
          <w:pgMar w:left="340" w:top="121" w:right="35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Pro Forma Adjustments</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ZoomInfo</w:t>
            </w:r>
          </w:p>
        </w:tc>
        <w:tc>
          <w:tcPr>
            <w:tcW w:w="160" w:type="dxa"/>
            <w:vAlign w:val="bottom"/>
          </w:tcPr>
          <w:p>
            <w:pPr>
              <w:spacing w:after="0"/>
              <w:rPr>
                <w:sz w:val="14"/>
                <w:szCs w:val="14"/>
                <w:color w:val="auto"/>
              </w:rPr>
            </w:pPr>
          </w:p>
        </w:tc>
        <w:tc>
          <w:tcPr>
            <w:tcW w:w="124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Reorganization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OpCo</w:t>
            </w:r>
            <w:r>
              <w:rPr>
                <w:rFonts w:ascii="Arial" w:cs="Arial" w:eastAsia="Arial" w:hAnsi="Arial"/>
                <w:sz w:val="9"/>
                <w:szCs w:val="9"/>
                <w:b w:val="1"/>
                <w:bCs w:val="1"/>
                <w:color w:val="auto"/>
                <w:w w:val="93"/>
              </w:rPr>
              <w:t>(a)</w:t>
            </w:r>
          </w:p>
        </w:tc>
        <w:tc>
          <w:tcPr>
            <w:tcW w:w="160" w:type="dxa"/>
            <w:vAlign w:val="bottom"/>
          </w:tcPr>
          <w:p>
            <w:pPr>
              <w:spacing w:after="0"/>
              <w:rPr>
                <w:sz w:val="16"/>
                <w:szCs w:val="16"/>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Transactions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Transactions</w:t>
            </w:r>
          </w:p>
        </w:tc>
        <w:tc>
          <w:tcPr>
            <w:tcW w:w="0" w:type="dxa"/>
            <w:vAlign w:val="bottom"/>
          </w:tcPr>
          <w:p>
            <w:pPr>
              <w:spacing w:after="0"/>
              <w:rPr>
                <w:sz w:val="1"/>
                <w:szCs w:val="1"/>
                <w:color w:val="auto"/>
              </w:rPr>
            </w:pPr>
          </w:p>
        </w:tc>
      </w:tr>
      <w:tr>
        <w:trPr>
          <w:trHeight w:val="227"/>
        </w:trPr>
        <w:tc>
          <w:tcPr>
            <w:tcW w:w="5000" w:type="dxa"/>
            <w:vAlign w:val="bottom"/>
          </w:tcPr>
          <w:p>
            <w:pPr>
              <w:ind w:left="230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Deferred costs</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Income tax receivable</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000" w:type="dxa"/>
            <w:vAlign w:val="bottom"/>
          </w:tcPr>
          <w:p>
            <w:pPr>
              <w:ind w:left="200"/>
              <w:spacing w:after="0"/>
              <w:rPr>
                <w:sz w:val="20"/>
                <w:szCs w:val="20"/>
                <w:color w:val="auto"/>
              </w:rPr>
            </w:pPr>
            <w:r>
              <w:rPr>
                <w:rFonts w:ascii="Arial" w:cs="Arial" w:eastAsia="Arial" w:hAnsi="Arial"/>
                <w:sz w:val="14"/>
                <w:szCs w:val="14"/>
                <w:color w:val="auto"/>
              </w:rPr>
              <w:t>Related party receivable</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00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172.8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265.6</w:t>
            </w:r>
          </w:p>
        </w:tc>
        <w:tc>
          <w:tcPr>
            <w:tcW w:w="0" w:type="dxa"/>
            <w:vAlign w:val="bottom"/>
          </w:tcPr>
          <w:p>
            <w:pPr>
              <w:spacing w:after="0"/>
              <w:rPr>
                <w:sz w:val="1"/>
                <w:szCs w:val="1"/>
                <w:color w:val="auto"/>
              </w:rPr>
            </w:pPr>
          </w:p>
        </w:tc>
      </w:tr>
      <w:tr>
        <w:trPr>
          <w:trHeight w:val="500"/>
        </w:trPr>
        <w:tc>
          <w:tcPr>
            <w:tcW w:w="50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color w:val="auto"/>
              </w:rPr>
              <w:t>Operating lease right-of-use assets, net</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360.4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966.8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00" w:type="dxa"/>
            <w:vAlign w:val="bottom"/>
          </w:tcPr>
          <w:p>
            <w:pPr>
              <w:ind w:left="200"/>
              <w:spacing w:after="0"/>
              <w:rPr>
                <w:sz w:val="20"/>
                <w:szCs w:val="20"/>
                <w:color w:val="auto"/>
              </w:rPr>
            </w:pPr>
            <w:r>
              <w:rPr>
                <w:rFonts w:ascii="Arial" w:cs="Arial" w:eastAsia="Arial" w:hAnsi="Arial"/>
                <w:sz w:val="14"/>
                <w:szCs w:val="14"/>
                <w:color w:val="auto"/>
              </w:rPr>
              <w:t>Deferred tax assets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276"/>
        </w:trPr>
        <w:tc>
          <w:tcPr>
            <w:tcW w:w="5000" w:type="dxa"/>
            <w:vAlign w:val="bottom"/>
          </w:tcPr>
          <w:p>
            <w:pPr>
              <w:ind w:left="200"/>
              <w:spacing w:after="0"/>
              <w:rPr>
                <w:sz w:val="20"/>
                <w:szCs w:val="20"/>
                <w:color w:val="auto"/>
              </w:rPr>
            </w:pPr>
            <w:r>
              <w:rPr>
                <w:rFonts w:ascii="Arial" w:cs="Arial" w:eastAsia="Arial" w:hAnsi="Arial"/>
                <w:sz w:val="14"/>
                <w:szCs w:val="14"/>
                <w:color w:val="auto"/>
              </w:rPr>
              <w:t>Deferred costs, net of current portion</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00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1,577.9</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460.3</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Series A Preferred Units,</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6"/>
        </w:trPr>
        <w:tc>
          <w:tcPr>
            <w:tcW w:w="5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and Equity</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Unearned revenue, current portion</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172.2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Related party payable</w:t>
            </w:r>
          </w:p>
        </w:tc>
        <w:tc>
          <w:tcPr>
            <w:tcW w:w="160" w:type="dxa"/>
            <w:vAlign w:val="bottom"/>
          </w:tcPr>
          <w:p>
            <w:pPr>
              <w:spacing w:after="0"/>
              <w:rPr>
                <w:sz w:val="23"/>
                <w:szCs w:val="2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4"/>
                <w:szCs w:val="14"/>
                <w:color w:val="auto"/>
              </w:rPr>
              <w:t>Current portion of lease liabilities</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000" w:type="dxa"/>
            <w:vAlign w:val="bottom"/>
          </w:tcPr>
          <w:p>
            <w:pPr>
              <w:ind w:left="200"/>
              <w:spacing w:after="0"/>
              <w:rPr>
                <w:sz w:val="20"/>
                <w:szCs w:val="20"/>
                <w:color w:val="auto"/>
              </w:rPr>
            </w:pPr>
            <w:r>
              <w:rPr>
                <w:rFonts w:ascii="Arial" w:cs="Arial" w:eastAsia="Arial" w:hAnsi="Arial"/>
                <w:sz w:val="14"/>
                <w:szCs w:val="14"/>
                <w:color w:val="auto"/>
              </w:rPr>
              <w:t>Current portion of long-term debt</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00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238.5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406"/>
        </w:trPr>
        <w:tc>
          <w:tcPr>
            <w:tcW w:w="5000" w:type="dxa"/>
            <w:vAlign w:val="bottom"/>
          </w:tcPr>
          <w:p>
            <w:pPr>
              <w:spacing w:after="0"/>
              <w:rPr>
                <w:sz w:val="20"/>
                <w:szCs w:val="20"/>
                <w:color w:val="auto"/>
              </w:rPr>
            </w:pPr>
            <w:r>
              <w:rPr>
                <w:rFonts w:ascii="Arial" w:cs="Arial" w:eastAsia="Arial" w:hAnsi="Arial"/>
                <w:sz w:val="14"/>
                <w:szCs w:val="14"/>
                <w:color w:val="auto"/>
              </w:rPr>
              <w:t>Unearned revenue, net of current portion</w:t>
            </w:r>
          </w:p>
        </w:tc>
        <w:tc>
          <w:tcPr>
            <w:tcW w:w="16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color w:val="auto"/>
              </w:rPr>
              <w:t>Operating lease liabilities, net of current portion</w:t>
            </w:r>
          </w:p>
        </w:tc>
        <w:tc>
          <w:tcPr>
            <w:tcW w:w="1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4"/>
                <w:szCs w:val="14"/>
                <w:color w:val="auto"/>
              </w:rPr>
              <w:t>Long-term debt, net of current portion</w:t>
            </w:r>
          </w:p>
        </w:tc>
        <w:tc>
          <w:tcPr>
            <w:tcW w:w="1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1,230.1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(397.3)</w:t>
            </w:r>
          </w:p>
        </w:tc>
        <w:tc>
          <w:tcPr>
            <w:tcW w:w="0" w:type="dxa"/>
            <w:vAlign w:val="bottom"/>
          </w:tcPr>
          <w:p>
            <w:pPr>
              <w:spacing w:after="0"/>
              <w:rPr>
                <w:sz w:val="1"/>
                <w:szCs w:val="1"/>
                <w:color w:val="auto"/>
              </w:rPr>
            </w:pPr>
          </w:p>
        </w:tc>
      </w:tr>
      <w:tr>
        <w:trPr>
          <w:trHeight w:val="202"/>
        </w:trPr>
        <w:tc>
          <w:tcPr>
            <w:tcW w:w="500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16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5"/>
              <w:spacing w:after="0"/>
              <w:rPr>
                <w:sz w:val="20"/>
                <w:szCs w:val="20"/>
                <w:color w:val="auto"/>
              </w:rPr>
            </w:pPr>
            <w:r>
              <w:rPr>
                <w:rFonts w:ascii="Arial" w:cs="Arial" w:eastAsia="Arial" w:hAnsi="Arial"/>
                <w:sz w:val="14"/>
                <w:szCs w:val="14"/>
                <w:color w:val="auto"/>
              </w:rPr>
              <w:t>(69.7)</w:t>
            </w:r>
          </w:p>
        </w:tc>
        <w:tc>
          <w:tcPr>
            <w:tcW w:w="440" w:type="dxa"/>
            <w:vAlign w:val="bottom"/>
          </w:tcPr>
          <w:p>
            <w:pPr>
              <w:ind w:left="20"/>
              <w:spacing w:after="0"/>
              <w:rPr>
                <w:sz w:val="20"/>
                <w:szCs w:val="20"/>
                <w:color w:val="auto"/>
              </w:rPr>
            </w:pPr>
            <w:r>
              <w:rPr>
                <w:rFonts w:ascii="Arial" w:cs="Arial" w:eastAsia="Arial" w:hAnsi="Arial"/>
                <w:sz w:val="12"/>
                <w:szCs w:val="12"/>
                <w:color w:val="auto"/>
              </w:rPr>
              <w:t>(i)</w:t>
            </w:r>
          </w:p>
        </w:tc>
        <w:tc>
          <w:tcPr>
            <w:tcW w:w="14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4"/>
                <w:szCs w:val="14"/>
                <w:color w:val="auto"/>
              </w:rPr>
              <w:t>Liabilities under the tax receivable agreements</w:t>
            </w:r>
          </w:p>
        </w:tc>
        <w:tc>
          <w:tcPr>
            <w:tcW w:w="1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40" w:type="dxa"/>
            <w:vAlign w:val="bottom"/>
          </w:tcPr>
          <w:p>
            <w:pPr>
              <w:jc w:val="right"/>
              <w:ind w:right="55"/>
              <w:spacing w:after="0"/>
              <w:rPr>
                <w:sz w:val="20"/>
                <w:szCs w:val="20"/>
                <w:color w:val="auto"/>
              </w:rPr>
            </w:pPr>
            <w:r>
              <w:rPr>
                <w:rFonts w:ascii="Arial" w:cs="Arial" w:eastAsia="Arial" w:hAnsi="Arial"/>
                <w:sz w:val="14"/>
                <w:szCs w:val="14"/>
                <w:color w:val="auto"/>
              </w:rPr>
              <w:t>59.3</w:t>
            </w:r>
          </w:p>
        </w:tc>
        <w:tc>
          <w:tcPr>
            <w:tcW w:w="440" w:type="dxa"/>
            <w:vAlign w:val="bottom"/>
          </w:tcPr>
          <w:p>
            <w:pPr>
              <w:ind w:left="20"/>
              <w:spacing w:after="0"/>
              <w:rPr>
                <w:sz w:val="20"/>
                <w:szCs w:val="20"/>
                <w:color w:val="auto"/>
              </w:rPr>
            </w:pPr>
            <w:r>
              <w:rPr>
                <w:rFonts w:ascii="Arial" w:cs="Arial" w:eastAsia="Arial" w:hAnsi="Arial"/>
                <w:sz w:val="12"/>
                <w:szCs w:val="12"/>
                <w:color w:val="auto"/>
              </w:rPr>
              <w:t>(i)</w:t>
            </w:r>
          </w:p>
        </w:tc>
        <w:tc>
          <w:tcPr>
            <w:tcW w:w="14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00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1,597.8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(10.4)</w:t>
            </w:r>
          </w:p>
        </w:tc>
        <w:tc>
          <w:tcPr>
            <w:tcW w:w="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-6068695</wp:posOffset>
            </wp:positionV>
            <wp:extent cx="711517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-5811520</wp:posOffset>
            </wp:positionV>
            <wp:extent cx="711517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-5511165</wp:posOffset>
            </wp:positionV>
            <wp:extent cx="711517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-5168265</wp:posOffset>
            </wp:positionV>
            <wp:extent cx="711517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-4825365</wp:posOffset>
            </wp:positionV>
            <wp:extent cx="711517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-4474210</wp:posOffset>
            </wp:positionV>
            <wp:extent cx="7115175"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-4139565</wp:posOffset>
            </wp:positionV>
            <wp:extent cx="71151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-3839845</wp:posOffset>
            </wp:positionV>
            <wp:extent cx="71151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-3496945</wp:posOffset>
            </wp:positionV>
            <wp:extent cx="711517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-3196590</wp:posOffset>
            </wp:positionV>
            <wp:extent cx="7115175" cy="19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-2836545</wp:posOffset>
            </wp:positionV>
            <wp:extent cx="7115175"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2228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-2485390</wp:posOffset>
            </wp:positionV>
            <wp:extent cx="711517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-2142490</wp:posOffset>
            </wp:positionV>
            <wp:extent cx="71151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-1799590</wp:posOffset>
            </wp:positionV>
            <wp:extent cx="711517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-1456690</wp:posOffset>
            </wp:positionV>
            <wp:extent cx="711517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-1104900</wp:posOffset>
            </wp:positionV>
            <wp:extent cx="7115175"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028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-831215</wp:posOffset>
            </wp:positionV>
            <wp:extent cx="711517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-530860</wp:posOffset>
            </wp:positionV>
            <wp:extent cx="711517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-273685</wp:posOffset>
            </wp:positionV>
            <wp:extent cx="711517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-8255</wp:posOffset>
            </wp:positionV>
            <wp:extent cx="7115175"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636"/>
        </w:trPr>
        <w:tc>
          <w:tcPr>
            <w:tcW w:w="720" w:type="dxa"/>
            <w:vAlign w:val="bottom"/>
          </w:tcPr>
          <w:p>
            <w:pPr>
              <w:spacing w:after="0"/>
              <w:rPr>
                <w:sz w:val="20"/>
                <w:szCs w:val="20"/>
                <w:color w:val="auto"/>
              </w:rPr>
            </w:pPr>
            <w:r>
              <w:rPr>
                <w:rFonts w:ascii="Arial" w:cs="Arial" w:eastAsia="Arial" w:hAnsi="Arial"/>
                <w:sz w:val="12"/>
                <w:szCs w:val="12"/>
                <w:color w:val="auto"/>
              </w:rPr>
              <w:t>(k)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335.2</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168"/>
        </w:trPr>
        <w:tc>
          <w:tcPr>
            <w:tcW w:w="720" w:type="dxa"/>
            <w:vAlign w:val="bottom"/>
          </w:tcPr>
          <w:p>
            <w:pPr>
              <w:spacing w:after="0"/>
              <w:rPr>
                <w:sz w:val="20"/>
                <w:szCs w:val="20"/>
                <w:color w:val="auto"/>
              </w:rPr>
            </w:pPr>
            <w:r>
              <w:rPr>
                <w:rFonts w:ascii="Arial" w:cs="Arial" w:eastAsia="Arial" w:hAnsi="Arial"/>
                <w:sz w:val="12"/>
                <w:szCs w:val="12"/>
                <w:color w:val="auto"/>
              </w:rPr>
              <w:t>(l)</w:t>
            </w:r>
          </w:p>
        </w:tc>
        <w:tc>
          <w:tcPr>
            <w:tcW w:w="140" w:type="dxa"/>
            <w:vAlign w:val="bottom"/>
          </w:tcPr>
          <w:p>
            <w:pPr>
              <w:spacing w:after="0"/>
              <w:rPr>
                <w:sz w:val="14"/>
                <w:szCs w:val="14"/>
                <w:color w:val="auto"/>
              </w:rPr>
            </w:pP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03"/>
        </w:trPr>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6"/>
        </w:trPr>
        <w:tc>
          <w:tcPr>
            <w:tcW w:w="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438.4</w:t>
            </w:r>
          </w:p>
        </w:tc>
        <w:tc>
          <w:tcPr>
            <w:tcW w:w="0" w:type="dxa"/>
            <w:vAlign w:val="bottom"/>
          </w:tcPr>
          <w:p>
            <w:pPr>
              <w:spacing w:after="0"/>
              <w:rPr>
                <w:sz w:val="1"/>
                <w:szCs w:val="1"/>
                <w:color w:val="auto"/>
              </w:rPr>
            </w:pPr>
          </w:p>
        </w:tc>
      </w:tr>
      <w:tr>
        <w:trPr>
          <w:trHeight w:val="500"/>
        </w:trPr>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473"/>
        </w:trPr>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360.4</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966.8</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20"/>
                <w:szCs w:val="20"/>
                <w:color w:val="auto"/>
              </w:rPr>
            </w:pPr>
            <w:r>
              <w:rPr>
                <w:rFonts w:ascii="Arial" w:cs="Arial" w:eastAsia="Arial" w:hAnsi="Arial"/>
                <w:sz w:val="12"/>
                <w:szCs w:val="12"/>
                <w:color w:val="auto"/>
              </w:rPr>
              <w:t>(i)</w:t>
            </w:r>
          </w:p>
        </w:tc>
        <w:tc>
          <w:tcPr>
            <w:tcW w:w="14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276"/>
        </w:trPr>
        <w:tc>
          <w:tcPr>
            <w:tcW w:w="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2,038.2</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20" w:type="dxa"/>
            <w:vAlign w:val="bottom"/>
          </w:tcPr>
          <w:p>
            <w:pPr>
              <w:spacing w:after="0"/>
              <w:rPr>
                <w:sz w:val="20"/>
                <w:szCs w:val="20"/>
                <w:color w:val="auto"/>
              </w:rPr>
            </w:pPr>
            <w:r>
              <w:rPr>
                <w:rFonts w:ascii="Arial" w:cs="Arial" w:eastAsia="Arial" w:hAnsi="Arial"/>
                <w:sz w:val="12"/>
                <w:szCs w:val="12"/>
                <w:color w:val="auto"/>
              </w:rPr>
              <w:t>(k)</w:t>
            </w: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03"/>
        </w:trPr>
        <w:tc>
          <w:tcPr>
            <w:tcW w:w="7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720" w:type="dxa"/>
            <w:vAlign w:val="bottom"/>
          </w:tcPr>
          <w:p>
            <w:pPr>
              <w:spacing w:after="0"/>
              <w:rPr>
                <w:sz w:val="20"/>
                <w:szCs w:val="20"/>
                <w:color w:val="auto"/>
              </w:rPr>
            </w:pPr>
            <w:r>
              <w:rPr>
                <w:rFonts w:ascii="Arial" w:cs="Arial" w:eastAsia="Arial" w:hAnsi="Arial"/>
                <w:sz w:val="12"/>
                <w:szCs w:val="12"/>
                <w:color w:val="auto"/>
              </w:rPr>
              <w:t>(k)</w:t>
            </w: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03"/>
        </w:trPr>
        <w:tc>
          <w:tcPr>
            <w:tcW w:w="7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6"/>
        </w:trPr>
        <w:tc>
          <w:tcPr>
            <w:tcW w:w="720" w:type="dxa"/>
            <w:vAlign w:val="bottom"/>
          </w:tcPr>
          <w:p>
            <w:pPr>
              <w:spacing w:after="0"/>
              <w:rPr>
                <w:sz w:val="24"/>
                <w:szCs w:val="2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64"/>
        </w:trPr>
        <w:tc>
          <w:tcPr>
            <w:tcW w:w="720" w:type="dxa"/>
            <w:vAlign w:val="bottom"/>
          </w:tcPr>
          <w:p>
            <w:pPr>
              <w:spacing w:after="0"/>
              <w:rPr>
                <w:sz w:val="22"/>
                <w:szCs w:val="22"/>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406"/>
        </w:trPr>
        <w:tc>
          <w:tcPr>
            <w:tcW w:w="72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bl>
    <w:p>
      <w:pPr>
        <w:ind w:left="1460" w:hanging="1453"/>
        <w:spacing w:after="0" w:line="183" w:lineRule="auto"/>
        <w:tabs>
          <w:tab w:leader="none" w:pos="1460" w:val="left"/>
        </w:tabs>
        <w:numPr>
          <w:ilvl w:val="0"/>
          <w:numId w:val="78"/>
        </w:numPr>
        <w:rPr>
          <w:rFonts w:ascii="Arial" w:cs="Arial" w:eastAsia="Arial" w:hAnsi="Arial"/>
          <w:sz w:val="23"/>
          <w:szCs w:val="23"/>
          <w:color w:val="auto"/>
          <w:vertAlign w:val="superscript"/>
        </w:rPr>
      </w:pPr>
      <w:r>
        <w:rPr>
          <w:rFonts w:ascii="Arial" w:cs="Arial" w:eastAsia="Arial" w:hAnsi="Arial"/>
          <w:sz w:val="14"/>
          <w:szCs w:val="14"/>
          <w:color w:val="auto"/>
        </w:rPr>
        <w:t>832.8</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spacing w:after="0"/>
              <w:rPr>
                <w:sz w:val="20"/>
                <w:szCs w:val="20"/>
                <w:color w:val="auto"/>
              </w:rPr>
            </w:pPr>
            <w:r>
              <w:rPr>
                <w:rFonts w:ascii="Arial" w:cs="Arial" w:eastAsia="Arial" w:hAnsi="Arial"/>
                <w:sz w:val="12"/>
                <w:szCs w:val="12"/>
                <w:color w:val="auto"/>
              </w:rPr>
              <w:t>(i)</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93"/>
        </w:trPr>
        <w:tc>
          <w:tcPr>
            <w:tcW w:w="720" w:type="dxa"/>
            <w:vAlign w:val="bottom"/>
          </w:tcPr>
          <w:p>
            <w:pPr>
              <w:spacing w:after="0"/>
              <w:rPr>
                <w:sz w:val="20"/>
                <w:szCs w:val="20"/>
                <w:color w:val="auto"/>
              </w:rPr>
            </w:pPr>
            <w:r>
              <w:rPr>
                <w:rFonts w:ascii="Arial" w:cs="Arial" w:eastAsia="Arial" w:hAnsi="Arial"/>
                <w:sz w:val="12"/>
                <w:szCs w:val="12"/>
                <w:color w:val="auto"/>
              </w:rPr>
              <w:t>(i)</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95.0</w:t>
            </w:r>
          </w:p>
        </w:tc>
      </w:tr>
      <w:tr>
        <w:trPr>
          <w:trHeight w:val="209"/>
        </w:trPr>
        <w:tc>
          <w:tcPr>
            <w:tcW w:w="720" w:type="dxa"/>
            <w:vAlign w:val="bottom"/>
          </w:tcPr>
          <w:p>
            <w:pPr>
              <w:spacing w:after="0"/>
              <w:rPr>
                <w:sz w:val="18"/>
                <w:szCs w:val="18"/>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w:t>
            </w:r>
          </w:p>
        </w:tc>
      </w:tr>
      <w:tr>
        <w:trPr>
          <w:trHeight w:val="196"/>
        </w:trPr>
        <w:tc>
          <w:tcPr>
            <w:tcW w:w="720" w:type="dxa"/>
            <w:vAlign w:val="bottom"/>
          </w:tcPr>
          <w:p>
            <w:pPr>
              <w:spacing w:after="0"/>
              <w:rPr>
                <w:sz w:val="17"/>
                <w:szCs w:val="17"/>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1,201.2</w:t>
            </w:r>
          </w:p>
        </w:tc>
      </w:tr>
    </w:tbl>
    <w:p>
      <w:pPr>
        <w:spacing w:after="0" w:line="200" w:lineRule="exact"/>
        <w:rPr>
          <w:sz w:val="20"/>
          <w:szCs w:val="20"/>
          <w:color w:val="auto"/>
        </w:rPr>
      </w:pPr>
    </w:p>
    <w:p>
      <w:pPr>
        <w:sectPr>
          <w:pgSz w:w="11900" w:h="16838" w:orient="portrait"/>
          <w:cols w:equalWidth="0" w:num="2">
            <w:col w:w="9240" w:space="20"/>
            <w:col w:w="1940"/>
          </w:cols>
          <w:pgMar w:left="34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00"/>
          </w:cols>
          <w:pgMar w:left="340" w:top="121" w:right="359" w:bottom="1440" w:gutter="0" w:footer="0" w:header="0"/>
          <w:type w:val="continuous"/>
        </w:sectPr>
      </w:pPr>
    </w:p>
    <w:bookmarkStart w:id="100" w:name="page101"/>
    <w:bookmarkEnd w:id="100"/>
    <w:p>
      <w:pPr>
        <w:jc w:val="center"/>
        <w:ind w:right="-35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Pro Forma Adjustments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2"/>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ZoomInfo</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w w:val="98"/>
              </w:rPr>
              <w:t>Reorganization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b w:val="1"/>
                <w:bCs w:val="1"/>
                <w:color w:val="auto"/>
              </w:rPr>
              <w:t>Offering</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Pro Forma</w:t>
            </w:r>
          </w:p>
        </w:tc>
      </w:tr>
      <w:tr>
        <w:trPr>
          <w:trHeight w:val="186"/>
        </w:trPr>
        <w:tc>
          <w:tcPr>
            <w:tcW w:w="5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OpCo</w:t>
            </w:r>
            <w:r>
              <w:rPr>
                <w:rFonts w:ascii="Arial" w:cs="Arial" w:eastAsia="Arial" w:hAnsi="Arial"/>
                <w:sz w:val="9"/>
                <w:szCs w:val="9"/>
                <w:b w:val="1"/>
                <w:bCs w:val="1"/>
                <w:color w:val="auto"/>
              </w:rPr>
              <w:t>(a)</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Transactions</w:t>
            </w:r>
          </w:p>
        </w:tc>
        <w:tc>
          <w:tcPr>
            <w:tcW w:w="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4"/>
              </w:rPr>
              <w:t>Transactions</w:t>
            </w:r>
          </w:p>
        </w:tc>
        <w:tc>
          <w:tcPr>
            <w:tcW w:w="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33"/>
        </w:trPr>
        <w:tc>
          <w:tcPr>
            <w:tcW w:w="5020" w:type="dxa"/>
            <w:vAlign w:val="bottom"/>
          </w:tcPr>
          <w:p>
            <w:pPr>
              <w:ind w:left="20"/>
              <w:spacing w:after="0"/>
              <w:rPr>
                <w:sz w:val="20"/>
                <w:szCs w:val="20"/>
                <w:color w:val="auto"/>
              </w:rPr>
            </w:pPr>
            <w:r>
              <w:rPr>
                <w:rFonts w:ascii="Arial" w:cs="Arial" w:eastAsia="Arial" w:hAnsi="Arial"/>
                <w:sz w:val="14"/>
                <w:szCs w:val="14"/>
                <w:color w:val="auto"/>
              </w:rPr>
              <w:t>Series A Preferred Units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200.2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(200.2)</w:t>
            </w:r>
          </w:p>
        </w:tc>
        <w:tc>
          <w:tcPr>
            <w:tcW w:w="740" w:type="dxa"/>
            <w:vAlign w:val="bottom"/>
          </w:tcPr>
          <w:p>
            <w:pPr>
              <w:ind w:left="20"/>
              <w:spacing w:after="0"/>
              <w:rPr>
                <w:sz w:val="20"/>
                <w:szCs w:val="20"/>
                <w:color w:val="auto"/>
              </w:rPr>
            </w:pPr>
            <w:r>
              <w:rPr>
                <w:rFonts w:ascii="Arial" w:cs="Arial" w:eastAsia="Arial" w:hAnsi="Arial"/>
                <w:sz w:val="12"/>
                <w:szCs w:val="12"/>
                <w:color w:val="auto"/>
              </w:rPr>
              <w:t>(k)(n)</w:t>
            </w:r>
          </w:p>
        </w:tc>
        <w:tc>
          <w:tcPr>
            <w:tcW w:w="140" w:type="dxa"/>
            <w:vAlign w:val="bottom"/>
          </w:tcPr>
          <w:p>
            <w:pPr>
              <w:spacing w:after="0"/>
              <w:rPr>
                <w:sz w:val="20"/>
                <w:szCs w:val="20"/>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2"/>
        </w:trPr>
        <w:tc>
          <w:tcPr>
            <w:tcW w:w="5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196"/>
        </w:trPr>
        <w:tc>
          <w:tcPr>
            <w:tcW w:w="5020" w:type="dxa"/>
            <w:vAlign w:val="bottom"/>
          </w:tcPr>
          <w:p>
            <w:pPr>
              <w:ind w:left="20"/>
              <w:spacing w:after="0"/>
              <w:rPr>
                <w:sz w:val="20"/>
                <w:szCs w:val="20"/>
                <w:color w:val="auto"/>
              </w:rPr>
            </w:pPr>
            <w:r>
              <w:rPr>
                <w:rFonts w:ascii="Arial" w:cs="Arial" w:eastAsia="Arial" w:hAnsi="Arial"/>
                <w:sz w:val="14"/>
                <w:szCs w:val="14"/>
                <w:color w:val="auto"/>
              </w:rPr>
              <w:t>Members’ equity (deficit)</w:t>
            </w:r>
          </w:p>
        </w:tc>
        <w:tc>
          <w:tcPr>
            <w:tcW w:w="16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207.4</w:t>
            </w: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(j)</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 par value $0.01 per share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0.5</w:t>
            </w:r>
          </w:p>
        </w:tc>
      </w:tr>
      <w:tr>
        <w:trPr>
          <w:trHeight w:val="196"/>
        </w:trPr>
        <w:tc>
          <w:tcPr>
            <w:tcW w:w="5020" w:type="dxa"/>
            <w:vAlign w:val="bottom"/>
          </w:tcPr>
          <w:p>
            <w:pPr>
              <w:ind w:left="20"/>
              <w:spacing w:after="0"/>
              <w:rPr>
                <w:sz w:val="20"/>
                <w:szCs w:val="20"/>
                <w:color w:val="auto"/>
              </w:rPr>
            </w:pPr>
            <w:r>
              <w:rPr>
                <w:rFonts w:ascii="Arial" w:cs="Arial" w:eastAsia="Arial" w:hAnsi="Arial"/>
                <w:sz w:val="14"/>
                <w:szCs w:val="14"/>
                <w:color w:val="auto"/>
              </w:rPr>
              <w:t>Class B common stock, par value $0.01 per share</w:t>
            </w:r>
          </w:p>
        </w:tc>
        <w:tc>
          <w:tcPr>
            <w:tcW w:w="1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(j)</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2.4</w:t>
            </w: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C common stock, par value $0.01 per share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(j)</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r>
      <w:tr>
        <w:trPr>
          <w:trHeight w:val="196"/>
        </w:trPr>
        <w:tc>
          <w:tcPr>
            <w:tcW w:w="50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(i)(j)</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1,126.0</w:t>
            </w:r>
          </w:p>
        </w:tc>
        <w:tc>
          <w:tcPr>
            <w:tcW w:w="740" w:type="dxa"/>
            <w:vAlign w:val="bottom"/>
          </w:tcPr>
          <w:p>
            <w:pPr>
              <w:ind w:left="20"/>
              <w:spacing w:after="0"/>
              <w:rPr>
                <w:sz w:val="20"/>
                <w:szCs w:val="20"/>
                <w:color w:val="auto"/>
              </w:rPr>
            </w:pPr>
            <w:r>
              <w:rPr>
                <w:rFonts w:ascii="Arial" w:cs="Arial" w:eastAsia="Arial" w:hAnsi="Arial"/>
                <w:sz w:val="12"/>
                <w:szCs w:val="12"/>
                <w:color w:val="auto"/>
              </w:rPr>
              <w:t>(i)(l)(n)</w:t>
            </w:r>
          </w:p>
        </w:tc>
        <w:tc>
          <w:tcPr>
            <w:tcW w:w="14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1,073.1</w:t>
            </w: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 (accumulated deficit)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w:t>
            </w:r>
          </w:p>
        </w:tc>
        <w:tc>
          <w:tcPr>
            <w:tcW w:w="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(k)(m)(o)</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w:t>
            </w:r>
          </w:p>
        </w:tc>
      </w:tr>
      <w:tr>
        <w:trPr>
          <w:trHeight w:val="196"/>
        </w:trPr>
        <w:tc>
          <w:tcPr>
            <w:tcW w:w="5020" w:type="dxa"/>
            <w:vAlign w:val="bottom"/>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(12.7)</w:t>
            </w: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(147.5)</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(e)(k)</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(165.4)</w:t>
            </w:r>
          </w:p>
        </w:tc>
      </w:tr>
      <w:tr>
        <w:trPr>
          <w:trHeight w:val="196"/>
        </w:trPr>
        <w:tc>
          <w:tcPr>
            <w:tcW w:w="5020" w:type="dxa"/>
            <w:vAlign w:val="bottom"/>
          </w:tcPr>
          <w:p>
            <w:pPr>
              <w:ind w:left="460"/>
              <w:spacing w:after="0"/>
              <w:rPr>
                <w:sz w:val="20"/>
                <w:szCs w:val="20"/>
                <w:color w:val="auto"/>
              </w:rPr>
            </w:pPr>
            <w:r>
              <w:rPr>
                <w:rFonts w:ascii="Arial" w:cs="Arial" w:eastAsia="Arial" w:hAnsi="Arial"/>
                <w:sz w:val="14"/>
                <w:szCs w:val="14"/>
                <w:color w:val="auto"/>
              </w:rPr>
              <w:t>Total equity</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(220.1)</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10.4</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1,046.7</w:t>
            </w:r>
          </w:p>
        </w:tc>
        <w:tc>
          <w:tcPr>
            <w:tcW w:w="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837.0</w:t>
            </w:r>
          </w:p>
        </w:tc>
      </w:tr>
      <w:tr>
        <w:trPr>
          <w:trHeight w:val="222"/>
        </w:trPr>
        <w:tc>
          <w:tcPr>
            <w:tcW w:w="50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196"/>
        </w:trPr>
        <w:tc>
          <w:tcPr>
            <w:tcW w:w="5020" w:type="dxa"/>
            <w:vAlign w:val="bottom"/>
          </w:tcPr>
          <w:p>
            <w:pPr>
              <w:ind w:left="480"/>
              <w:spacing w:after="0"/>
              <w:rPr>
                <w:sz w:val="20"/>
                <w:szCs w:val="20"/>
                <w:color w:val="auto"/>
              </w:rPr>
            </w:pPr>
            <w:r>
              <w:rPr>
                <w:rFonts w:ascii="Arial" w:cs="Arial" w:eastAsia="Arial" w:hAnsi="Arial"/>
                <w:sz w:val="14"/>
                <w:szCs w:val="14"/>
                <w:color w:val="auto"/>
              </w:rPr>
              <w:t>Total liabilities, Series A Preferred Units, and Members' Deficit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1,577.9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460.3</w:t>
            </w:r>
          </w:p>
        </w:tc>
        <w:tc>
          <w:tcPr>
            <w:tcW w:w="7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2,038.2</w:t>
            </w:r>
          </w:p>
        </w:tc>
      </w:tr>
      <w:tr>
        <w:trPr>
          <w:trHeight w:val="21"/>
        </w:trPr>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121" w:right="359" w:bottom="1440" w:gutter="0" w:footer="0" w:header="0"/>
        </w:sectPr>
      </w:pPr>
    </w:p>
    <w:bookmarkStart w:id="101" w:name="page102"/>
    <w:bookmarkEnd w:id="10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Combined and Consolidated Financial Information</w:t>
      </w:r>
    </w:p>
    <w:p>
      <w:pPr>
        <w:spacing w:after="0" w:line="175" w:lineRule="exact"/>
        <w:rPr>
          <w:sz w:val="20"/>
          <w:szCs w:val="20"/>
          <w:color w:val="auto"/>
        </w:rPr>
      </w:pPr>
    </w:p>
    <w:p>
      <w:pPr>
        <w:jc w:val="both"/>
        <w:ind w:left="340" w:hanging="332"/>
        <w:spacing w:after="0" w:line="263" w:lineRule="auto"/>
        <w:tabs>
          <w:tab w:leader="none" w:pos="3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ZoomInfo Technologies Inc. was formed on November 14, 2019, and had no results of operations until the completion of the IPO. Therefore, its historical results of operations are not shown in a separate column in the unaudited pro forma combined and consolidated statements of operations or balance sheet.</w:t>
      </w:r>
    </w:p>
    <w:p>
      <w:pPr>
        <w:spacing w:after="0" w:line="129" w:lineRule="exact"/>
        <w:rPr>
          <w:rFonts w:ascii="Arial" w:cs="Arial" w:eastAsia="Arial" w:hAnsi="Arial"/>
          <w:sz w:val="18"/>
          <w:szCs w:val="18"/>
          <w:color w:val="auto"/>
        </w:rPr>
      </w:pPr>
    </w:p>
    <w:p>
      <w:pPr>
        <w:jc w:val="both"/>
        <w:ind w:left="340" w:hanging="332"/>
        <w:spacing w:after="0" w:line="257" w:lineRule="auto"/>
        <w:tabs>
          <w:tab w:leader="none" w:pos="334"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Pre-Acquisition ZI’s financial statements presented in the unaudited pro forma combined and consolidated statement of operations for the year ended December 31, 2019 reflect the historical results of operations for the period from January 1, 2019 through January 31, 2019. The operating results of Pre-Acquisition ZI from the February 1, 2019 date of the Zoom Information Acquisition have been included in our historical results of operations for the year ended December 31, 2019. Certain reclassifications have been made to align the financial statements of Pre-Acquisition ZI to those of ZoomInfo OpCo as follows: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Pre-Acquisition ZI</w:t>
            </w:r>
          </w:p>
        </w:tc>
        <w:tc>
          <w:tcPr>
            <w:tcW w:w="240" w:type="dxa"/>
            <w:vAlign w:val="bottom"/>
          </w:tcPr>
          <w:p>
            <w:pPr>
              <w:spacing w:after="0"/>
              <w:rPr>
                <w:sz w:val="14"/>
                <w:szCs w:val="14"/>
                <w:color w:val="auto"/>
              </w:rPr>
            </w:pPr>
          </w:p>
        </w:tc>
        <w:tc>
          <w:tcPr>
            <w:tcW w:w="1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Reclassifications</w:t>
            </w:r>
          </w:p>
        </w:tc>
        <w:tc>
          <w:tcPr>
            <w:tcW w:w="160" w:type="dxa"/>
            <w:vAlign w:val="bottom"/>
          </w:tcPr>
          <w:p>
            <w:pPr>
              <w:spacing w:after="0"/>
              <w:rPr>
                <w:sz w:val="14"/>
                <w:szCs w:val="14"/>
                <w:color w:val="auto"/>
              </w:rPr>
            </w:pPr>
          </w:p>
        </w:tc>
        <w:tc>
          <w:tcPr>
            <w:tcW w:w="158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Pre-Acquisition ZI as</w:t>
            </w:r>
          </w:p>
        </w:tc>
        <w:tc>
          <w:tcPr>
            <w:tcW w:w="0" w:type="dxa"/>
            <w:vAlign w:val="bottom"/>
          </w:tcPr>
          <w:p>
            <w:pPr>
              <w:spacing w:after="0"/>
              <w:rPr>
                <w:sz w:val="1"/>
                <w:szCs w:val="1"/>
                <w:color w:val="auto"/>
              </w:rPr>
            </w:pPr>
          </w:p>
        </w:tc>
      </w:tr>
      <w:tr>
        <w:trPr>
          <w:trHeight w:val="192"/>
        </w:trPr>
        <w:tc>
          <w:tcPr>
            <w:tcW w:w="5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514"/>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50"/>
        </w:trPr>
        <w:tc>
          <w:tcPr>
            <w:tcW w:w="5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service / revenue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020" w:type="dxa"/>
            <w:vAlign w:val="bottom"/>
          </w:tcPr>
          <w:p>
            <w:pPr>
              <w:ind w:left="120"/>
              <w:spacing w:after="0"/>
              <w:rPr>
                <w:sz w:val="20"/>
                <w:szCs w:val="20"/>
                <w:color w:val="auto"/>
              </w:rPr>
            </w:pPr>
            <w:r>
              <w:rPr>
                <w:rFonts w:ascii="Arial" w:cs="Arial" w:eastAsia="Arial" w:hAnsi="Arial"/>
                <w:sz w:val="18"/>
                <w:szCs w:val="18"/>
                <w:color w:val="auto"/>
              </w:rPr>
              <w:t>Amortization of acquired technology</w:t>
            </w:r>
          </w:p>
        </w:tc>
        <w:tc>
          <w:tcPr>
            <w:tcW w:w="20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0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0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other acquired intangibles</w:t>
            </w:r>
          </w:p>
        </w:tc>
        <w:tc>
          <w:tcPr>
            <w:tcW w:w="2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77" w:lineRule="auto"/>
        <w:tabs>
          <w:tab w:leader="none" w:pos="3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accordance with the rules of Article 11 of Regulation S-X, the following pro forma adjustments were made relating to the Zoom Information Acquisition:</w:t>
      </w:r>
    </w:p>
    <w:p>
      <w:pPr>
        <w:spacing w:after="0" w:line="116" w:lineRule="exact"/>
        <w:rPr>
          <w:rFonts w:ascii="Arial" w:cs="Arial" w:eastAsia="Arial" w:hAnsi="Arial"/>
          <w:sz w:val="18"/>
          <w:szCs w:val="18"/>
          <w:color w:val="auto"/>
        </w:rPr>
      </w:pPr>
    </w:p>
    <w:p>
      <w:pPr>
        <w:ind w:left="660" w:hanging="328"/>
        <w:spacing w:after="0" w:line="277" w:lineRule="auto"/>
        <w:tabs>
          <w:tab w:leader="none" w:pos="654"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adjustment to revenue represents the removal of the fair value adjustments to historical Pre-Acquisition ZI’s unearned revenue. The adjustment is removed because it will not have a continuing impact on the financial results of the combined company.</w:t>
      </w:r>
    </w:p>
    <w:p>
      <w:pPr>
        <w:spacing w:after="0" w:line="116" w:lineRule="exact"/>
        <w:rPr>
          <w:rFonts w:ascii="Arial" w:cs="Arial" w:eastAsia="Arial" w:hAnsi="Arial"/>
          <w:sz w:val="18"/>
          <w:szCs w:val="18"/>
          <w:color w:val="auto"/>
        </w:rPr>
      </w:pPr>
    </w:p>
    <w:p>
      <w:pPr>
        <w:ind w:left="660" w:hanging="328"/>
        <w:spacing w:after="0" w:line="277" w:lineRule="auto"/>
        <w:tabs>
          <w:tab w:leader="none" w:pos="654"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adjustment to amortization of acquired technology and amortization of intangible assets represents the incremental amortization expense resulting from the allocation of purchase consideration to definitive-lived intangible assets subject to amortization.</w:t>
      </w:r>
    </w:p>
    <w:p>
      <w:pPr>
        <w:spacing w:after="0" w:line="116" w:lineRule="exact"/>
        <w:rPr>
          <w:rFonts w:ascii="Arial" w:cs="Arial" w:eastAsia="Arial" w:hAnsi="Arial"/>
          <w:sz w:val="18"/>
          <w:szCs w:val="18"/>
          <w:color w:val="auto"/>
        </w:rPr>
      </w:pPr>
    </w:p>
    <w:p>
      <w:pPr>
        <w:ind w:left="660" w:hanging="328"/>
        <w:spacing w:after="0" w:line="277" w:lineRule="auto"/>
        <w:tabs>
          <w:tab w:leader="none" w:pos="654" w:val="left"/>
        </w:tabs>
        <w:numPr>
          <w:ilvl w:val="1"/>
          <w:numId w:val="80"/>
        </w:numPr>
        <w:rPr>
          <w:rFonts w:ascii="Arial" w:cs="Arial" w:eastAsia="Arial" w:hAnsi="Arial"/>
          <w:sz w:val="18"/>
          <w:szCs w:val="18"/>
          <w:color w:val="auto"/>
        </w:rPr>
      </w:pPr>
      <w:r>
        <w:rPr>
          <w:rFonts w:ascii="Arial" w:cs="Arial" w:eastAsia="Arial" w:hAnsi="Arial"/>
          <w:sz w:val="18"/>
          <w:szCs w:val="18"/>
          <w:color w:val="auto"/>
        </w:rPr>
        <w:t>Operating expenses were adjusted to recognize an increase in depreciation expense resulting from the fair value adjustments to acquired property and equipment.</w:t>
      </w:r>
    </w:p>
    <w:p>
      <w:pPr>
        <w:spacing w:after="0" w:line="116" w:lineRule="exact"/>
        <w:rPr>
          <w:rFonts w:ascii="Arial" w:cs="Arial" w:eastAsia="Arial" w:hAnsi="Arial"/>
          <w:sz w:val="18"/>
          <w:szCs w:val="18"/>
          <w:color w:val="auto"/>
        </w:rPr>
      </w:pPr>
    </w:p>
    <w:p>
      <w:pPr>
        <w:jc w:val="both"/>
        <w:ind w:left="660" w:hanging="328"/>
        <w:spacing w:after="0" w:line="271" w:lineRule="auto"/>
        <w:tabs>
          <w:tab w:leader="none" w:pos="654" w:val="left"/>
        </w:tabs>
        <w:numPr>
          <w:ilvl w:val="1"/>
          <w:numId w:val="80"/>
        </w:numPr>
        <w:rPr>
          <w:rFonts w:ascii="Arial" w:cs="Arial" w:eastAsia="Arial" w:hAnsi="Arial"/>
          <w:sz w:val="17"/>
          <w:szCs w:val="17"/>
          <w:color w:val="auto"/>
        </w:rPr>
      </w:pPr>
      <w:r>
        <w:rPr>
          <w:rFonts w:ascii="Arial" w:cs="Arial" w:eastAsia="Arial" w:hAnsi="Arial"/>
          <w:sz w:val="17"/>
          <w:szCs w:val="17"/>
          <w:color w:val="auto"/>
        </w:rPr>
        <w:t>The adjustment to interest expense reflects (x) the elimination of interest expense incurred by Pre-Acquisition ZI related to the long-term debt included in Pre-Acquisition ZI’s historical financial statements, which was paid in full at the time of the Zoom Information Acquisition, and (y) the addition of interest expense as a result of borrowing $865.0 million under our first lien term loan facility and $370.0 million under our second lien term loan facility associated with the acquisition of Pre-Acquisition ZI and a refinancing of the term loans included in ZoomInfo OpCo’s historical financial statements, in each case as if the borrowings had occurred on January 1, 2019. Borrowings under our first lien term loan facility bear interest at LIBOR plus the applicable rate of 4.5% and borrowings under our second lien term loan facility bear interest at LIBOR plus the applicable rate of 8.5%. If the interest rates differed from the rates used in the pro forma interest expense by 0.125%, the pro forma interest expense adjustment would have increased or decreased by approximately $130,000.</w:t>
      </w:r>
    </w:p>
    <w:p>
      <w:pPr>
        <w:spacing w:after="0" w:line="124"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Direct, incremental transaction costs related to the Zoom Information Acquisition, which are reflected in our consolidated results of operations for the year ended December 31, 2019, are removed from restructuring and transaction related expenses as they will not have a continuing impact on the financial results of the combined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21" w:right="339" w:bottom="1440" w:gutter="0" w:footer="0" w:header="0"/>
        </w:sectPr>
      </w:pPr>
    </w:p>
    <w:bookmarkStart w:id="102" w:name="page103"/>
    <w:bookmarkEnd w:id="102"/>
    <w:p>
      <w:pPr>
        <w:jc w:val="center"/>
        <w:ind w:right="-331"/>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1"/>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32" w:hanging="332"/>
        <w:spacing w:after="0" w:line="272" w:lineRule="auto"/>
        <w:tabs>
          <w:tab w:leader="none" w:pos="326" w:val="left"/>
        </w:tabs>
        <w:numPr>
          <w:ilvl w:val="0"/>
          <w:numId w:val="81"/>
        </w:numPr>
        <w:rPr>
          <w:rFonts w:ascii="Arial" w:cs="Arial" w:eastAsia="Arial" w:hAnsi="Arial"/>
          <w:sz w:val="17"/>
          <w:szCs w:val="17"/>
          <w:color w:val="auto"/>
        </w:rPr>
      </w:pPr>
      <w:r>
        <w:rPr>
          <w:rFonts w:ascii="Arial" w:cs="Arial" w:eastAsia="Arial" w:hAnsi="Arial"/>
          <w:sz w:val="17"/>
          <w:szCs w:val="17"/>
          <w:color w:val="auto"/>
        </w:rPr>
        <w:t>ZoomInfo OpCo is a limited liability company and is treated as a partnership for U.S. federal and most applicable state and local income tax purposes. As a result, it is not liable for U.S. federal or state and local income taxes in most jurisdictions in which we operate, and the income, expenses, gains and losses are reported on the returns of its members. It is subject to local income tax in certain jurisdictions in which it is not treated like a partnership, where it pays income taxes. Upon completion of the Reorganization Transactions, ZoomInfo Technologies Inc. became subject to U.S. federal income taxes, in addition to state and local taxes with respect to its allocable share of any taxable income from ZoomInfo OpCo. As a result, the unaudited pro forma consolidated statements of operations reflect adjustments to our income tax expense of $1.2 million for the year ended December 31, 2019 and $1.3 million for the three months ended March 31, 2020.</w:t>
      </w:r>
    </w:p>
    <w:p>
      <w:pPr>
        <w:spacing w:after="0" w:line="123" w:lineRule="exact"/>
        <w:rPr>
          <w:rFonts w:ascii="Arial" w:cs="Arial" w:eastAsia="Arial" w:hAnsi="Arial"/>
          <w:sz w:val="17"/>
          <w:szCs w:val="17"/>
          <w:color w:val="auto"/>
        </w:rPr>
      </w:pPr>
    </w:p>
    <w:p>
      <w:pPr>
        <w:jc w:val="both"/>
        <w:ind w:left="332" w:hanging="332"/>
        <w:spacing w:after="0" w:line="273" w:lineRule="auto"/>
        <w:tabs>
          <w:tab w:leader="none" w:pos="329" w:val="left"/>
        </w:tabs>
        <w:numPr>
          <w:ilvl w:val="0"/>
          <w:numId w:val="81"/>
        </w:numPr>
        <w:rPr>
          <w:rFonts w:ascii="Arial" w:cs="Arial" w:eastAsia="Arial" w:hAnsi="Arial"/>
          <w:sz w:val="17"/>
          <w:szCs w:val="17"/>
          <w:color w:val="auto"/>
        </w:rPr>
      </w:pPr>
      <w:r>
        <w:rPr>
          <w:rFonts w:ascii="Arial" w:cs="Arial" w:eastAsia="Arial" w:hAnsi="Arial"/>
          <w:sz w:val="17"/>
          <w:szCs w:val="17"/>
          <w:color w:val="auto"/>
        </w:rPr>
        <w:t>Upon completion of the Reorganization Transactions, ZoomInfo Technologies Inc. had control over ZoomInfo HoldCo, which became the sole managing member of ZoomInfo OpCo. As a result, ZoomInfo Technologies Inc. owns approximately 94.6% of the economic interest in ZoomInfo HoldCo, but has 100% of the voting power and controls the management of ZoomInfo HoldCo, and ZoomInfo HoldCo owns approximately 30.5% of the economic interest in ZoomInfo OpCo, but has 100% of the voting power and controls the management of ZoomInfo OpCo. Immediately following the Reorganization Transactions, the ownership percentage held by the non-controlling interest and the net loss attributable to the non-controlling interest represented approximately 71.1% of net loss before the provision for income taxes.</w:t>
      </w:r>
    </w:p>
    <w:p>
      <w:pPr>
        <w:spacing w:after="0" w:line="123" w:lineRule="exact"/>
        <w:rPr>
          <w:rFonts w:ascii="Arial" w:cs="Arial" w:eastAsia="Arial" w:hAnsi="Arial"/>
          <w:sz w:val="17"/>
          <w:szCs w:val="17"/>
          <w:color w:val="auto"/>
        </w:rPr>
      </w:pPr>
    </w:p>
    <w:p>
      <w:pPr>
        <w:jc w:val="both"/>
        <w:ind w:left="332"/>
        <w:spacing w:after="0" w:line="275" w:lineRule="auto"/>
        <w:rPr>
          <w:rFonts w:ascii="Arial" w:cs="Arial" w:eastAsia="Arial" w:hAnsi="Arial"/>
          <w:sz w:val="17"/>
          <w:szCs w:val="17"/>
          <w:color w:val="auto"/>
        </w:rPr>
      </w:pPr>
      <w:r>
        <w:rPr>
          <w:rFonts w:ascii="Arial" w:cs="Arial" w:eastAsia="Arial" w:hAnsi="Arial"/>
          <w:sz w:val="17"/>
          <w:szCs w:val="17"/>
          <w:color w:val="auto"/>
        </w:rPr>
        <w:t>Upon completion of the Reorganization and Offering Transactions, ZoomInfo Technologies Inc. owned approximately 97.3% of the economic interest in ZoomInfo HoldCo, and retained 100% of the voting power and controlled the management of ZoomInfo HoldCo, and ZoomInfo HoldCo owned approximately 39.7% of the economic interest in ZoomInfo OpCo, and retained 100% of the voting power and control the management of ZoomInfo OpCo. Immediately following the Offering Transactions, the ownership percentage held by the non-controlling interest and the net loss attributable to the non-controlling interest represented approximately 61.4% of net loss before the provision for income taxes.</w:t>
      </w:r>
    </w:p>
    <w:p>
      <w:pPr>
        <w:spacing w:after="0" w:line="122" w:lineRule="exact"/>
        <w:rPr>
          <w:rFonts w:ascii="Arial" w:cs="Arial" w:eastAsia="Arial" w:hAnsi="Arial"/>
          <w:sz w:val="17"/>
          <w:szCs w:val="17"/>
          <w:color w:val="auto"/>
        </w:rPr>
      </w:pPr>
    </w:p>
    <w:p>
      <w:pPr>
        <w:ind w:left="332"/>
        <w:spacing w:after="0"/>
        <w:rPr>
          <w:rFonts w:ascii="Arial" w:cs="Arial" w:eastAsia="Arial" w:hAnsi="Arial"/>
          <w:sz w:val="17"/>
          <w:szCs w:val="17"/>
          <w:color w:val="auto"/>
        </w:rPr>
      </w:pPr>
      <w:r>
        <w:rPr>
          <w:rFonts w:ascii="Arial" w:cs="Arial" w:eastAsia="Arial" w:hAnsi="Arial"/>
          <w:sz w:val="18"/>
          <w:szCs w:val="18"/>
          <w:color w:val="auto"/>
        </w:rPr>
        <w:t>Pro forma net income (loss) attributable to non-controlling interests as a result of the Reorganization Transaction is calculated as follows:</w:t>
      </w:r>
    </w:p>
    <w:p>
      <w:pPr>
        <w:sectPr>
          <w:pgSz w:w="11900" w:h="16838" w:orient="portrait"/>
          <w:cols w:equalWidth="0" w:num="1">
            <w:col w:w="11232"/>
          </w:cols>
          <w:pgMar w:left="328" w:top="121"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352"/>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20955</wp:posOffset>
            </wp:positionV>
            <wp:extent cx="665226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52260" cy="179705"/>
                    </a:xfrm>
                    <a:prstGeom prst="rect">
                      <a:avLst/>
                    </a:prstGeom>
                    <a:noFill/>
                  </pic:spPr>
                </pic:pic>
              </a:graphicData>
            </a:graphic>
          </wp:anchor>
        </w:drawing>
      </w:r>
    </w:p>
    <w:p>
      <w:pPr>
        <w:spacing w:after="0" w:line="3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Historical net income (loss) from ZoomInfo OpCo</w:t>
      </w:r>
    </w:p>
    <w:p>
      <w:pPr>
        <w:spacing w:after="0" w:line="63" w:lineRule="exact"/>
        <w:rPr>
          <w:sz w:val="20"/>
          <w:szCs w:val="20"/>
          <w:color w:val="auto"/>
        </w:rPr>
      </w:pPr>
    </w:p>
    <w:p>
      <w:pPr>
        <w:ind w:left="352"/>
        <w:spacing w:after="0"/>
        <w:rPr>
          <w:sz w:val="20"/>
          <w:szCs w:val="20"/>
          <w:color w:val="auto"/>
        </w:rPr>
      </w:pPr>
      <w:r>
        <w:rPr>
          <w:rFonts w:ascii="Arial" w:cs="Arial" w:eastAsia="Arial" w:hAnsi="Arial"/>
          <w:sz w:val="18"/>
          <w:szCs w:val="18"/>
          <w:color w:val="auto"/>
        </w:rPr>
        <w:t>Historical net income from Pre-Acquisition 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665226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43" w:lineRule="exact"/>
        <w:rPr>
          <w:sz w:val="20"/>
          <w:szCs w:val="20"/>
          <w:color w:val="auto"/>
        </w:rPr>
      </w:pPr>
    </w:p>
    <w:p>
      <w:pPr>
        <w:ind w:left="352"/>
        <w:spacing w:after="0"/>
        <w:rPr>
          <w:sz w:val="20"/>
          <w:szCs w:val="20"/>
          <w:color w:val="auto"/>
        </w:rPr>
      </w:pPr>
      <w:r>
        <w:rPr>
          <w:rFonts w:ascii="Arial" w:cs="Arial" w:eastAsia="Arial" w:hAnsi="Arial"/>
          <w:sz w:val="18"/>
          <w:szCs w:val="18"/>
          <w:color w:val="auto"/>
        </w:rPr>
        <w:t>Pro forma net income from Zoom Information Acquisition</w:t>
      </w:r>
    </w:p>
    <w:p>
      <w:pPr>
        <w:spacing w:after="0" w:line="77" w:lineRule="exact"/>
        <w:rPr>
          <w:sz w:val="20"/>
          <w:szCs w:val="20"/>
          <w:color w:val="auto"/>
        </w:rPr>
      </w:pPr>
    </w:p>
    <w:p>
      <w:pPr>
        <w:ind w:left="532"/>
        <w:spacing w:after="0"/>
        <w:rPr>
          <w:sz w:val="20"/>
          <w:szCs w:val="20"/>
          <w:color w:val="auto"/>
        </w:rPr>
      </w:pPr>
      <w:r>
        <w:rPr>
          <w:rFonts w:ascii="Arial" w:cs="Arial" w:eastAsia="Arial" w:hAnsi="Arial"/>
          <w:sz w:val="18"/>
          <w:szCs w:val="18"/>
          <w:color w:val="auto"/>
        </w:rPr>
        <w:t>Pro forma net income (loss) prior to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665226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70" w:lineRule="exact"/>
        <w:rPr>
          <w:sz w:val="20"/>
          <w:szCs w:val="20"/>
          <w:color w:val="auto"/>
        </w:rPr>
      </w:pPr>
    </w:p>
    <w:p>
      <w:pPr>
        <w:ind w:left="352"/>
        <w:spacing w:after="0"/>
        <w:rPr>
          <w:sz w:val="20"/>
          <w:szCs w:val="20"/>
          <w:color w:val="auto"/>
        </w:rPr>
      </w:pPr>
      <w:r>
        <w:rPr>
          <w:rFonts w:ascii="Arial" w:cs="Arial" w:eastAsia="Arial" w:hAnsi="Arial"/>
          <w:sz w:val="16"/>
          <w:szCs w:val="16"/>
          <w:color w:val="auto"/>
        </w:rPr>
        <w:t>Non-controlling interest ownership immediately following the Reorganization Transactions</w:t>
      </w:r>
    </w:p>
    <w:p>
      <w:pPr>
        <w:spacing w:after="0" w:line="46" w:lineRule="exact"/>
        <w:rPr>
          <w:sz w:val="20"/>
          <w:szCs w:val="20"/>
          <w:color w:val="auto"/>
        </w:rPr>
      </w:pPr>
    </w:p>
    <w:p>
      <w:pPr>
        <w:ind w:left="712" w:right="300" w:hanging="161"/>
        <w:spacing w:after="0" w:line="234" w:lineRule="auto"/>
        <w:rPr>
          <w:sz w:val="20"/>
          <w:szCs w:val="20"/>
          <w:color w:val="auto"/>
        </w:rPr>
      </w:pPr>
      <w:r>
        <w:rPr>
          <w:rFonts w:ascii="Arial" w:cs="Arial" w:eastAsia="Arial" w:hAnsi="Arial"/>
          <w:sz w:val="18"/>
          <w:szCs w:val="18"/>
          <w:color w:val="auto"/>
        </w:rPr>
        <w:t>Net income (loss) attributable to non-controlling interests immediately following the Reorganization Transactions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w:t>
            </w:r>
          </w:p>
        </w:tc>
        <w:tc>
          <w:tcPr>
            <w:tcW w:w="140" w:type="dxa"/>
            <w:vAlign w:val="bottom"/>
          </w:tcPr>
          <w:p>
            <w:pPr>
              <w:spacing w:after="0"/>
              <w:rPr>
                <w:sz w:val="14"/>
                <w:szCs w:val="14"/>
                <w:color w:val="auto"/>
              </w:rPr>
            </w:pPr>
          </w:p>
        </w:tc>
        <w:tc>
          <w:tcPr>
            <w:tcW w:w="146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5"/>
              </w:rPr>
              <w:t>March 31,</w:t>
            </w:r>
          </w:p>
        </w:tc>
      </w:tr>
      <w:tr>
        <w:trPr>
          <w:trHeight w:val="196"/>
        </w:trPr>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6"/>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96"/>
              <w:spacing w:after="0"/>
              <w:rPr>
                <w:sz w:val="20"/>
                <w:szCs w:val="20"/>
                <w:color w:val="auto"/>
              </w:rPr>
            </w:pPr>
            <w:r>
              <w:rPr>
                <w:rFonts w:ascii="Arial" w:cs="Arial" w:eastAsia="Arial" w:hAnsi="Arial"/>
                <w:sz w:val="18"/>
                <w:szCs w:val="18"/>
                <w:color w:val="auto"/>
              </w:rPr>
              <w:t>(5.9)</w:t>
            </w:r>
          </w:p>
        </w:tc>
      </w:tr>
      <w:tr>
        <w:trPr>
          <w:trHeight w:val="270"/>
        </w:trPr>
        <w:tc>
          <w:tcPr>
            <w:tcW w:w="120" w:type="dxa"/>
            <w:vAlign w:val="bottom"/>
          </w:tcPr>
          <w:p>
            <w:pPr>
              <w:spacing w:after="0"/>
              <w:rPr>
                <w:sz w:val="23"/>
                <w:szCs w:val="23"/>
                <w:color w:val="auto"/>
              </w:rPr>
            </w:pPr>
          </w:p>
        </w:tc>
        <w:tc>
          <w:tcPr>
            <w:tcW w:w="1500" w:type="dxa"/>
            <w:vAlign w:val="bottom"/>
          </w:tcPr>
          <w:p>
            <w:pPr>
              <w:jc w:val="right"/>
              <w:ind w:right="156"/>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36"/>
              <w:spacing w:after="0"/>
              <w:rPr>
                <w:sz w:val="20"/>
                <w:szCs w:val="20"/>
                <w:color w:val="auto"/>
              </w:rPr>
            </w:pPr>
            <w:r>
              <w:rPr>
                <w:rFonts w:ascii="Arial" w:cs="Arial" w:eastAsia="Arial" w:hAnsi="Arial"/>
                <w:sz w:val="18"/>
                <w:szCs w:val="18"/>
                <w:color w:val="auto"/>
              </w:rPr>
              <w:t>—</w:t>
            </w:r>
          </w:p>
        </w:tc>
      </w:tr>
      <w:tr>
        <w:trPr>
          <w:trHeight w:val="270"/>
        </w:trPr>
        <w:tc>
          <w:tcPr>
            <w:tcW w:w="120" w:type="dxa"/>
            <w:vAlign w:val="bottom"/>
          </w:tcPr>
          <w:p>
            <w:pPr>
              <w:spacing w:after="0"/>
              <w:rPr>
                <w:sz w:val="23"/>
                <w:szCs w:val="23"/>
                <w:color w:val="auto"/>
              </w:rPr>
            </w:pPr>
          </w:p>
        </w:tc>
        <w:tc>
          <w:tcPr>
            <w:tcW w:w="1500" w:type="dxa"/>
            <w:vAlign w:val="bottom"/>
          </w:tcPr>
          <w:p>
            <w:pPr>
              <w:jc w:val="right"/>
              <w:ind w:right="156"/>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36"/>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6"/>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96"/>
              <w:spacing w:after="0"/>
              <w:rPr>
                <w:sz w:val="20"/>
                <w:szCs w:val="20"/>
                <w:color w:val="auto"/>
              </w:rPr>
            </w:pPr>
            <w:r>
              <w:rPr>
                <w:rFonts w:ascii="Arial" w:cs="Arial" w:eastAsia="Arial" w:hAnsi="Arial"/>
                <w:sz w:val="18"/>
                <w:szCs w:val="18"/>
                <w:color w:val="auto"/>
              </w:rPr>
              <w:t>(5.9)</w:t>
            </w:r>
          </w:p>
        </w:tc>
      </w:tr>
      <w:tr>
        <w:trPr>
          <w:trHeight w:val="270"/>
        </w:trPr>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71.1 %</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71.1 %</w:t>
            </w:r>
          </w:p>
        </w:tc>
      </w:tr>
      <w:tr>
        <w:trPr>
          <w:trHeight w:val="27"/>
        </w:trPr>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31"/>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6"/>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96"/>
              <w:spacing w:after="0"/>
              <w:rPr>
                <w:sz w:val="20"/>
                <w:szCs w:val="20"/>
                <w:color w:val="auto"/>
              </w:rPr>
            </w:pPr>
            <w:r>
              <w:rPr>
                <w:rFonts w:ascii="Arial" w:cs="Arial" w:eastAsia="Arial" w:hAnsi="Arial"/>
                <w:sz w:val="18"/>
                <w:szCs w:val="18"/>
                <w:color w:val="auto"/>
              </w:rPr>
              <w:t>(4.2)</w:t>
            </w:r>
          </w:p>
        </w:tc>
      </w:tr>
      <w:tr>
        <w:trPr>
          <w:trHeight w:val="27"/>
        </w:trPr>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32" w:space="540"/>
            <w:col w:w="3760"/>
          </w:cols>
          <w:pgMar w:left="328" w:top="121"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32"/>
          </w:cols>
          <w:pgMar w:left="328" w:top="121" w:right="339" w:bottom="1440" w:gutter="0" w:footer="0" w:header="0"/>
          <w:type w:val="continuous"/>
        </w:sectPr>
      </w:pPr>
    </w:p>
    <w:bookmarkStart w:id="103" w:name="page104"/>
    <w:bookmarkEnd w:id="103"/>
    <w:p>
      <w:pPr>
        <w:jc w:val="center"/>
        <w:ind w:right="-331"/>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1"/>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Pro forma net income (loss) attributable to non-controlling interests as a result of the Offering Transaction is calculated as follows:</w:t>
      </w:r>
    </w:p>
    <w:p>
      <w:pPr>
        <w:spacing w:after="0" w:line="204" w:lineRule="exact"/>
        <w:rPr>
          <w:sz w:val="20"/>
          <w:szCs w:val="20"/>
          <w:color w:val="auto"/>
        </w:rPr>
      </w:pPr>
    </w:p>
    <w:tbl>
      <w:tblPr>
        <w:tblLayout w:type="fixed"/>
        <w:tblInd w:w="332"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1"/>
              </w:rPr>
              <w:t>Year Ended December</w:t>
            </w:r>
          </w:p>
        </w:tc>
        <w:tc>
          <w:tcPr>
            <w:tcW w:w="14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7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income (loss) prior to the Reorganization Transactions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 in non-controlling interest ownership due to the Offering Transactions</w:t>
            </w: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55"/>
        </w:trPr>
        <w:tc>
          <w:tcPr>
            <w:tcW w:w="714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w w:val="98"/>
              </w:rPr>
              <w:t>Reduction in net income (loss) attributable to non-controlling interest due to the Offering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Transactions</w:t>
            </w:r>
          </w:p>
        </w:tc>
        <w:tc>
          <w:tcPr>
            <w:tcW w:w="1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adjustments to net income (loss) from the Offering Transactions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40" w:type="dxa"/>
            <w:vAlign w:val="bottom"/>
          </w:tcPr>
          <w:p>
            <w:pPr>
              <w:ind w:left="20"/>
              <w:spacing w:after="0"/>
              <w:rPr>
                <w:sz w:val="20"/>
                <w:szCs w:val="20"/>
                <w:color w:val="auto"/>
              </w:rPr>
            </w:pPr>
            <w:r>
              <w:rPr>
                <w:rFonts w:ascii="Arial" w:cs="Arial" w:eastAsia="Arial" w:hAnsi="Arial"/>
                <w:sz w:val="18"/>
                <w:szCs w:val="18"/>
                <w:color w:val="auto"/>
              </w:rPr>
              <w:t>Non-controlling interest ownership immediately following the Offering Transactions</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Non-controlling interest in the pro forma adjustments to net income (loss) from the Offering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Transactions</w:t>
            </w:r>
          </w:p>
        </w:tc>
        <w:tc>
          <w:tcPr>
            <w:tcW w:w="1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Total net income (loss) attributable to non-controlling interest immediately following the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Offering Transactions</w:t>
            </w:r>
          </w:p>
        </w:tc>
        <w:tc>
          <w:tcPr>
            <w:tcW w:w="1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32"/>
        <w:spacing w:after="0"/>
        <w:rPr>
          <w:sz w:val="20"/>
          <w:szCs w:val="20"/>
          <w:color w:val="auto"/>
        </w:rPr>
      </w:pPr>
      <w:r>
        <w:rPr>
          <w:rFonts w:ascii="Arial" w:cs="Arial" w:eastAsia="Arial" w:hAnsi="Arial"/>
          <w:sz w:val="17"/>
          <w:szCs w:val="17"/>
          <w:color w:val="auto"/>
        </w:rPr>
        <w:t>The pro forma change in non-controlling interest as a result of the Reorganization and Offering Transactions can be calculated as follows:</w:t>
      </w:r>
    </w:p>
    <w:p>
      <w:pPr>
        <w:spacing w:after="0" w:line="216" w:lineRule="exact"/>
        <w:rPr>
          <w:sz w:val="20"/>
          <w:szCs w:val="20"/>
          <w:color w:val="auto"/>
        </w:rPr>
      </w:pPr>
    </w:p>
    <w:tbl>
      <w:tblPr>
        <w:tblLayout w:type="fixed"/>
        <w:tblInd w:w="332"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8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9"/>
              </w:rPr>
              <w:t>March 31,</w:t>
            </w:r>
          </w:p>
        </w:tc>
      </w:tr>
      <w:tr>
        <w:trPr>
          <w:trHeight w:val="196"/>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r>
      <w:tr>
        <w:trPr>
          <w:trHeight w:val="249"/>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Historical Member’s equity (deficit)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(207.4)</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Non-controlling interest ownership immediately following the Reorganization Transactions</w:t>
            </w:r>
          </w:p>
        </w:tc>
        <w:tc>
          <w:tcPr>
            <w:tcW w:w="140" w:type="dxa"/>
            <w:vAlign w:val="bottom"/>
          </w:tcPr>
          <w:p>
            <w:pPr>
              <w:spacing w:after="0"/>
              <w:rPr>
                <w:sz w:val="21"/>
                <w:szCs w:val="21"/>
                <w:color w:val="auto"/>
              </w:rPr>
            </w:pPr>
          </w:p>
        </w:tc>
        <w:tc>
          <w:tcPr>
            <w:tcW w:w="1480" w:type="dxa"/>
            <w:vAlign w:val="bottom"/>
          </w:tcPr>
          <w:p>
            <w:pPr>
              <w:ind w:left="940"/>
              <w:spacing w:after="0"/>
              <w:rPr>
                <w:sz w:val="20"/>
                <w:szCs w:val="20"/>
                <w:color w:val="auto"/>
              </w:rPr>
            </w:pPr>
            <w:r>
              <w:rPr>
                <w:rFonts w:ascii="Arial" w:cs="Arial" w:eastAsia="Arial" w:hAnsi="Arial"/>
                <w:sz w:val="18"/>
                <w:szCs w:val="18"/>
                <w:color w:val="auto"/>
                <w:w w:val="92"/>
              </w:rPr>
              <w:t>71.1 %</w:t>
            </w:r>
          </w:p>
        </w:tc>
      </w:tr>
      <w:tr>
        <w:trPr>
          <w:trHeight w:val="27"/>
        </w:trPr>
        <w:tc>
          <w:tcPr>
            <w:tcW w:w="8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8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Total member’s equity (deficit) allocable to non-controlling interest as a result of the Reorganization Transactions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(147.5)</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Historical Member’s equity (deficit)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(207.4)</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Reduction in non-controlling interest from the Offering Transactions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8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Change in historical member’s equity (deficit) allocable to non-controlling interest from the Offering Transactions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20.2</w:t>
            </w:r>
          </w:p>
        </w:tc>
      </w:tr>
      <w:tr>
        <w:trPr>
          <w:trHeight w:val="236"/>
        </w:trPr>
        <w:tc>
          <w:tcPr>
            <w:tcW w:w="8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retained earnings adjustment from the Offering Transactions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(61.9)</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Non-controlling interest ownership immediately following the Offering Transactions</w:t>
            </w:r>
          </w:p>
        </w:tc>
        <w:tc>
          <w:tcPr>
            <w:tcW w:w="140" w:type="dxa"/>
            <w:vAlign w:val="bottom"/>
          </w:tcPr>
          <w:p>
            <w:pPr>
              <w:spacing w:after="0"/>
              <w:rPr>
                <w:sz w:val="21"/>
                <w:szCs w:val="21"/>
                <w:color w:val="auto"/>
              </w:rPr>
            </w:pPr>
          </w:p>
        </w:tc>
        <w:tc>
          <w:tcPr>
            <w:tcW w:w="1480" w:type="dxa"/>
            <w:vAlign w:val="bottom"/>
          </w:tcPr>
          <w:p>
            <w:pPr>
              <w:ind w:left="940"/>
              <w:spacing w:after="0"/>
              <w:rPr>
                <w:sz w:val="20"/>
                <w:szCs w:val="20"/>
                <w:color w:val="auto"/>
              </w:rPr>
            </w:pPr>
            <w:r>
              <w:rPr>
                <w:rFonts w:ascii="Arial" w:cs="Arial" w:eastAsia="Arial" w:hAnsi="Arial"/>
                <w:sz w:val="18"/>
                <w:szCs w:val="18"/>
                <w:color w:val="auto"/>
                <w:w w:val="92"/>
              </w:rPr>
              <w:t>61.4 %</w:t>
            </w:r>
          </w:p>
        </w:tc>
      </w:tr>
      <w:tr>
        <w:trPr>
          <w:trHeight w:val="27"/>
        </w:trPr>
        <w:tc>
          <w:tcPr>
            <w:tcW w:w="8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Pro forma retained earnings adjustment allocable to non-controlling interest as a result of the Offering Transactions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(38.0)</w:t>
            </w:r>
          </w:p>
        </w:tc>
      </w:tr>
      <w:tr>
        <w:trPr>
          <w:trHeight w:val="237"/>
        </w:trPr>
        <w:tc>
          <w:tcPr>
            <w:tcW w:w="8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88"/>
        </w:trPr>
        <w:tc>
          <w:tcPr>
            <w:tcW w:w="8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member’s equity (deficit) allocable to non-controlling interest as a result of the Offering Transactions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(17.9)</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32" w:hanging="332"/>
        <w:spacing w:after="0" w:line="263" w:lineRule="auto"/>
        <w:tabs>
          <w:tab w:leader="none" w:pos="323"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a reduction in interest expense of $39.3 million and $10.1 million for the year ended December 31, 2019 and three months ended March 31, 2020, respectively, including the related accretion of original issue discount and amortization of deferred financing costs, as a result of the repayment of the second lien term loans, as if such repayment occurred on January 1, 2019.</w:t>
      </w:r>
    </w:p>
    <w:p>
      <w:pPr>
        <w:spacing w:after="0" w:line="129" w:lineRule="exact"/>
        <w:rPr>
          <w:rFonts w:ascii="Arial" w:cs="Arial" w:eastAsia="Arial" w:hAnsi="Arial"/>
          <w:sz w:val="18"/>
          <w:szCs w:val="18"/>
          <w:color w:val="auto"/>
        </w:rPr>
      </w:pPr>
    </w:p>
    <w:p>
      <w:pPr>
        <w:ind w:left="332" w:hanging="332"/>
        <w:spacing w:after="0" w:line="277" w:lineRule="auto"/>
        <w:tabs>
          <w:tab w:leader="none" w:pos="32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basic and diluted pro forma net income (loss) per share of Class A and Class C common stock represents net income (loss) attributable to ZoomInfo Technologies Inc. divided by the combination of 98.1 million shares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32"/>
          </w:cols>
          <w:pgMar w:left="328" w:top="121" w:right="339" w:bottom="1440" w:gutter="0" w:footer="0" w:header="0"/>
        </w:sectPr>
      </w:pPr>
    </w:p>
    <w:bookmarkStart w:id="104" w:name="page105"/>
    <w:bookmarkEnd w:id="104"/>
    <w:p>
      <w:pPr>
        <w:jc w:val="center"/>
        <w:ind w:right="-331"/>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1"/>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2" w:right="20"/>
        <w:spacing w:after="0" w:line="277" w:lineRule="auto"/>
        <w:rPr>
          <w:sz w:val="20"/>
          <w:szCs w:val="20"/>
          <w:color w:val="auto"/>
        </w:rPr>
      </w:pPr>
      <w:r>
        <w:rPr>
          <w:rFonts w:ascii="Arial" w:cs="Arial" w:eastAsia="Arial" w:hAnsi="Arial"/>
          <w:sz w:val="18"/>
          <w:szCs w:val="18"/>
          <w:color w:val="auto"/>
        </w:rPr>
        <w:t>of Class C common stock owned by the Pre-IPO Blocker Holders after giving effect to the Reorganization Transactions and approximately 51.2 million shares of Class A common stock sold in the IPO.</w:t>
      </w:r>
    </w:p>
    <w:p>
      <w:pPr>
        <w:spacing w:after="0" w:line="116" w:lineRule="exact"/>
        <w:rPr>
          <w:sz w:val="20"/>
          <w:szCs w:val="20"/>
          <w:color w:val="auto"/>
        </w:rPr>
      </w:pPr>
    </w:p>
    <w:p>
      <w:pPr>
        <w:ind w:left="332" w:hanging="332"/>
        <w:spacing w:after="0" w:line="277" w:lineRule="auto"/>
        <w:tabs>
          <w:tab w:leader="none" w:pos="32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shares of Class B common stock do not share in our earnings and are therefore not included in the weighted-average shares outstanding or net loss per share.</w:t>
      </w:r>
    </w:p>
    <w:p>
      <w:pPr>
        <w:spacing w:after="0" w:line="116" w:lineRule="exact"/>
        <w:rPr>
          <w:rFonts w:ascii="Arial" w:cs="Arial" w:eastAsia="Arial" w:hAnsi="Arial"/>
          <w:sz w:val="18"/>
          <w:szCs w:val="18"/>
          <w:color w:val="auto"/>
        </w:rPr>
      </w:pPr>
    </w:p>
    <w:p>
      <w:pPr>
        <w:jc w:val="both"/>
        <w:ind w:left="332" w:hanging="332"/>
        <w:spacing w:after="0" w:line="259" w:lineRule="auto"/>
        <w:tabs>
          <w:tab w:leader="none" w:pos="326"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Following the Reorganization Transactions, we became subject to U.S. federal income taxes, in addition to state and local taxes, with respect to our allocable share of any net taxable income of ZoomInfo OpCo, which will result in higher income taxes. As a result, the pro forma balance sheet reflects an adjustment to our taxes assuming the federal rates currently in effect and the highest statutory rates apportioned to each state and local jurisdiction.</w:t>
      </w:r>
    </w:p>
    <w:p>
      <w:pPr>
        <w:sectPr>
          <w:pgSz w:w="11900" w:h="16838" w:orient="portrait"/>
          <w:cols w:equalWidth="0" w:num="1">
            <w:col w:w="11232"/>
          </w:cols>
          <w:pgMar w:left="328" w:top="121" w:right="339" w:bottom="1440" w:gutter="0" w:footer="0" w:header="0"/>
        </w:sectPr>
      </w:pPr>
    </w:p>
    <w:p>
      <w:pPr>
        <w:spacing w:after="0" w:line="13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adjustments in deferred tax liabilities and deferred tax assets are as follows:</w:t>
      </w:r>
    </w:p>
    <w:p>
      <w:pPr>
        <w:spacing w:after="0" w:line="200" w:lineRule="exact"/>
        <w:rPr>
          <w:sz w:val="20"/>
          <w:szCs w:val="20"/>
          <w:color w:val="auto"/>
        </w:rPr>
      </w:pPr>
    </w:p>
    <w:p>
      <w:pPr>
        <w:spacing w:after="0" w:line="237" w:lineRule="exact"/>
        <w:rPr>
          <w:sz w:val="20"/>
          <w:szCs w:val="20"/>
          <w:color w:val="auto"/>
        </w:rPr>
      </w:pPr>
    </w:p>
    <w:p>
      <w:pPr>
        <w:ind w:left="352"/>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20955</wp:posOffset>
            </wp:positionV>
            <wp:extent cx="6652260"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52260" cy="179705"/>
                    </a:xfrm>
                    <a:prstGeom prst="rect">
                      <a:avLst/>
                    </a:prstGeom>
                    <a:noFill/>
                  </pic:spPr>
                </pic:pic>
              </a:graphicData>
            </a:graphic>
          </wp:anchor>
        </w:drawing>
      </w:r>
    </w:p>
    <w:p>
      <w:pPr>
        <w:spacing w:after="0" w:line="3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Historical deferred tax liability</w:t>
      </w:r>
    </w:p>
    <w:p>
      <w:pPr>
        <w:spacing w:after="0" w:line="50" w:lineRule="exact"/>
        <w:rPr>
          <w:sz w:val="20"/>
          <w:szCs w:val="20"/>
          <w:color w:val="auto"/>
        </w:rPr>
      </w:pPr>
    </w:p>
    <w:p>
      <w:pPr>
        <w:ind w:left="512" w:right="20" w:hanging="161"/>
        <w:spacing w:after="0" w:line="235" w:lineRule="auto"/>
        <w:rPr>
          <w:sz w:val="20"/>
          <w:szCs w:val="20"/>
          <w:color w:val="auto"/>
        </w:rPr>
      </w:pPr>
      <w:r>
        <w:rPr>
          <w:rFonts w:ascii="Arial" w:cs="Arial" w:eastAsia="Arial" w:hAnsi="Arial"/>
          <w:sz w:val="18"/>
          <w:szCs w:val="18"/>
          <w:color w:val="auto"/>
        </w:rPr>
        <w:t>Future deductions attributable to the tax receivable agreement resulting from the Reorganization Transactions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0</wp:posOffset>
            </wp:positionV>
            <wp:extent cx="665226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20" w:lineRule="exact"/>
        <w:rPr>
          <w:sz w:val="20"/>
          <w:szCs w:val="20"/>
          <w:color w:val="auto"/>
        </w:rPr>
      </w:pPr>
    </w:p>
    <w:p>
      <w:pPr>
        <w:ind w:left="352"/>
        <w:spacing w:after="0" w:line="324" w:lineRule="auto"/>
        <w:rPr>
          <w:sz w:val="20"/>
          <w:szCs w:val="20"/>
          <w:color w:val="auto"/>
        </w:rPr>
      </w:pPr>
      <w:r>
        <w:rPr>
          <w:rFonts w:ascii="Arial" w:cs="Arial" w:eastAsia="Arial" w:hAnsi="Arial"/>
          <w:sz w:val="18"/>
          <w:szCs w:val="18"/>
          <w:color w:val="auto"/>
        </w:rPr>
        <w:t>Future deductions attributable to the tax receivable agreement resulting from the Offering Transactions described below Pro forma 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665226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218" w:lineRule="exact"/>
        <w:rPr>
          <w:sz w:val="20"/>
          <w:szCs w:val="20"/>
          <w:color w:val="auto"/>
        </w:rPr>
      </w:pPr>
    </w:p>
    <w:p>
      <w:pPr>
        <w:ind w:left="352"/>
        <w:spacing w:after="0"/>
        <w:rPr>
          <w:sz w:val="20"/>
          <w:szCs w:val="20"/>
          <w:color w:val="auto"/>
        </w:rPr>
      </w:pPr>
      <w:r>
        <w:rPr>
          <w:rFonts w:ascii="Arial" w:cs="Arial" w:eastAsia="Arial" w:hAnsi="Arial"/>
          <w:sz w:val="18"/>
          <w:szCs w:val="18"/>
          <w:color w:val="auto"/>
        </w:rPr>
        <w:t>Historical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665226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70" w:lineRule="exact"/>
        <w:rPr>
          <w:sz w:val="20"/>
          <w:szCs w:val="20"/>
          <w:color w:val="auto"/>
        </w:rPr>
      </w:pPr>
    </w:p>
    <w:p>
      <w:pPr>
        <w:ind w:left="352"/>
        <w:spacing w:after="0"/>
        <w:rPr>
          <w:sz w:val="20"/>
          <w:szCs w:val="20"/>
          <w:color w:val="auto"/>
        </w:rPr>
      </w:pPr>
      <w:r>
        <w:rPr>
          <w:rFonts w:ascii="Arial" w:cs="Arial" w:eastAsia="Arial" w:hAnsi="Arial"/>
          <w:sz w:val="16"/>
          <w:szCs w:val="16"/>
          <w:color w:val="auto"/>
        </w:rPr>
        <w:t>Future deductions attributable to the tax receivable agreement resulting from the Offering Transactions described below</w:t>
      </w:r>
    </w:p>
    <w:p>
      <w:pPr>
        <w:spacing w:after="0" w:line="59" w:lineRule="exact"/>
        <w:rPr>
          <w:sz w:val="20"/>
          <w:szCs w:val="20"/>
          <w:color w:val="auto"/>
        </w:rPr>
      </w:pPr>
    </w:p>
    <w:p>
      <w:pPr>
        <w:ind w:left="352" w:right="2760"/>
        <w:spacing w:after="0" w:line="340" w:lineRule="auto"/>
        <w:rPr>
          <w:sz w:val="20"/>
          <w:szCs w:val="20"/>
          <w:color w:val="auto"/>
        </w:rPr>
      </w:pPr>
      <w:r>
        <w:rPr>
          <w:rFonts w:ascii="Arial" w:cs="Arial" w:eastAsia="Arial" w:hAnsi="Arial"/>
          <w:sz w:val="18"/>
          <w:szCs w:val="18"/>
          <w:color w:val="auto"/>
        </w:rPr>
        <w:t>ZoomInfo’s initial investment in ZoomInfo OpCo from the Offering Transactions Pro forma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-208280</wp:posOffset>
            </wp:positionV>
            <wp:extent cx="665226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center"/>
        <w:ind w:right="700"/>
        <w:spacing w:after="0"/>
        <w:rPr>
          <w:sz w:val="20"/>
          <w:szCs w:val="20"/>
          <w:color w:val="auto"/>
        </w:rPr>
      </w:pPr>
      <w:r>
        <w:rPr>
          <w:rFonts w:ascii="Arial" w:cs="Arial" w:eastAsia="Arial" w:hAnsi="Arial"/>
          <w:sz w:val="13"/>
          <w:szCs w:val="13"/>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31115</wp:posOffset>
            </wp:positionV>
            <wp:extent cx="9601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47"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2020</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(82.7)</w:t>
      </w:r>
    </w:p>
    <w:p>
      <w:pPr>
        <w:spacing w:after="0" w:line="221"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69.7</w:t>
      </w:r>
    </w:p>
    <w:p>
      <w:pPr>
        <w:spacing w:after="0" w:line="63"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31750</wp:posOffset>
            </wp:positionV>
            <wp:extent cx="9601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57"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29.0</w:t>
      </w:r>
    </w:p>
    <w:p>
      <w:pPr>
        <w:spacing w:after="0" w:line="63"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165.7</w:t>
      </w:r>
    </w:p>
    <w:p>
      <w:pPr>
        <w:spacing w:after="0" w:line="63"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194.7</w:t>
      </w:r>
    </w:p>
    <w:p>
      <w:pPr>
        <w:spacing w:after="0" w:line="198" w:lineRule="exact"/>
        <w:rPr>
          <w:sz w:val="20"/>
          <w:szCs w:val="20"/>
          <w:color w:val="auto"/>
        </w:rPr>
      </w:pPr>
    </w:p>
    <w:p>
      <w:pPr>
        <w:sectPr>
          <w:pgSz w:w="11900" w:h="16838" w:orient="portrait"/>
          <w:cols w:equalWidth="0" w:num="2">
            <w:col w:w="8972" w:space="580"/>
            <w:col w:w="1680"/>
          </w:cols>
          <w:pgMar w:left="328" w:top="121" w:right="339" w:bottom="1440" w:gutter="0" w:footer="0" w:header="0"/>
          <w:type w:val="continuous"/>
        </w:sectPr>
      </w:pPr>
    </w:p>
    <w:p>
      <w:pPr>
        <w:jc w:val="both"/>
        <w:ind w:left="332"/>
        <w:spacing w:after="0" w:line="285" w:lineRule="auto"/>
        <w:rPr>
          <w:sz w:val="20"/>
          <w:szCs w:val="20"/>
          <w:color w:val="auto"/>
        </w:rPr>
      </w:pPr>
      <w:r>
        <w:rPr>
          <w:rFonts w:ascii="Arial" w:cs="Arial" w:eastAsia="Arial" w:hAnsi="Arial"/>
          <w:sz w:val="16"/>
          <w:szCs w:val="16"/>
          <w:color w:val="auto"/>
        </w:rPr>
        <w:t>In connection with the Reorganization Transactions,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See “Certain Relationships and Related Person Transactions—Tax Receivable Agreements.” The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32"/>
          </w:cols>
          <w:pgMar w:left="328" w:top="121" w:right="339" w:bottom="1440" w:gutter="0" w:footer="0" w:header="0"/>
          <w:type w:val="continuous"/>
        </w:sectPr>
      </w:pPr>
    </w:p>
    <w:bookmarkStart w:id="105" w:name="page106"/>
    <w:bookmarkEnd w:id="10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will be accounted for as contingent liabilities, with amounts accrued when considered probable and reasonably estimable. We recorded adjustments relating to the items described in clauses (i) and (ii) above, as follows:</w:t>
      </w:r>
    </w:p>
    <w:p>
      <w:pPr>
        <w:spacing w:after="0" w:line="116" w:lineRule="exact"/>
        <w:rPr>
          <w:sz w:val="20"/>
          <w:szCs w:val="20"/>
          <w:color w:val="auto"/>
        </w:rPr>
      </w:pPr>
    </w:p>
    <w:p>
      <w:pPr>
        <w:jc w:val="both"/>
        <w:ind w:left="660" w:hanging="328"/>
        <w:spacing w:after="0" w:line="263" w:lineRule="auto"/>
        <w:tabs>
          <w:tab w:leader="none" w:pos="6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have recorded a decrease of $82.7 million in deferred tax liabilities and an increase of $29.0 million in deferred tax assets related to tax benefits from future deductions attributable to payments under the tax receivable agreements. The net change as a result of the Reorganization and Offering Transactions is $69.7 million and $42.0 million, respectively.</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have recorded $95.0 million in liabilities under the tax receivable agreements based on our estimate of the aggregate amount that we will pay to the pre-IPO owners under the tax receivable agreements. The increase as a result of the Reorganization Transactions and Offering Transactions is $59.3 million and $35.7 million, respectively.</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have recorded an increase to additional paid-in capital of $16.6 million, which is equal to the difference between the increase in deferred tax assets and the increase in liabilities under the tax receivable agreements. The increase as a result of the Reorganization Transactions and Offering Transactions is $10.4 million and $6.3 million, respectively.</w:t>
      </w:r>
    </w:p>
    <w:p>
      <w:pPr>
        <w:spacing w:after="0" w:line="130" w:lineRule="exact"/>
        <w:rPr>
          <w:sz w:val="20"/>
          <w:szCs w:val="20"/>
          <w:color w:val="auto"/>
        </w:rPr>
      </w:pPr>
    </w:p>
    <w:p>
      <w:pPr>
        <w:jc w:val="both"/>
        <w:ind w:left="340"/>
        <w:spacing w:after="0" w:line="267" w:lineRule="auto"/>
        <w:rPr>
          <w:sz w:val="20"/>
          <w:szCs w:val="20"/>
          <w:color w:val="auto"/>
        </w:rPr>
      </w:pPr>
      <w:r>
        <w:rPr>
          <w:rFonts w:ascii="Arial" w:cs="Arial" w:eastAsia="Arial" w:hAnsi="Arial"/>
          <w:sz w:val="17"/>
          <w:szCs w:val="17"/>
          <w:color w:val="auto"/>
        </w:rPr>
        <w:t>Due to the uncertainty as to the amount and timing of future exchanges of the OpCo Units by the Pre-IPO OpCo Unitholders or the HoldCo Units by the Pre-IPO HoldCo Unitholders, as applicable, and as to the price per share of our Class A common stock at the time of any such exchanges, the unaudited pro forma combined and consolidated financial information does not assume that exchanges of OpCo Units or HoldCo Units have occurred. Therefore, no increases in tax basis in ZoomInfo Technologies Inc.’s assets or other tax benefits that may be realized as a result of any such future exchanges have been reflected in the unaudited pro forma combined and consolidated financial information. However, if all of the Pre-IPO OpCo Unitholders and the Pre-IPO HoldCo Unitholders were to exchange their OpCo Units and HoldCo Units (in each case, together with a corresponding number of shares of Class B common stock), respectively, immediately following the completion of this offering, we would recognize an incremental deferred tax asset of approximately $1,469.2 million and a non-current liability of approximately $1,248.8 million based on our estimate of the aggregate amount that we will pay under the tax receivable agreements as a result of such future exchanges, assuming: (i) a constant corporate tax rate of 26.7%; (ii) that we will have sufficient taxable income to fully utilize the tax benefits; and (iii) no material changes in tax law. Assuming no change in the other assumptions, if all of the Pre-IPO OpCo Unitholders and the Pre-IPO HoldCo Unitholders were each to exchange only 50% (rather than all) of their OpCo Units and HoldCo Units, respectively, immediately following the completion of this offering we would recognize only 50% of the incremental deferred tax asset and non-current liability that we would recognize if all of the Pre-IPO OpCo Unitholders and the Pre-IPO HoldCo Unitholders were each to exchange all of their OpCo Units and HoldCo Units, respectively. These amounts are estimates and have been prepared for informational purposes only. The actual amount of deferred tax assets and related liabilities that we will recognize as a result of any such future exchanges will differ based on, among other things: (i) the amount and timing of future exchanges of OpCo Units or HoldCo Units by Pre-IPO OpCo Unitholders or Pre-IPO HoldCo Unitholders, as applicable, and the extent to which such exchanges are taxable; (ii) the price per share of our Class A common stock at the time of the exchanges; (iii) the amount and timing of future income against which to offset the tax benefits; and (iv) the tax rates then in effect.</w:t>
      </w:r>
    </w:p>
    <w:p>
      <w:pPr>
        <w:spacing w:after="0" w:line="134" w:lineRule="exact"/>
        <w:rPr>
          <w:sz w:val="20"/>
          <w:szCs w:val="20"/>
          <w:color w:val="auto"/>
        </w:rPr>
      </w:pPr>
    </w:p>
    <w:p>
      <w:pPr>
        <w:ind w:left="340" w:right="20" w:hanging="332"/>
        <w:spacing w:after="0" w:line="277" w:lineRule="auto"/>
        <w:tabs>
          <w:tab w:leader="none" w:pos="334"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Reflects the reclassification of ZoomInfo OpCo’s historic members’ equity to the par value for Class B and Class C common stock, and a reclassification of members’ equity to additional paid-in capital as a result of the Reorganization Transactions.</w:t>
      </w:r>
    </w:p>
    <w:p>
      <w:pPr>
        <w:spacing w:after="0" w:line="116"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The Pre-IPO OpCo Unitholders and the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OpCo Unitholders and the Pre-IPO HoldCo Unitholders have the right (subject to the terms of the relevant limited liability company agreement) to exchange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21" w:right="339" w:bottom="1440" w:gutter="0" w:footer="0" w:header="0"/>
        </w:sectPr>
      </w:pPr>
    </w:p>
    <w:bookmarkStart w:id="106" w:name="page107"/>
    <w:bookmarkEnd w:id="106"/>
    <w:p>
      <w:pPr>
        <w:jc w:val="center"/>
        <w:ind w:right="-331"/>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1"/>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32"/>
        <w:spacing w:after="0" w:line="342" w:lineRule="auto"/>
        <w:rPr>
          <w:sz w:val="20"/>
          <w:szCs w:val="20"/>
          <w:color w:val="auto"/>
        </w:rPr>
      </w:pPr>
      <w:r>
        <w:rPr>
          <w:rFonts w:ascii="Arial" w:cs="Arial" w:eastAsia="Arial" w:hAnsi="Arial"/>
          <w:sz w:val="16"/>
          <w:szCs w:val="16"/>
          <w:color w:val="auto"/>
        </w:rPr>
        <w:t>their OpCo Units and HoldCo Units (together with a corresponding number of shares of Class B common stock), respectively, for shares of our Class A common stock on a one-for-one basis, subject to customary conversion rate adjustments for stock splits, stock dividends, and reclassifications.</w:t>
      </w:r>
    </w:p>
    <w:p>
      <w:pPr>
        <w:spacing w:after="0" w:line="70" w:lineRule="exact"/>
        <w:rPr>
          <w:sz w:val="20"/>
          <w:szCs w:val="20"/>
          <w:color w:val="auto"/>
        </w:rPr>
      </w:pPr>
    </w:p>
    <w:p>
      <w:pPr>
        <w:jc w:val="both"/>
        <w:ind w:left="332"/>
        <w:spacing w:after="0" w:line="273" w:lineRule="auto"/>
        <w:rPr>
          <w:sz w:val="20"/>
          <w:szCs w:val="20"/>
          <w:color w:val="auto"/>
        </w:rPr>
      </w:pPr>
      <w:r>
        <w:rPr>
          <w:rFonts w:ascii="Arial" w:cs="Arial" w:eastAsia="Arial" w:hAnsi="Arial"/>
          <w:sz w:val="17"/>
          <w:szCs w:val="17"/>
          <w:color w:val="auto"/>
        </w:rPr>
        <w:t>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The outstanding shares of Class C common stock will be convertible into shares of Class A common stock on a one-for-one basis.</w:t>
      </w:r>
    </w:p>
    <w:p>
      <w:pPr>
        <w:spacing w:after="0" w:line="124" w:lineRule="exact"/>
        <w:rPr>
          <w:sz w:val="20"/>
          <w:szCs w:val="20"/>
          <w:color w:val="auto"/>
        </w:rPr>
      </w:pPr>
    </w:p>
    <w:p>
      <w:pPr>
        <w:ind w:left="332"/>
        <w:spacing w:after="0"/>
        <w:rPr>
          <w:sz w:val="20"/>
          <w:szCs w:val="20"/>
          <w:color w:val="auto"/>
        </w:rPr>
      </w:pPr>
      <w:r>
        <w:rPr>
          <w:rFonts w:ascii="Arial" w:cs="Arial" w:eastAsia="Arial" w:hAnsi="Arial"/>
          <w:sz w:val="18"/>
          <w:szCs w:val="18"/>
          <w:color w:val="auto"/>
        </w:rPr>
        <w:t>See “Certain Relationships and Related Person Transactions” and “Description of Capital Stock.”</w:t>
      </w:r>
    </w:p>
    <w:p>
      <w:pPr>
        <w:spacing w:after="0" w:line="171" w:lineRule="exact"/>
        <w:rPr>
          <w:sz w:val="20"/>
          <w:szCs w:val="20"/>
          <w:color w:val="auto"/>
        </w:rPr>
      </w:pPr>
    </w:p>
    <w:p>
      <w:pPr>
        <w:ind w:left="312" w:hanging="312"/>
        <w:spacing w:after="0"/>
        <w:tabs>
          <w:tab w:leader="none" w:pos="312"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proceeds to ZoomInfo Technologies Inc. from the IPO were approximately $1,019.6 million, after deducting the underwriting discount.</w:t>
      </w:r>
    </w:p>
    <w:p>
      <w:pPr>
        <w:spacing w:after="0" w:line="182" w:lineRule="exact"/>
        <w:rPr>
          <w:rFonts w:ascii="Arial" w:cs="Arial" w:eastAsia="Arial" w:hAnsi="Arial"/>
          <w:sz w:val="17"/>
          <w:szCs w:val="17"/>
          <w:color w:val="auto"/>
        </w:rPr>
      </w:pPr>
    </w:p>
    <w:p>
      <w:pPr>
        <w:ind w:left="332"/>
        <w:spacing w:after="0" w:line="308" w:lineRule="auto"/>
        <w:rPr>
          <w:rFonts w:ascii="Arial" w:cs="Arial" w:eastAsia="Arial" w:hAnsi="Arial"/>
          <w:sz w:val="17"/>
          <w:szCs w:val="17"/>
          <w:color w:val="auto"/>
        </w:rPr>
      </w:pPr>
      <w:r>
        <w:rPr>
          <w:rFonts w:ascii="Arial" w:cs="Arial" w:eastAsia="Arial" w:hAnsi="Arial"/>
          <w:sz w:val="17"/>
          <w:szCs w:val="17"/>
          <w:color w:val="auto"/>
        </w:rPr>
        <w:t>The decrease to long-term debt of $397.3 million is comprised of the face value of our second lien term loan of $370.0 million less unamortized discounts and debt issuance costs of $(7.7) million plus outstanding borrowings on our first lien revolving credit facility of $35.0 million.</w:t>
      </w:r>
    </w:p>
    <w:p>
      <w:pPr>
        <w:spacing w:after="0" w:line="92" w:lineRule="exact"/>
        <w:rPr>
          <w:rFonts w:ascii="Arial" w:cs="Arial" w:eastAsia="Arial" w:hAnsi="Arial"/>
          <w:sz w:val="17"/>
          <w:szCs w:val="17"/>
          <w:color w:val="auto"/>
        </w:rPr>
      </w:pPr>
    </w:p>
    <w:p>
      <w:pPr>
        <w:ind w:left="332"/>
        <w:spacing w:after="0"/>
        <w:rPr>
          <w:rFonts w:ascii="Arial" w:cs="Arial" w:eastAsia="Arial" w:hAnsi="Arial"/>
          <w:sz w:val="17"/>
          <w:szCs w:val="17"/>
          <w:color w:val="auto"/>
        </w:rPr>
      </w:pPr>
      <w:r>
        <w:rPr>
          <w:rFonts w:ascii="Arial" w:cs="Arial" w:eastAsia="Arial" w:hAnsi="Arial"/>
          <w:sz w:val="18"/>
          <w:szCs w:val="18"/>
          <w:color w:val="auto"/>
        </w:rPr>
        <w:t>A reconciliation of the gross proceeds from the IPO to the net cash proceeds to ZoomInfo OpCo is set forth below:</w:t>
      </w:r>
    </w:p>
    <w:p>
      <w:pPr>
        <w:spacing w:after="0" w:line="217" w:lineRule="exact"/>
        <w:rPr>
          <w:sz w:val="20"/>
          <w:szCs w:val="20"/>
          <w:color w:val="auto"/>
        </w:rPr>
      </w:pPr>
    </w:p>
    <w:tbl>
      <w:tblPr>
        <w:tblLayout w:type="fixed"/>
        <w:tblInd w:w="352"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As of March 31,</w:t>
            </w:r>
          </w:p>
        </w:tc>
      </w:tr>
      <w:tr>
        <w:trPr>
          <w:trHeight w:val="190"/>
        </w:trPr>
        <w:tc>
          <w:tcPr>
            <w:tcW w:w="89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7620</wp:posOffset>
            </wp:positionV>
            <wp:extent cx="665226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52260" cy="17970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p>
      <w:pPr>
        <w:spacing w:after="0" w:line="38" w:lineRule="exact"/>
        <w:rPr>
          <w:sz w:val="20"/>
          <w:szCs w:val="20"/>
          <w:color w:val="auto"/>
        </w:rPr>
      </w:pPr>
    </w:p>
    <w:p>
      <w:pPr>
        <w:ind w:left="352"/>
        <w:spacing w:after="0"/>
        <w:tabs>
          <w:tab w:leader="none" w:pos="9272" w:val="left"/>
        </w:tabs>
        <w:rPr>
          <w:sz w:val="20"/>
          <w:szCs w:val="20"/>
          <w:color w:val="auto"/>
        </w:rPr>
      </w:pPr>
      <w:r>
        <w:rPr>
          <w:rFonts w:ascii="Arial" w:cs="Arial" w:eastAsia="Arial" w:hAnsi="Arial"/>
          <w:sz w:val="18"/>
          <w:szCs w:val="18"/>
          <w:color w:val="auto"/>
        </w:rPr>
        <w:t>Initial public offering price per share in the IPO</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352"/>
        <w:spacing w:after="0"/>
        <w:rPr>
          <w:sz w:val="20"/>
          <w:szCs w:val="20"/>
          <w:color w:val="auto"/>
        </w:rPr>
      </w:pPr>
      <w:r>
        <w:rPr>
          <w:rFonts w:ascii="Arial" w:cs="Arial" w:eastAsia="Arial" w:hAnsi="Arial"/>
          <w:sz w:val="18"/>
          <w:szCs w:val="18"/>
          <w:color w:val="auto"/>
        </w:rPr>
        <w:t>Shares of Class A common stock issued in the IPO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665226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52260" cy="179705"/>
                    </a:xfrm>
                    <a:prstGeom prst="rect">
                      <a:avLst/>
                    </a:prstGeom>
                    <a:noFill/>
                  </pic:spPr>
                </pic:pic>
              </a:graphicData>
            </a:graphic>
          </wp:anchor>
        </w:drawing>
      </w:r>
    </w:p>
    <w:p>
      <w:pPr>
        <w:spacing w:after="0" w:line="57" w:lineRule="exact"/>
        <w:rPr>
          <w:sz w:val="20"/>
          <w:szCs w:val="20"/>
          <w:color w:val="auto"/>
        </w:rPr>
      </w:pPr>
    </w:p>
    <w:p>
      <w:pPr>
        <w:ind w:left="352"/>
        <w:spacing w:after="0"/>
        <w:tabs>
          <w:tab w:leader="none" w:pos="9272" w:val="left"/>
        </w:tabs>
        <w:rPr>
          <w:sz w:val="20"/>
          <w:szCs w:val="20"/>
          <w:color w:val="auto"/>
        </w:rPr>
      </w:pPr>
      <w:r>
        <w:rPr>
          <w:rFonts w:ascii="Arial" w:cs="Arial" w:eastAsia="Arial" w:hAnsi="Arial"/>
          <w:sz w:val="18"/>
          <w:szCs w:val="18"/>
          <w:color w:val="auto"/>
        </w:rPr>
        <w:t>Gross proceeds from offering of Class A common stock</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352"/>
        <w:spacing w:after="0"/>
        <w:rPr>
          <w:sz w:val="20"/>
          <w:szCs w:val="20"/>
          <w:color w:val="auto"/>
        </w:rPr>
      </w:pPr>
      <w:r>
        <w:rPr>
          <w:rFonts w:ascii="Arial" w:cs="Arial" w:eastAsia="Arial" w:hAnsi="Arial"/>
          <w:sz w:val="18"/>
          <w:szCs w:val="18"/>
          <w:color w:val="auto"/>
        </w:rPr>
        <w:t>Payment of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6652260"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52260" cy="179705"/>
                    </a:xfrm>
                    <a:prstGeom prst="rect">
                      <a:avLst/>
                    </a:prstGeom>
                    <a:noFill/>
                  </pic:spPr>
                </pic:pic>
              </a:graphicData>
            </a:graphic>
          </wp:anchor>
        </w:drawing>
      </w:r>
    </w:p>
    <w:p>
      <w:pPr>
        <w:spacing w:after="0" w:line="57" w:lineRule="exact"/>
        <w:rPr>
          <w:sz w:val="20"/>
          <w:szCs w:val="20"/>
          <w:color w:val="auto"/>
        </w:rPr>
      </w:pPr>
    </w:p>
    <w:p>
      <w:pPr>
        <w:ind w:left="352"/>
        <w:spacing w:after="0"/>
        <w:tabs>
          <w:tab w:leader="none" w:pos="9272" w:val="left"/>
        </w:tabs>
        <w:rPr>
          <w:sz w:val="20"/>
          <w:szCs w:val="20"/>
          <w:color w:val="auto"/>
        </w:rPr>
      </w:pPr>
      <w:r>
        <w:rPr>
          <w:rFonts w:ascii="Arial" w:cs="Arial" w:eastAsia="Arial" w:hAnsi="Arial"/>
          <w:sz w:val="18"/>
          <w:szCs w:val="18"/>
          <w:color w:val="auto"/>
        </w:rPr>
        <w:t>Cash proceeds received by ZoomInfo Technologies Inc.</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203200</wp:posOffset>
            </wp:positionV>
            <wp:extent cx="665226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340" w:lineRule="exact"/>
        <w:rPr>
          <w:sz w:val="20"/>
          <w:szCs w:val="20"/>
          <w:color w:val="auto"/>
        </w:rPr>
      </w:pPr>
    </w:p>
    <w:p>
      <w:pPr>
        <w:ind w:left="352"/>
        <w:spacing w:after="0"/>
        <w:rPr>
          <w:sz w:val="20"/>
          <w:szCs w:val="20"/>
          <w:color w:val="auto"/>
        </w:rPr>
      </w:pPr>
      <w:r>
        <w:rPr>
          <w:rFonts w:ascii="Arial" w:cs="Arial" w:eastAsia="Arial" w:hAnsi="Arial"/>
          <w:sz w:val="18"/>
          <w:szCs w:val="18"/>
          <w:color w:val="auto"/>
        </w:rPr>
        <w:t>Merger cash consideration payable to certain Pre-IPO Blocker Holders</w:t>
      </w:r>
    </w:p>
    <w:p>
      <w:pPr>
        <w:spacing w:after="0" w:line="63" w:lineRule="exact"/>
        <w:rPr>
          <w:sz w:val="20"/>
          <w:szCs w:val="20"/>
          <w:color w:val="auto"/>
        </w:rPr>
      </w:pPr>
    </w:p>
    <w:p>
      <w:pPr>
        <w:ind w:left="352"/>
        <w:spacing w:after="0"/>
        <w:rPr>
          <w:sz w:val="20"/>
          <w:szCs w:val="20"/>
          <w:color w:val="auto"/>
        </w:rPr>
      </w:pPr>
      <w:r>
        <w:rPr>
          <w:rFonts w:ascii="Arial" w:cs="Arial" w:eastAsia="Arial" w:hAnsi="Arial"/>
          <w:sz w:val="18"/>
          <w:szCs w:val="18"/>
          <w:color w:val="auto"/>
        </w:rPr>
        <w:t>Net proceeds used to purchase OpCo Units from certain Pre-IPO OpCo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665226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43" w:lineRule="exact"/>
        <w:rPr>
          <w:sz w:val="20"/>
          <w:szCs w:val="20"/>
          <w:color w:val="auto"/>
        </w:rPr>
      </w:pPr>
    </w:p>
    <w:p>
      <w:pPr>
        <w:ind w:left="352"/>
        <w:spacing w:after="0"/>
        <w:rPr>
          <w:sz w:val="20"/>
          <w:szCs w:val="20"/>
          <w:color w:val="auto"/>
        </w:rPr>
      </w:pPr>
      <w:r>
        <w:rPr>
          <w:rFonts w:ascii="Arial" w:cs="Arial" w:eastAsia="Arial" w:hAnsi="Arial"/>
          <w:sz w:val="16"/>
          <w:szCs w:val="16"/>
          <w:color w:val="auto"/>
        </w:rPr>
        <w:t>Estimated offering costs, exclusive of $6.8 million previously capitalized and deferred in our historical financial statements</w:t>
      </w:r>
    </w:p>
    <w:p>
      <w:pPr>
        <w:spacing w:after="0" w:line="5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Unpaid portion of $6.8 million previously capitalized offering costs</w:t>
      </w:r>
    </w:p>
    <w:p>
      <w:pPr>
        <w:spacing w:after="0" w:line="50" w:lineRule="exact"/>
        <w:rPr>
          <w:sz w:val="20"/>
          <w:szCs w:val="20"/>
          <w:color w:val="auto"/>
        </w:rPr>
      </w:pPr>
    </w:p>
    <w:p>
      <w:pPr>
        <w:ind w:left="512" w:right="280" w:hanging="161"/>
        <w:spacing w:after="0" w:line="235" w:lineRule="auto"/>
        <w:rPr>
          <w:sz w:val="20"/>
          <w:szCs w:val="20"/>
          <w:color w:val="auto"/>
        </w:rPr>
      </w:pPr>
      <w:r>
        <w:rPr>
          <w:rFonts w:ascii="Arial" w:cs="Arial" w:eastAsia="Arial" w:hAnsi="Arial"/>
          <w:sz w:val="18"/>
          <w:szCs w:val="18"/>
          <w:color w:val="auto"/>
        </w:rPr>
        <w:t>Redeem Series A Preferred units, including $74.0 million in accumulated but unpaid distributions and related prepayment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-256540</wp:posOffset>
            </wp:positionV>
            <wp:extent cx="6652260"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52260" cy="257175"/>
                    </a:xfrm>
                    <a:prstGeom prst="rect">
                      <a:avLst/>
                    </a:prstGeom>
                    <a:noFill/>
                  </pic:spPr>
                </pic:pic>
              </a:graphicData>
            </a:graphic>
          </wp:anchor>
        </w:drawing>
      </w:r>
    </w:p>
    <w:p>
      <w:pPr>
        <w:spacing w:after="0" w:line="20" w:lineRule="exact"/>
        <w:rPr>
          <w:sz w:val="20"/>
          <w:szCs w:val="20"/>
          <w:color w:val="auto"/>
        </w:rPr>
      </w:pPr>
    </w:p>
    <w:p>
      <w:pPr>
        <w:ind w:left="352" w:right="340"/>
        <w:spacing w:after="0" w:line="305" w:lineRule="auto"/>
        <w:rPr>
          <w:sz w:val="20"/>
          <w:szCs w:val="20"/>
          <w:color w:val="auto"/>
        </w:rPr>
      </w:pPr>
      <w:r>
        <w:rPr>
          <w:rFonts w:ascii="Arial" w:cs="Arial" w:eastAsia="Arial" w:hAnsi="Arial"/>
          <w:sz w:val="18"/>
          <w:szCs w:val="18"/>
          <w:color w:val="auto"/>
        </w:rPr>
        <w:t>Repay second lien term loan of $370.0 million, prepayment premium of $3.7 million and accrued interest of $6.9 million Repay outstanding revolver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-187325</wp:posOffset>
            </wp:positionV>
            <wp:extent cx="665226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ind w:left="352"/>
        <w:spacing w:after="0"/>
        <w:tabs>
          <w:tab w:leader="none" w:pos="9272" w:val="left"/>
        </w:tabs>
        <w:rPr>
          <w:sz w:val="20"/>
          <w:szCs w:val="20"/>
          <w:color w:val="auto"/>
        </w:rPr>
      </w:pPr>
      <w:r>
        <w:rPr>
          <w:rFonts w:ascii="Arial" w:cs="Arial" w:eastAsia="Arial" w:hAnsi="Arial"/>
          <w:sz w:val="18"/>
          <w:szCs w:val="18"/>
          <w:color w:val="auto"/>
        </w:rPr>
        <w:t>Net cash proceeds to ZoomInfo OpCo</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21.00</w:t>
      </w:r>
    </w:p>
    <w:p>
      <w:pPr>
        <w:spacing w:after="0" w:line="63"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51.2</w:t>
      </w:r>
    </w:p>
    <w:p>
      <w:pPr>
        <w:spacing w:after="0" w:line="77" w:lineRule="exact"/>
        <w:rPr>
          <w:sz w:val="20"/>
          <w:szCs w:val="20"/>
          <w:color w:val="auto"/>
        </w:rPr>
      </w:pPr>
    </w:p>
    <w:p>
      <w:pPr>
        <w:jc w:val="right"/>
        <w:ind w:right="580"/>
        <w:spacing w:after="0"/>
        <w:rPr>
          <w:sz w:val="20"/>
          <w:szCs w:val="20"/>
          <w:color w:val="auto"/>
        </w:rPr>
      </w:pPr>
      <w:r>
        <w:rPr>
          <w:rFonts w:ascii="Arial" w:cs="Arial" w:eastAsia="Arial" w:hAnsi="Arial"/>
          <w:sz w:val="16"/>
          <w:szCs w:val="16"/>
          <w:color w:val="auto"/>
        </w:rPr>
        <w:t>1,074.7</w:t>
      </w:r>
    </w:p>
    <w:p>
      <w:pPr>
        <w:spacing w:after="0" w:line="86"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(55.1)</w:t>
      </w:r>
    </w:p>
    <w:p>
      <w:pPr>
        <w:spacing w:after="0" w:line="77" w:lineRule="exact"/>
        <w:rPr>
          <w:sz w:val="20"/>
          <w:szCs w:val="20"/>
          <w:color w:val="auto"/>
        </w:rPr>
      </w:pPr>
    </w:p>
    <w:p>
      <w:pPr>
        <w:jc w:val="right"/>
        <w:ind w:right="580"/>
        <w:spacing w:after="0"/>
        <w:rPr>
          <w:sz w:val="20"/>
          <w:szCs w:val="20"/>
          <w:color w:val="auto"/>
        </w:rPr>
      </w:pPr>
      <w:r>
        <w:rPr>
          <w:rFonts w:ascii="Arial" w:cs="Arial" w:eastAsia="Arial" w:hAnsi="Arial"/>
          <w:sz w:val="16"/>
          <w:szCs w:val="16"/>
          <w:color w:val="auto"/>
        </w:rPr>
        <w:t>1,019.6</w:t>
      </w:r>
    </w:p>
    <w:p>
      <w:pPr>
        <w:spacing w:after="0" w:line="356"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(5.5)</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(47.2)</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(0.2)</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(4.7)</w:t>
      </w:r>
    </w:p>
    <w:p>
      <w:pPr>
        <w:spacing w:after="0" w:line="198"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(274.2)</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(380.6)</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31750</wp:posOffset>
            </wp:positionV>
            <wp:extent cx="9690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57"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272.2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31750</wp:posOffset>
            </wp:positionV>
            <wp:extent cx="9690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-531495</wp:posOffset>
            </wp:positionH>
            <wp:positionV relativeFrom="paragraph">
              <wp:posOffset>57785</wp:posOffset>
            </wp:positionV>
            <wp:extent cx="9690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92" w:space="720"/>
            <w:col w:w="1120"/>
          </w:cols>
          <w:pgMar w:left="328" w:top="121" w:right="339" w:bottom="1440" w:gutter="0" w:footer="0" w:header="0"/>
          <w:type w:val="continuous"/>
        </w:sectPr>
      </w:pPr>
    </w:p>
    <w:p>
      <w:pPr>
        <w:spacing w:after="0" w:line="52" w:lineRule="exact"/>
        <w:rPr>
          <w:sz w:val="20"/>
          <w:szCs w:val="20"/>
          <w:color w:val="auto"/>
        </w:rPr>
      </w:pPr>
    </w:p>
    <w:p>
      <w:pPr>
        <w:jc w:val="both"/>
        <w:ind w:left="332"/>
        <w:spacing w:after="0" w:line="259" w:lineRule="auto"/>
        <w:rPr>
          <w:sz w:val="20"/>
          <w:szCs w:val="20"/>
          <w:color w:val="auto"/>
        </w:rPr>
      </w:pPr>
      <w:r>
        <w:rPr>
          <w:rFonts w:ascii="Arial" w:cs="Arial" w:eastAsia="Arial" w:hAnsi="Arial"/>
          <w:sz w:val="18"/>
          <w:szCs w:val="18"/>
          <w:color w:val="auto"/>
        </w:rPr>
        <w:t>We only retained net proceeds that were used to purchase newly issued HoldCo Units from ZoomInfo HoldCo which, in turn, were used to purchase newly issued OpCo Units from ZoomInfo OpCo. We did not retain any of the net proceeds used to purchase OpCo Units from Pre-IPO OpCo Unitholders or to fund merger consideration for the Blocker Mergers. See “Certain Relationships and Related Person Transactions—Purchase of OpCo Units and Payment of Blocker Merger Consideration.”</w:t>
      </w:r>
    </w:p>
    <w:p>
      <w:pPr>
        <w:spacing w:after="0" w:line="133" w:lineRule="exact"/>
        <w:rPr>
          <w:sz w:val="20"/>
          <w:szCs w:val="20"/>
          <w:color w:val="auto"/>
        </w:rPr>
      </w:pPr>
    </w:p>
    <w:p>
      <w:pPr>
        <w:ind w:left="332" w:hanging="332"/>
        <w:spacing w:after="0" w:line="277" w:lineRule="auto"/>
        <w:tabs>
          <w:tab w:leader="none" w:pos="326"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are deferring the direct costs associated with the IPO. These costs primarily represent legal, accounting, and other direct costs and are recorded in prepaid expenses and other current assets in our consolidated balance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32"/>
          </w:cols>
          <w:pgMar w:left="328" w:top="121" w:right="339" w:bottom="1440" w:gutter="0" w:footer="0" w:header="0"/>
          <w:type w:val="continuous"/>
        </w:sectPr>
      </w:pPr>
    </w:p>
    <w:bookmarkStart w:id="107" w:name="page108"/>
    <w:bookmarkEnd w:id="10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sheet. Upon completion of the IPO, deferred costs will be charged against the proceeds from the IPO as a reduction of additional paid-in capital.</w:t>
      </w:r>
    </w:p>
    <w:p>
      <w:pPr>
        <w:spacing w:after="0" w:line="183" w:lineRule="exact"/>
        <w:rPr>
          <w:sz w:val="20"/>
          <w:szCs w:val="20"/>
          <w:color w:val="auto"/>
        </w:rPr>
      </w:pPr>
    </w:p>
    <w:p>
      <w:pPr>
        <w:jc w:val="both"/>
        <w:ind w:left="340" w:hanging="332"/>
        <w:spacing w:after="0" w:line="269" w:lineRule="auto"/>
        <w:tabs>
          <w:tab w:leader="none" w:pos="33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Reflects the increased equity-based compensation expense after giving effect to the completion of the IPO. The adjustments to the unaudited pro forma consolidated statements of operations reflect the additional expense that we expect to record that will have a continuing impact on the Company’s operations and excludes the expense that will be incurred as an immediate result of the IPO. An additional $50.5 million adjustment to retained earnings is reflected in the unaudited pro forma consolidated statement of financial condition, representing the expense we expect to record concurrently with the completion of the IPO and will not have a continuing impact on the Company’s operations. See “Management’s Discussion and Analysis of Financial Condition and Results of Operations—Critical Accounting Policies and Estimates—Equity-Based Compensation” for additional information. As discussed in the notes to the unaudited pro forma consolidated statements of operations, additional expense for the HSKB Incentive Units and HSKB Phantom awards will be recorded in periods following the IPO in accordance with the time vesting provisions of the applicable underlying awards once the units can be exchanged for common stock in the Company after an initial public offering. Alternatively, the awards only vest upon a sale of 90% of the sale of ZoomInfo OpCo.</w:t>
      </w:r>
    </w:p>
    <w:p>
      <w:pPr>
        <w:spacing w:after="0" w:line="131" w:lineRule="exact"/>
        <w:rPr>
          <w:rFonts w:ascii="Arial" w:cs="Arial" w:eastAsia="Arial" w:hAnsi="Arial"/>
          <w:sz w:val="17"/>
          <w:szCs w:val="17"/>
          <w:color w:val="auto"/>
        </w:rPr>
      </w:pPr>
    </w:p>
    <w:p>
      <w:pPr>
        <w:ind w:left="340" w:hanging="332"/>
        <w:spacing w:after="0" w:line="277" w:lineRule="auto"/>
        <w:tabs>
          <w:tab w:leader="none" w:pos="334"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an increase of $1,126.0 million to additional paid-in capital as a result of the amounts allocable to ZoomInfo Technologies Inc. from net proceeds of the IPO as follows:</w:t>
      </w:r>
    </w:p>
    <w:p>
      <w:pPr>
        <w:spacing w:after="0" w:line="162"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As of March 31,</w:t>
            </w:r>
          </w:p>
        </w:tc>
      </w:tr>
      <w:tr>
        <w:trPr>
          <w:trHeight w:val="190"/>
        </w:trPr>
        <w:tc>
          <w:tcPr>
            <w:tcW w:w="89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7620</wp:posOffset>
            </wp:positionV>
            <wp:extent cx="6652260"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5226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8" w:lineRule="exact"/>
        <w:rPr>
          <w:sz w:val="20"/>
          <w:szCs w:val="20"/>
          <w:color w:val="auto"/>
        </w:rPr>
      </w:pPr>
    </w:p>
    <w:p>
      <w:pPr>
        <w:ind w:left="360"/>
        <w:spacing w:after="0"/>
        <w:tabs>
          <w:tab w:leader="none" w:pos="9280" w:val="left"/>
        </w:tabs>
        <w:rPr>
          <w:sz w:val="20"/>
          <w:szCs w:val="20"/>
          <w:color w:val="auto"/>
        </w:rPr>
      </w:pPr>
      <w:r>
        <w:rPr>
          <w:rFonts w:ascii="Arial" w:cs="Arial" w:eastAsia="Arial" w:hAnsi="Arial"/>
          <w:sz w:val="18"/>
          <w:szCs w:val="18"/>
          <w:color w:val="auto"/>
        </w:rPr>
        <w:t>Net proceeds from the offering of Class A common stock</w:t>
      </w:r>
      <w:r>
        <w:rPr>
          <w:sz w:val="20"/>
          <w:szCs w:val="20"/>
          <w:color w:val="auto"/>
        </w:rPr>
        <w:tab/>
      </w:r>
      <w:r>
        <w:rPr>
          <w:rFonts w:ascii="Arial" w:cs="Arial" w:eastAsia="Arial" w:hAnsi="Arial"/>
          <w:sz w:val="17"/>
          <w:szCs w:val="17"/>
          <w:color w:val="auto"/>
        </w:rPr>
        <w:t>$</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Payment of estimated offering costs, exclusive of $1.8 million previously capitalized and deferred in our historical financial</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statements (see note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665226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Transaction costs incurred prior to the IPO deferred as prepaid expenses and other current assets (see note (l))</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 value of Class A common stock issued in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31750</wp:posOffset>
            </wp:positionV>
            <wp:extent cx="665226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Redemption of Series A Preferred units net of book value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Merger cash consideration payable to certain Pre-IPO Blocker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5226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proceeds used to purchase OpCo Units from certain Pre-IPO OpCo Unitholders</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ZoomInfo’s initial investment in ZoomInfo OpCo net of the increase in deferred tax assets and liabilities under the tax</w:t>
      </w:r>
    </w:p>
    <w:p>
      <w:pPr>
        <w:ind w:left="520"/>
        <w:spacing w:after="0"/>
        <w:rPr>
          <w:sz w:val="20"/>
          <w:szCs w:val="20"/>
          <w:color w:val="auto"/>
        </w:rPr>
      </w:pPr>
      <w:r>
        <w:rPr>
          <w:rFonts w:ascii="Arial" w:cs="Arial" w:eastAsia="Arial" w:hAnsi="Arial"/>
          <w:sz w:val="18"/>
          <w:szCs w:val="18"/>
          <w:color w:val="auto"/>
        </w:rPr>
        <w:t>receivable agreement as a result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665226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Vesting of certain tranches of employee incentive awards (see note (m))</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Additional paid-in capital allocable to non-controlling interests from offering (see note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31750</wp:posOffset>
            </wp:positionV>
            <wp:extent cx="6652260"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52260" cy="196850"/>
                    </a:xfrm>
                    <a:prstGeom prst="rect">
                      <a:avLst/>
                    </a:prstGeom>
                    <a:noFill/>
                  </pic:spPr>
                </pic:pic>
              </a:graphicData>
            </a:graphic>
          </wp:anchor>
        </w:drawing>
      </w:r>
    </w:p>
    <w:p>
      <w:pPr>
        <w:spacing w:after="0" w:line="57" w:lineRule="exact"/>
        <w:rPr>
          <w:sz w:val="20"/>
          <w:szCs w:val="20"/>
          <w:color w:val="auto"/>
        </w:rPr>
      </w:pPr>
    </w:p>
    <w:p>
      <w:pPr>
        <w:ind w:left="360"/>
        <w:spacing w:after="0"/>
        <w:tabs>
          <w:tab w:leader="none" w:pos="9280" w:val="left"/>
        </w:tabs>
        <w:rPr>
          <w:sz w:val="20"/>
          <w:szCs w:val="20"/>
          <w:color w:val="auto"/>
        </w:rPr>
      </w:pPr>
      <w:r>
        <w:rPr>
          <w:rFonts w:ascii="Arial" w:cs="Arial" w:eastAsia="Arial" w:hAnsi="Arial"/>
          <w:sz w:val="18"/>
          <w:szCs w:val="18"/>
          <w:color w:val="auto"/>
        </w:rPr>
        <w:t>Total increase to additional paid-in capital</w:t>
      </w:r>
      <w:r>
        <w:rPr>
          <w:sz w:val="20"/>
          <w:szCs w:val="20"/>
          <w:color w:val="auto"/>
        </w:rPr>
        <w:tab/>
      </w:r>
      <w:r>
        <w:rPr>
          <w:rFonts w:ascii="Arial" w:cs="Arial" w:eastAsia="Arial" w:hAnsi="Arial"/>
          <w:sz w:val="17"/>
          <w:szCs w:val="17"/>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 The decrease of $61.9 million to accumulated deficit as a result of the Offering Transaction is determined as follows: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right"/>
        <w:ind w:right="580"/>
        <w:spacing w:after="0"/>
        <w:rPr>
          <w:sz w:val="20"/>
          <w:szCs w:val="20"/>
          <w:color w:val="auto"/>
        </w:rPr>
      </w:pPr>
      <w:r>
        <w:rPr>
          <w:rFonts w:ascii="Arial" w:cs="Arial" w:eastAsia="Arial" w:hAnsi="Arial"/>
          <w:sz w:val="16"/>
          <w:szCs w:val="16"/>
          <w:color w:val="auto"/>
        </w:rPr>
        <w:t>1,019.6</w:t>
      </w:r>
    </w:p>
    <w:p>
      <w:pPr>
        <w:spacing w:after="0" w:line="221"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(4.9)</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(1.9)</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(0.5)</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(74.0)</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(5.5)</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(47.2)</w:t>
      </w:r>
    </w:p>
    <w:p>
      <w:pPr>
        <w:spacing w:after="0" w:line="198"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172.0</w:t>
      </w:r>
    </w:p>
    <w:p>
      <w:pPr>
        <w:spacing w:after="0" w:line="63"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50.5</w:t>
      </w:r>
    </w:p>
    <w:p>
      <w:pPr>
        <w:spacing w:after="0" w:line="63"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17.9</w:t>
      </w:r>
    </w:p>
    <w:p>
      <w:pPr>
        <w:spacing w:after="0" w:line="77" w:lineRule="exact"/>
        <w:rPr>
          <w:sz w:val="20"/>
          <w:szCs w:val="20"/>
          <w:color w:val="auto"/>
        </w:rPr>
      </w:pPr>
    </w:p>
    <w:p>
      <w:pPr>
        <w:jc w:val="right"/>
        <w:ind w:right="580"/>
        <w:spacing w:after="0"/>
        <w:rPr>
          <w:sz w:val="20"/>
          <w:szCs w:val="20"/>
          <w:color w:val="auto"/>
        </w:rPr>
      </w:pPr>
      <w:r>
        <w:rPr>
          <w:rFonts w:ascii="Arial" w:cs="Arial" w:eastAsia="Arial" w:hAnsi="Arial"/>
          <w:sz w:val="16"/>
          <w:szCs w:val="16"/>
          <w:color w:val="auto"/>
        </w:rPr>
        <w:t>1,126.0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72390</wp:posOffset>
            </wp:positionV>
            <wp:extent cx="9690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9400" w:space="720"/>
            <w:col w:w="1120"/>
          </w:cols>
          <w:pgMar w:left="320" w:top="121" w:right="339" w:bottom="1440" w:gutter="0" w:footer="0" w:header="0"/>
          <w:type w:val="continuous"/>
        </w:sectPr>
      </w:pPr>
    </w:p>
    <w:p>
      <w:pPr>
        <w:spacing w:after="0" w:line="28"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As of March 31,</w:t>
            </w:r>
          </w:p>
        </w:tc>
      </w:tr>
      <w:tr>
        <w:trPr>
          <w:trHeight w:val="190"/>
        </w:trPr>
        <w:tc>
          <w:tcPr>
            <w:tcW w:w="89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7620</wp:posOffset>
            </wp:positionV>
            <wp:extent cx="665226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5226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Vesting of certain tranches of employee incentive awards (see note (m))</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prepayment premium due upon payment of our second lien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46355</wp:posOffset>
            </wp:positionV>
            <wp:extent cx="665226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Write-off of unamortized discounts and debt issuance costs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decrease to accumulated deficit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060" w:hanging="1060"/>
        <w:spacing w:after="0"/>
        <w:tabs>
          <w:tab w:leader="none" w:pos="10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50.5</w:t>
      </w:r>
    </w:p>
    <w:p>
      <w:pPr>
        <w:spacing w:after="0" w:line="111"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3.7</w:t>
      </w:r>
    </w:p>
    <w:p>
      <w:pPr>
        <w:spacing w:after="0" w:line="97"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9690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690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-297180</wp:posOffset>
            </wp:positionV>
            <wp:extent cx="9690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91" w:lineRule="exact"/>
        <w:rPr>
          <w:sz w:val="20"/>
          <w:szCs w:val="20"/>
          <w:color w:val="auto"/>
        </w:rPr>
      </w:pPr>
    </w:p>
    <w:p>
      <w:pPr>
        <w:ind w:left="1060" w:hanging="1060"/>
        <w:spacing w:after="0"/>
        <w:tabs>
          <w:tab w:leader="none" w:pos="10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9690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690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79375</wp:posOffset>
            </wp:positionV>
            <wp:extent cx="9690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580" w:space="720"/>
            <w:col w:w="1940"/>
          </w:cols>
          <w:pgMar w:left="320" w:top="121"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40"/>
          </w:cols>
          <w:pgMar w:left="320" w:top="121" w:right="339" w:bottom="1440" w:gutter="0" w:footer="0" w:header="0"/>
          <w:type w:val="continuous"/>
        </w:sectPr>
      </w:pPr>
    </w:p>
    <w:bookmarkStart w:id="108" w:name="page109"/>
    <w:bookmarkEnd w:id="10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following tables present the selected historical consolidated financial data for ZoomInfo OpCo and its subsidiaries for the periods and the dates indicated.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through ZoomInfo HoldCo in its consolidated financial statements and record a non-controlling interest related to the OpCo Units and HoldCo Units held by our pre-IPO owners on its consolidated balance sheet and statement of operations.</w:t>
      </w:r>
    </w:p>
    <w:p>
      <w:pPr>
        <w:spacing w:after="0" w:line="12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selected consolidated statements of operations data and selected consolidated statements of cash flows data presented below for the years ended December 31, 2018 and December 31, 2019 and the selected consolidated balance sheet data presented below as of December 31, 2018 and December 31, 2019 have been derived from the consolidated financial statements of ZoomInfo OpCo included elsewhere in this prospectus. The selected historical consolidated financial information of ZoomInfo OpCo as of March 31, 2020 and for the three months ended March 31, 2019 and 2020 was derived from the unaudited consolidated financial statements of ZoomInfo OpCo included elsewhere in this prospectus. The unaudited consolidated financial statements of ZoomInfo OpCo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four-for-one stock split, which occurred on May 20, 2020.</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selected historical consolidated financial and other data of ZoomInfo Technologies Inc. has not been presented because ZoomInfo Technologies Inc. is a newly incorporated entity, has had no business transactions or activities to date, and had no assets or liabilities during the periods presented in this section.</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Historical results are not necessarily indicative of the results expected for any future period. You should read the selected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“Summary—Summary Historical and Pro Forma Financial and Other Data,” “Organizational Structure,” “Unaudited Pro Forma Combined and Consolidated Financial Information,” “Management’s Discussion and Analysis of Financial Condition and Results of Operations,” “Description of Certain Indebtedness,” and the other financial information appearing elsewhere in this prospectus.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8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4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40"/>
        </w:trPr>
        <w:tc>
          <w:tcPr>
            <w:tcW w:w="4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102.2</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14.8</w:t>
            </w: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Amortization of acquired technology</w:t>
            </w:r>
          </w:p>
        </w:tc>
        <w:tc>
          <w:tcPr>
            <w:tcW w:w="38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5.6</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224.7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81.8</w:t>
            </w:r>
          </w:p>
        </w:tc>
      </w:tr>
      <w:tr>
        <w:trPr>
          <w:trHeight w:val="196"/>
        </w:trPr>
        <w:tc>
          <w:tcPr>
            <w:tcW w:w="46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52"/>
        </w:trPr>
        <w:tc>
          <w:tcPr>
            <w:tcW w:w="4620" w:type="dxa"/>
            <w:vAlign w:val="bottom"/>
          </w:tcPr>
          <w:p>
            <w:pPr>
              <w:ind w:left="2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80" w:type="dxa"/>
            <w:vAlign w:val="bottom"/>
          </w:tcPr>
          <w:p>
            <w:pPr>
              <w:spacing w:after="0"/>
              <w:rPr>
                <w:sz w:val="24"/>
                <w:szCs w:val="24"/>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34.1</w:t>
            </w:r>
          </w:p>
        </w:tc>
      </w:tr>
      <w:tr>
        <w:trPr>
          <w:trHeight w:val="809"/>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335"/>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9" w:name="page110"/>
    <w:bookmarkEnd w:id="10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8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80" w:type="dxa"/>
            <w:vAlign w:val="bottom"/>
          </w:tcPr>
          <w:p>
            <w:pPr>
              <w:spacing w:after="0"/>
              <w:rPr>
                <w:sz w:val="23"/>
                <w:szCs w:val="23"/>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Restructuring and transaction-related expenses</w:t>
            </w:r>
          </w:p>
        </w:tc>
        <w:tc>
          <w:tcPr>
            <w:tcW w:w="3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debt extinguishment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18"/>
                <w:szCs w:val="18"/>
                <w:color w:val="auto"/>
              </w:rPr>
              <w:t xml:space="preserve">Other (income) expenses, net </w:t>
            </w:r>
            <w:r>
              <w:rPr>
                <w:rFonts w:ascii="Arial" w:cs="Arial" w:eastAsia="Arial" w:hAnsi="Arial"/>
                <w:sz w:val="23"/>
                <w:szCs w:val="23"/>
                <w:color w:val="auto"/>
                <w:vertAlign w:val="superscript"/>
              </w:rPr>
              <w:t>(2)</w:t>
            </w:r>
          </w:p>
        </w:tc>
        <w:tc>
          <w:tcPr>
            <w:tcW w:w="38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3"/>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Benefit from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Pro forma:</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per share information (unaudited)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5"/>
        </w:trPr>
        <w:tc>
          <w:tcPr>
            <w:tcW w:w="4620" w:type="dxa"/>
            <w:vAlign w:val="bottom"/>
          </w:tcPr>
          <w:p>
            <w:pPr>
              <w:ind w:left="220"/>
              <w:spacing w:after="0" w:line="176" w:lineRule="exact"/>
              <w:rPr>
                <w:sz w:val="20"/>
                <w:szCs w:val="20"/>
                <w:color w:val="auto"/>
              </w:rPr>
            </w:pPr>
            <w:r>
              <w:rPr>
                <w:rFonts w:ascii="Arial" w:cs="Arial" w:eastAsia="Arial" w:hAnsi="Arial"/>
                <w:sz w:val="18"/>
                <w:szCs w:val="18"/>
                <w:color w:val="auto"/>
                <w:w w:val="97"/>
              </w:rPr>
              <w:t>Net income (loss) attributable to ZoomInfo Technologies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620" w:type="dxa"/>
            <w:vAlign w:val="bottom"/>
          </w:tcPr>
          <w:p>
            <w:pPr>
              <w:ind w:left="400"/>
              <w:spacing w:after="0"/>
              <w:rPr>
                <w:sz w:val="20"/>
                <w:szCs w:val="20"/>
                <w:color w:val="auto"/>
              </w:rPr>
            </w:pPr>
            <w:r>
              <w:rPr>
                <w:rFonts w:ascii="Arial" w:cs="Arial" w:eastAsia="Arial" w:hAnsi="Arial"/>
                <w:sz w:val="18"/>
                <w:szCs w:val="18"/>
                <w:color w:val="auto"/>
              </w:rPr>
              <w:t>Inc.</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and diluted net income (loss) per share</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18"/>
                <w:szCs w:val="18"/>
                <w:color w:val="auto"/>
                <w:w w:val="99"/>
              </w:rPr>
              <w:t>Shares used in basic and diluted per share calculations</w:t>
            </w: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150,160,371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150,160,371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Balance Sheet Data (at period end):</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1,561.9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1,542.2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1,238.8</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Unearned revenue (including current portion)</w:t>
            </w:r>
          </w:p>
        </w:tc>
        <w:tc>
          <w:tcPr>
            <w:tcW w:w="3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1,575.5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1,597.8</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Temporary equity</w:t>
            </w:r>
          </w:p>
        </w:tc>
        <w:tc>
          <w:tcPr>
            <w:tcW w:w="38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equity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Cash Flows Data: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725.8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755.0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891"/>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3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0" w:name="page111"/>
    <w:bookmarkEnd w:id="110"/>
    <w:p>
      <w:pPr>
        <w:jc w:val="center"/>
        <w:ind w:right="-77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Includes equity-based compensation expense, as follows:</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278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20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r>
      <w:tr>
        <w:trPr>
          <w:trHeight w:val="196"/>
        </w:trPr>
        <w:tc>
          <w:tcPr>
            <w:tcW w:w="41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6.4</w:t>
            </w: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r>
      <w:tr>
        <w:trPr>
          <w:trHeight w:val="196"/>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r>
      <w:tr>
        <w:trPr>
          <w:trHeight w:val="227"/>
        </w:trPr>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equity-based compensation expense</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20" w:hanging="312"/>
        <w:spacing w:after="0"/>
        <w:tabs>
          <w:tab w:leader="none" w:pos="3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800"/>
          </w:cols>
          <w:pgMar w:left="320" w:top="121" w:right="779" w:bottom="1440" w:gutter="0" w:footer="0" w:header="0"/>
        </w:sectPr>
      </w:pPr>
    </w:p>
    <w:bookmarkStart w:id="111" w:name="page112"/>
    <w:bookmarkEnd w:id="11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prospectus, as well as the information presented under “Selected Historical Consolidated Financial Data” and “Unaudited Pro Forma Combined and Consolidated Financial Information.”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“Risk Factors” and “Forward-Looking Statements” included elsewhere in this prospectus.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Zoom Information, Inc.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30003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4924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21" w:right="339" w:bottom="1440" w:gutter="0" w:footer="0" w:header="0"/>
        </w:sectPr>
      </w:pPr>
    </w:p>
    <w:bookmarkStart w:id="112" w:name="page113"/>
    <w:bookmarkEnd w:id="11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offer access to our platform on a subscription basis and we generate substantially all of our revenue from sales of subscriptions, which accounted for 99% of revenue for the year ended December 31, 2019. Our subscription fees include the use of our platform and access to customer support. Subscriptions generally range from one to three years with over 25% of our ACV being under multi-year agreements. We typically bill our customers at the beginning of each annual or quarterly period and recognize revenue ratably over the term of the subscription period.</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9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software, insights, and data enable over 15,000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Many of our customers are software and business services companies. In 2019, approximately 39% and 29% of our customers, as measured by ACV, operated in the software and business services industries, respectively. In 2019, less than 4% of our customers, as measured by ACV, operated in the retail, restaurant, hotel, hospitality, consumer discretionary, airline, or oil and gas industries. Our net annual retention rate was 102% and 109% in 2018 and 2019, respectively. We realized improved net annual retention across all customer types, with a net annual retention rate for enterprise customers, defined as having 1,000 or more employees, of 127% in 2019, an increase from 125% in 2018. While the trend in retention improved during the three months ended March 31, 2020, we expect our net annual retention rate to face headwinds in 2020 due to the impact of COVID-19 and associated challenges with increasing sales to existing customers as sales cycles lengthen for larger deals.</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 ended December 31, 2019, no single customer contributed more than 1% of revenue. We generate less than 10% of revenue from customers outside the United States. As of December 31, 2018, over 380 customers of ZoomInfo and Pre-Acquisition ZI spent more than $100,000 in ACV on a combined basis. As of December 31, 2019, over 580 of our customers spent more than $100,000 in ACV.</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address our market opportunity, we have built and continue to tune our efficient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experienced rapid organic growth, supplemented by additional growth from acquisitions. We generated revenue of $293.3 million for the year ended December 31, 2019 and Pre-Acquisition ZI generated $9.7 million in revenue for the one-month period ended January 31, 2019 before the Zoom Information Acquisition, as compared to revenue for the year ended December 31, 2018 of $144.3 million and $72.5 million generated by us and Pre-Acquisition ZI, respectively. We generated revenue of $102.2 million for the three months ended March 31, 2020 as compared to revenue of $54.6 million generated by us for the three months ended March 31, 2019 and revenue of $9.7 million generated by Pre-Acquisition ZI for the one-month period ended January 31, 2019.</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our consolidated GAAP financial measures, we review various non-GAAP financial measures, including Allocated Combined Receipts, Adjusted Operating Income, and Adjusted Operating Income Margin. See “—Non-GAAP Financial Measures.” We generated Allocated Combined Receipts of $336.0 million for the year ended December 31, 2019, as compared to $241.2 million in 2018, and $103.6 million for the three months ended March 31, 2020, as compared to $73.1 million for the three months ended March 31, 2019. Our Adjusted Operating Income was $167.1 million for the year ended December 31, 2019, as compared to $83.7 million in 2018, and was $49.1 million for the three months ended March 31, 2020, as compared to $31.7 million in the three months ended March 31, 2019. Our Adjusted Operating Income Margin was 51% for the year ended December 31, 2019, as compared to 57% in 2018, and was 47% for the three months ended March 31, 2020, as compared to 50% for the three months ended March 31, 2019. Allocated Combined Receipts includes activity from Pre-Acquisition ZI and other acquisitions during the periods prior to our ownership of them in 2018, 2019, and the three months ended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21" w:right="339" w:bottom="1440" w:gutter="0" w:footer="0" w:header="0"/>
        </w:sectPr>
      </w:pPr>
    </w:p>
    <w:bookmarkStart w:id="113" w:name="page114"/>
    <w:bookmarkEnd w:id="11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March 31, 2019. Adjusted Operating Income and Adjusted Operating Margin do not include results of operations from acquired entities before their acquisitions.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Transactions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ZoomInfo Technologies Inc. was incorporated in November 2019 and, pursuant to a reorganization, became a holding corporation, the principal asset of which is a controlling interest in ZoomInfo HoldCo, which holds a controlling interest in ZoomInfo OpCo. ZoomInfo Technologies Inc. operates and controls all of the business and affairs of ZoomInfo OpCo through ZoomInfo HoldCo and, through ZoomInfo OpCo and its subsidiaries, conducts our business. ZoomInfo Technologies Inc. will consolidate ZoomInfo OpCo through ZoomInfo HoldCo in its consolidated financial statements and will report a non-controlling interest related to the OpCo Units or HoldCo Units held by our pre-IPO owners in our consolidated financial statements.</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Reorganization Transactions, we executed several reorganization transactions described under “Organizational Structure,” as a result of which the limited liability company agreement of ZoomInfo OpCo was amended and restated to, among other things, reclassify its outstanding preferred and common units into a new class of units that we refer to as “OpCo Units.” A portion of the Class P Units that are held by the Continuing Class P Unitholders remain as Class P Units. Pursuant to the amended and restated limited liability company agreements of ZoomInfo HoldCo and ZoomInfo OpCo, as applicable, the management of ZoomInfo HoldCo is vested in its manager and ZoomInfo HoldCo is the sole managing member of ZoomInfo OpCo.</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the amended and restated limited liability company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See “Organizational Structure” and “Certain Relationships and Related Person Transactions.”</w:t>
      </w:r>
    </w:p>
    <w:p>
      <w:pPr>
        <w:spacing w:after="0" w:line="1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Stock—Class C Common Stock.”</w:t>
      </w:r>
    </w:p>
    <w:p>
      <w:pPr>
        <w:spacing w:after="0" w:line="11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Pre-IPO OpCo Unitholders and the Pre-IPO HoldCo Unitholders that held voting units before the Offering Transactions and that continue to hold OpCo Units or HoldCo Units, as applicable,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21" w:right="339" w:bottom="1440" w:gutter="0" w:footer="0" w:header="0"/>
        </w:sectPr>
      </w:pPr>
    </w:p>
    <w:bookmarkStart w:id="114" w:name="page115"/>
    <w:bookmarkEnd w:id="11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stockholders of ZoomInfo Technologies Inc. are entitled to vote generally. Holders of outstanding shares of our Class A common stock, Class B common stock, and Class C common stock vote as a single class on all matters on which stockholders are entitled to vote generally, except as otherwise required by law. See “Description of Capital Stock—Common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Acquire New Customers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Additionally, acquiring new customers strengthens the power of our contributory network. We will need to continue to invest in our efficient go-to-market effort to acquire new customers. As of December 31, 2018, we had over 11,000 customers on a combined basis, including non-overlapping customers of Pre-Acquisition ZI. As of December 31, 2019, we had over 14,000 customers. As of March 31, 2019 and March 31, 2020, we had over 12,000 and 15,000 customers, respectively. We define a customer as a company that maintains one or more active paid subscriptions to our platform.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 Additional High-Value Solutions to Our Existing Customers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Many of our customers increase spending with us by adding users as they increase their use of our platform. Several of our largest customers have expanded the deployment of our platform across their organizations following their initial deployment. We believe there is a significant opportunity to add additional users within our existing customers.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ability to expand relationships with existing customers is demonstrated by our net annual retention rate. Our net annual retention rate for the years ended December 31, 2018 and 2019 was 102% and 109%, respectively. We realized improved net annual retention across all customer types, with a net annual retention rate for enterprise customers, defined as having 1,000 or more employees, of 127% in 2019, an increase from 125% in 2018. The net annual retention rate for mid-market customers, defined as having 100 to 999 employees, was 112% in 2019, as compared to 105% in 2018, and the net annual retention rate for small business customers, defined as having fewer than 100 employees, was 87% in 2019, as compared to 78% in 2018. We define annual net revenue retention as the total ACV generated by our customers and customers of Pre-Acquisition ZI at the end of the year divided by the ACV generated by the same group of customers at the end of the prior year. We believe that our ability to retain and grow the subscription revenue generated from our existing customers is an indicator of the long-term value of our customer relationships.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21" w:right="339" w:bottom="1440" w:gutter="0" w:footer="0" w:header="0"/>
        </w:sectPr>
      </w:pPr>
    </w:p>
    <w:bookmarkStart w:id="115" w:name="page116"/>
    <w:bookmarkEnd w:id="11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Allocated Combined Receipts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Allocated Combined Receipts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8"/>
              </w:rPr>
              <w:t>293.3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4"/>
              </w:rPr>
              <w:t>102.2</w:t>
            </w:r>
          </w:p>
        </w:tc>
        <w:tc>
          <w:tcPr>
            <w:tcW w:w="0" w:type="dxa"/>
            <w:vAlign w:val="bottom"/>
          </w:tcPr>
          <w:p>
            <w:pPr>
              <w:spacing w:after="0"/>
              <w:rPr>
                <w:sz w:val="1"/>
                <w:szCs w:val="1"/>
                <w:color w:val="auto"/>
              </w:rPr>
            </w:pPr>
          </w:p>
        </w:tc>
      </w:tr>
      <w:tr>
        <w:trPr>
          <w:trHeight w:val="175"/>
        </w:trPr>
        <w:tc>
          <w:tcPr>
            <w:tcW w:w="4560" w:type="dxa"/>
            <w:vAlign w:val="bottom"/>
          </w:tcPr>
          <w:p>
            <w:pPr>
              <w:ind w:left="240"/>
              <w:spacing w:after="0" w:line="176" w:lineRule="exact"/>
              <w:rPr>
                <w:sz w:val="20"/>
                <w:szCs w:val="20"/>
                <w:color w:val="auto"/>
              </w:rPr>
            </w:pPr>
            <w:r>
              <w:rPr>
                <w:rFonts w:ascii="Arial" w:cs="Arial" w:eastAsia="Arial" w:hAnsi="Arial"/>
                <w:sz w:val="18"/>
                <w:szCs w:val="18"/>
                <w:color w:val="auto"/>
              </w:rPr>
              <w:t>Impact of fair value adjustments to acquired unearned</w:t>
            </w:r>
          </w:p>
        </w:tc>
        <w:tc>
          <w:tcPr>
            <w:tcW w:w="940" w:type="dxa"/>
            <w:vAlign w:val="bottom"/>
          </w:tcPr>
          <w:p>
            <w:pPr>
              <w:spacing w:after="0"/>
              <w:rPr>
                <w:sz w:val="15"/>
                <w:szCs w:val="15"/>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vMerge w:val="restart"/>
          </w:tcPr>
          <w:p>
            <w:pPr>
              <w:jc w:val="right"/>
              <w:ind w:right="15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vMerge w:val="restart"/>
          </w:tcPr>
          <w:p>
            <w:pPr>
              <w:jc w:val="right"/>
              <w:ind w:right="7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vMerge w:val="restart"/>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line="230"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(a)</w:t>
            </w:r>
          </w:p>
        </w:tc>
        <w:tc>
          <w:tcPr>
            <w:tcW w:w="9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Pre-Acquisition ZI revenue</w:t>
            </w:r>
            <w:r>
              <w:rPr>
                <w:rFonts w:ascii="Arial" w:cs="Arial" w:eastAsia="Arial" w:hAnsi="Arial"/>
                <w:sz w:val="23"/>
                <w:szCs w:val="23"/>
                <w:color w:val="auto"/>
                <w:vertAlign w:val="superscript"/>
              </w:rPr>
              <w:t>(b)</w:t>
            </w:r>
          </w:p>
        </w:tc>
        <w:tc>
          <w:tcPr>
            <w:tcW w:w="9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560" w:type="dxa"/>
            <w:vAlign w:val="bottom"/>
          </w:tcPr>
          <w:p>
            <w:pPr>
              <w:ind w:left="240"/>
              <w:spacing w:after="0" w:line="176" w:lineRule="exact"/>
              <w:rPr>
                <w:sz w:val="20"/>
                <w:szCs w:val="20"/>
                <w:color w:val="auto"/>
              </w:rPr>
            </w:pPr>
            <w:r>
              <w:rPr>
                <w:rFonts w:ascii="Arial" w:cs="Arial" w:eastAsia="Arial" w:hAnsi="Arial"/>
                <w:sz w:val="18"/>
                <w:szCs w:val="18"/>
                <w:color w:val="auto"/>
              </w:rPr>
              <w:t>Impact of fair value adjustments to acquired unearned</w:t>
            </w:r>
          </w:p>
        </w:tc>
        <w:tc>
          <w:tcPr>
            <w:tcW w:w="940" w:type="dxa"/>
            <w:vAlign w:val="bottom"/>
          </w:tcPr>
          <w:p>
            <w:pPr>
              <w:spacing w:after="0"/>
              <w:rPr>
                <w:sz w:val="15"/>
                <w:szCs w:val="15"/>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vMerge w:val="restart"/>
          </w:tcPr>
          <w:p>
            <w:pPr>
              <w:jc w:val="right"/>
              <w:ind w:right="15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vMerge w:val="restart"/>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line="230" w:lineRule="exact"/>
              <w:rPr>
                <w:sz w:val="20"/>
                <w:szCs w:val="20"/>
                <w:color w:val="auto"/>
              </w:rPr>
            </w:pPr>
            <w:r>
              <w:rPr>
                <w:rFonts w:ascii="Arial" w:cs="Arial" w:eastAsia="Arial" w:hAnsi="Arial"/>
                <w:sz w:val="18"/>
                <w:szCs w:val="18"/>
                <w:color w:val="auto"/>
              </w:rPr>
              <w:t>revenue recorded by Pre-Acquisition ZI</w:t>
            </w:r>
            <w:r>
              <w:rPr>
                <w:rFonts w:ascii="Arial" w:cs="Arial" w:eastAsia="Arial" w:hAnsi="Arial"/>
                <w:sz w:val="23"/>
                <w:szCs w:val="23"/>
                <w:color w:val="auto"/>
                <w:vertAlign w:val="superscript"/>
              </w:rPr>
              <w:t>(c)</w:t>
            </w:r>
          </w:p>
        </w:tc>
        <w:tc>
          <w:tcPr>
            <w:tcW w:w="9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Pre-acquisition revenue of other acquired companies</w:t>
            </w:r>
            <w:r>
              <w:rPr>
                <w:rFonts w:ascii="Arial" w:cs="Arial" w:eastAsia="Arial" w:hAnsi="Arial"/>
                <w:sz w:val="23"/>
                <w:szCs w:val="23"/>
                <w:color w:val="auto"/>
                <w:w w:val="97"/>
                <w:vertAlign w:val="superscript"/>
              </w:rPr>
              <w:t>(d)</w:t>
            </w:r>
          </w:p>
        </w:tc>
        <w:tc>
          <w:tcPr>
            <w:tcW w:w="9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560" w:type="dxa"/>
            <w:vAlign w:val="bottom"/>
          </w:tcPr>
          <w:p>
            <w:pPr>
              <w:ind w:left="20"/>
              <w:spacing w:after="0"/>
              <w:rPr>
                <w:sz w:val="20"/>
                <w:szCs w:val="20"/>
                <w:color w:val="auto"/>
              </w:rPr>
            </w:pPr>
            <w:r>
              <w:rPr>
                <w:rFonts w:ascii="Arial" w:cs="Arial" w:eastAsia="Arial" w:hAnsi="Arial"/>
                <w:sz w:val="18"/>
                <w:szCs w:val="18"/>
                <w:color w:val="auto"/>
              </w:rPr>
              <w:t>Allocated Combined Receipts</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241.2</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8"/>
              </w:rPr>
              <w:t>336.0</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4"/>
              </w:rPr>
              <w:t>103.6</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Growth</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39 %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42 %</w:t>
            </w:r>
          </w:p>
        </w:tc>
        <w:tc>
          <w:tcPr>
            <w:tcW w:w="0" w:type="dxa"/>
            <w:vAlign w:val="bottom"/>
          </w:tcPr>
          <w:p>
            <w:pPr>
              <w:spacing w:after="0"/>
              <w:rPr>
                <w:sz w:val="1"/>
                <w:szCs w:val="1"/>
                <w:color w:val="auto"/>
              </w:rPr>
            </w:pPr>
          </w:p>
        </w:tc>
      </w:tr>
      <w:tr>
        <w:trPr>
          <w:trHeight w:val="155"/>
        </w:trPr>
        <w:tc>
          <w:tcPr>
            <w:tcW w:w="456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37"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7" w:val="left"/>
        </w:tabs>
        <w:numPr>
          <w:ilvl w:val="0"/>
          <w:numId w:val="92"/>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32" w:val="left"/>
        </w:tabs>
        <w:numPr>
          <w:ilvl w:val="0"/>
          <w:numId w:val="92"/>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and Komiko in October 2019. Figures include revenue recognized by these entities for the periods presented prior to their respective acquisitions.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21" w:right="339" w:bottom="1440" w:gutter="0" w:footer="0" w:header="0"/>
        </w:sectPr>
      </w:pPr>
    </w:p>
    <w:bookmarkStart w:id="116" w:name="page117"/>
    <w:bookmarkEnd w:id="11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Allocated Combined Receipts for the year ended December 31, 2019 was $336.0 million, which represented growth of $94.8 million, or 39%, relative to the year ended December 31, 2018. Allocated Combined Receipts for the three months ended March 31, 2020 was $103.6 million, which represented growth of $30.5 million, or 42%, relative to the three months ended March 31, 2019. We consider this to be our organic growth, representative of the growth in receipts from customers allocated to the period of service delivery. This growth was primarily attributed to sales to new customers in the applicable and preceding periods, while incremental sales to existing customers were mostly offset by cancellations and reductions of subscriptions upon renewal.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 and Adjusted Operating Income Margin</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loss to Adjusted Operating Income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8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Provision for taxes</w:t>
            </w: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3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640" w:type="dxa"/>
            <w:vAlign w:val="bottom"/>
          </w:tcPr>
          <w:p>
            <w:pPr>
              <w:ind w:left="42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6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Impact of fair value adjustments to acquired unearned</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Amortization of acquired technology</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other acquired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transaction-related expenses</w:t>
            </w:r>
            <w:r>
              <w:rPr>
                <w:rFonts w:ascii="Arial" w:cs="Arial" w:eastAsia="Arial" w:hAnsi="Arial"/>
                <w:sz w:val="23"/>
                <w:szCs w:val="23"/>
                <w:color w:val="auto"/>
                <w:vertAlign w:val="superscript"/>
              </w:rPr>
              <w:t>(c)</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4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7"/>
              </w:rPr>
              <w:t>Integration costs and acquisition-related compensation</w:t>
            </w:r>
            <w:r>
              <w:rPr>
                <w:rFonts w:ascii="Arial" w:cs="Arial" w:eastAsia="Arial" w:hAnsi="Arial"/>
                <w:sz w:val="23"/>
                <w:szCs w:val="23"/>
                <w:color w:val="auto"/>
                <w:w w:val="97"/>
                <w:vertAlign w:val="superscript"/>
              </w:rPr>
              <w:t>(d)</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8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167.1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21" w:right="339" w:bottom="1440" w:gutter="0" w:footer="0" w:header="0"/>
        </w:sectPr>
      </w:pPr>
    </w:p>
    <w:bookmarkStart w:id="117" w:name="page118"/>
    <w:bookmarkEnd w:id="11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40" w:hanging="332"/>
        <w:spacing w:after="0" w:line="263" w:lineRule="auto"/>
        <w:tabs>
          <w:tab w:leader="none" w:pos="337"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the IPO. For the three months ended March 31, 2019, this expense related primarily to the acquisition of Pre-Acquisition ZI, including professional fees, severance, and acceleration of payments for terminated employees.</w:t>
      </w:r>
    </w:p>
    <w:p>
      <w:pPr>
        <w:spacing w:after="0" w:line="2" w:lineRule="exact"/>
        <w:rPr>
          <w:rFonts w:ascii="Arial" w:cs="Arial" w:eastAsia="Arial" w:hAnsi="Arial"/>
          <w:sz w:val="13"/>
          <w:szCs w:val="13"/>
          <w:color w:val="auto"/>
        </w:rPr>
      </w:pPr>
    </w:p>
    <w:p>
      <w:pPr>
        <w:jc w:val="both"/>
        <w:ind w:left="340" w:hanging="332"/>
        <w:spacing w:after="0" w:line="263" w:lineRule="auto"/>
        <w:tabs>
          <w:tab w:leader="none" w:pos="332"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1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278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20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r>
      <w:tr>
        <w:trPr>
          <w:trHeight w:val="196"/>
        </w:trPr>
        <w:tc>
          <w:tcPr>
            <w:tcW w:w="41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w:t>
            </w: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r>
      <w:tr>
        <w:trPr>
          <w:trHeight w:val="196"/>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r>
      <w:tr>
        <w:trPr>
          <w:trHeight w:val="227"/>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define Adjusted Operating Income Margin as Adjusted Operating Income divided by the sum of revenue and the impact of fair value adjustments to acquired unearned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8"/>
              </w:rPr>
              <w:t>167.1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49.1</w:t>
            </w:r>
          </w:p>
        </w:tc>
      </w:tr>
      <w:tr>
        <w:trPr>
          <w:trHeight w:val="27"/>
        </w:trPr>
        <w:tc>
          <w:tcPr>
            <w:tcW w:w="4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Revenue</w:t>
      </w:r>
    </w:p>
    <w:p>
      <w:pPr>
        <w:spacing w:after="0" w:line="50" w:lineRule="exact"/>
        <w:rPr>
          <w:sz w:val="20"/>
          <w:szCs w:val="20"/>
          <w:color w:val="auto"/>
        </w:rPr>
      </w:pPr>
    </w:p>
    <w:p>
      <w:pPr>
        <w:ind w:left="400" w:right="600" w:hanging="161"/>
        <w:spacing w:after="0" w:line="235" w:lineRule="auto"/>
        <w:rPr>
          <w:sz w:val="20"/>
          <w:szCs w:val="20"/>
          <w:color w:val="auto"/>
        </w:rPr>
      </w:pPr>
      <w:r>
        <w:rPr>
          <w:rFonts w:ascii="Arial" w:cs="Arial" w:eastAsia="Arial" w:hAnsi="Arial"/>
          <w:sz w:val="18"/>
          <w:szCs w:val="18"/>
          <w:color w:val="auto"/>
        </w:rPr>
        <w:t>Impact of fair value adjustments to acquired unearned revenue</w:t>
      </w:r>
    </w:p>
    <w:p>
      <w:pPr>
        <w:spacing w:after="0" w:line="40" w:lineRule="exact"/>
        <w:rPr>
          <w:sz w:val="20"/>
          <w:szCs w:val="20"/>
          <w:color w:val="auto"/>
        </w:rPr>
      </w:pPr>
    </w:p>
    <w:p>
      <w:pPr>
        <w:ind w:left="220" w:right="860" w:firstLine="18"/>
        <w:spacing w:after="0" w:line="341" w:lineRule="auto"/>
        <w:rPr>
          <w:sz w:val="20"/>
          <w:szCs w:val="20"/>
          <w:color w:val="auto"/>
        </w:rPr>
      </w:pPr>
      <w:r>
        <w:rPr>
          <w:rFonts w:ascii="Arial" w:cs="Arial" w:eastAsia="Arial" w:hAnsi="Arial"/>
          <w:sz w:val="17"/>
          <w:szCs w:val="17"/>
          <w:color w:val="auto"/>
        </w:rPr>
        <w:t xml:space="preserve">Revenue for adjusted operating margin calculation </w:t>
      </w:r>
      <w:r>
        <w:rPr>
          <w:rFonts w:ascii="Arial" w:cs="Arial" w:eastAsia="Arial" w:hAnsi="Arial"/>
          <w:sz w:val="17"/>
          <w:szCs w:val="17"/>
          <w:i w:val="1"/>
          <w:iCs w:val="1"/>
          <w:color w:val="auto"/>
        </w:rPr>
        <w:t>Adjusted Operating Income Margin</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jc w:val="right"/>
              <w:ind w:right="670"/>
              <w:spacing w:after="0"/>
              <w:rPr>
                <w:sz w:val="20"/>
                <w:szCs w:val="20"/>
                <w:color w:val="auto"/>
              </w:rPr>
            </w:pPr>
            <w:r>
              <w:rPr>
                <w:rFonts w:ascii="Arial" w:cs="Arial" w:eastAsia="Arial" w:hAnsi="Arial"/>
                <w:sz w:val="18"/>
                <w:szCs w:val="18"/>
                <w:color w:val="auto"/>
                <w:w w:val="84"/>
              </w:rPr>
              <w:t>144.3</w:t>
            </w:r>
          </w:p>
        </w:tc>
        <w:tc>
          <w:tcPr>
            <w:tcW w:w="1780" w:type="dxa"/>
            <w:vAlign w:val="bottom"/>
          </w:tcPr>
          <w:p>
            <w:pPr>
              <w:jc w:val="right"/>
              <w:ind w:right="730"/>
              <w:spacing w:after="0"/>
              <w:rPr>
                <w:sz w:val="20"/>
                <w:szCs w:val="20"/>
                <w:color w:val="auto"/>
              </w:rPr>
            </w:pPr>
            <w:r>
              <w:rPr>
                <w:rFonts w:ascii="Arial" w:cs="Arial" w:eastAsia="Arial" w:hAnsi="Arial"/>
                <w:sz w:val="18"/>
                <w:szCs w:val="18"/>
                <w:color w:val="auto"/>
              </w:rPr>
              <w:t>293.3</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54.6</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102.2</w:t>
            </w:r>
          </w:p>
        </w:tc>
      </w:tr>
      <w:tr>
        <w:trPr>
          <w:trHeight w:val="405"/>
        </w:trPr>
        <w:tc>
          <w:tcPr>
            <w:tcW w:w="1160" w:type="dxa"/>
            <w:vAlign w:val="bottom"/>
          </w:tcPr>
          <w:p>
            <w:pPr>
              <w:jc w:val="right"/>
              <w:ind w:right="670"/>
              <w:spacing w:after="0"/>
              <w:rPr>
                <w:sz w:val="20"/>
                <w:szCs w:val="20"/>
                <w:color w:val="auto"/>
              </w:rPr>
            </w:pPr>
            <w:r>
              <w:rPr>
                <w:rFonts w:ascii="Arial" w:cs="Arial" w:eastAsia="Arial" w:hAnsi="Arial"/>
                <w:sz w:val="18"/>
                <w:szCs w:val="18"/>
                <w:color w:val="auto"/>
              </w:rPr>
              <w:t>2.9</w:t>
            </w:r>
          </w:p>
        </w:tc>
        <w:tc>
          <w:tcPr>
            <w:tcW w:w="1780" w:type="dxa"/>
            <w:vAlign w:val="bottom"/>
          </w:tcPr>
          <w:p>
            <w:pPr>
              <w:jc w:val="right"/>
              <w:ind w:right="730"/>
              <w:spacing w:after="0"/>
              <w:rPr>
                <w:sz w:val="20"/>
                <w:szCs w:val="20"/>
                <w:color w:val="auto"/>
              </w:rPr>
            </w:pPr>
            <w:r>
              <w:rPr>
                <w:rFonts w:ascii="Arial" w:cs="Arial" w:eastAsia="Arial" w:hAnsi="Arial"/>
                <w:sz w:val="18"/>
                <w:szCs w:val="18"/>
                <w:color w:val="auto"/>
              </w:rPr>
              <w:t>32.2</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8.5</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1.4</w:t>
            </w:r>
          </w:p>
        </w:tc>
      </w:tr>
      <w:tr>
        <w:trPr>
          <w:trHeight w:val="270"/>
        </w:trPr>
        <w:tc>
          <w:tcPr>
            <w:tcW w:w="1160" w:type="dxa"/>
            <w:vAlign w:val="bottom"/>
          </w:tcPr>
          <w:p>
            <w:pPr>
              <w:jc w:val="right"/>
              <w:ind w:right="670"/>
              <w:spacing w:after="0"/>
              <w:rPr>
                <w:sz w:val="20"/>
                <w:szCs w:val="20"/>
                <w:color w:val="auto"/>
              </w:rPr>
            </w:pPr>
            <w:r>
              <w:rPr>
                <w:rFonts w:ascii="Arial" w:cs="Arial" w:eastAsia="Arial" w:hAnsi="Arial"/>
                <w:sz w:val="18"/>
                <w:szCs w:val="18"/>
                <w:color w:val="auto"/>
                <w:w w:val="84"/>
              </w:rPr>
              <w:t>147.2</w:t>
            </w:r>
          </w:p>
        </w:tc>
        <w:tc>
          <w:tcPr>
            <w:tcW w:w="1780" w:type="dxa"/>
            <w:vAlign w:val="bottom"/>
          </w:tcPr>
          <w:p>
            <w:pPr>
              <w:jc w:val="right"/>
              <w:ind w:right="730"/>
              <w:spacing w:after="0"/>
              <w:rPr>
                <w:sz w:val="20"/>
                <w:szCs w:val="20"/>
                <w:color w:val="auto"/>
              </w:rPr>
            </w:pPr>
            <w:r>
              <w:rPr>
                <w:rFonts w:ascii="Arial" w:cs="Arial" w:eastAsia="Arial" w:hAnsi="Arial"/>
                <w:sz w:val="18"/>
                <w:szCs w:val="18"/>
                <w:color w:val="auto"/>
              </w:rPr>
              <w:t>325.6</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63.1</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103.6</w:t>
            </w:r>
          </w:p>
        </w:tc>
      </w:tr>
      <w:tr>
        <w:trPr>
          <w:trHeight w:val="270"/>
        </w:trPr>
        <w:tc>
          <w:tcPr>
            <w:tcW w:w="1160" w:type="dxa"/>
            <w:vAlign w:val="bottom"/>
          </w:tcPr>
          <w:p>
            <w:pPr>
              <w:jc w:val="right"/>
              <w:ind w:right="450"/>
              <w:spacing w:after="0"/>
              <w:rPr>
                <w:sz w:val="20"/>
                <w:szCs w:val="20"/>
                <w:color w:val="auto"/>
              </w:rPr>
            </w:pPr>
            <w:r>
              <w:rPr>
                <w:rFonts w:ascii="Arial" w:cs="Arial" w:eastAsia="Arial" w:hAnsi="Arial"/>
                <w:sz w:val="18"/>
                <w:szCs w:val="18"/>
                <w:i w:val="1"/>
                <w:iCs w:val="1"/>
                <w:color w:val="auto"/>
              </w:rPr>
              <w:t>57 %</w:t>
            </w:r>
          </w:p>
        </w:tc>
        <w:tc>
          <w:tcPr>
            <w:tcW w:w="1780" w:type="dxa"/>
            <w:vAlign w:val="bottom"/>
          </w:tcPr>
          <w:p>
            <w:pPr>
              <w:jc w:val="right"/>
              <w:ind w:right="510"/>
              <w:spacing w:after="0"/>
              <w:rPr>
                <w:sz w:val="20"/>
                <w:szCs w:val="20"/>
                <w:color w:val="auto"/>
              </w:rPr>
            </w:pPr>
            <w:r>
              <w:rPr>
                <w:rFonts w:ascii="Arial" w:cs="Arial" w:eastAsia="Arial" w:hAnsi="Arial"/>
                <w:sz w:val="18"/>
                <w:szCs w:val="18"/>
                <w:i w:val="1"/>
                <w:iCs w:val="1"/>
                <w:color w:val="auto"/>
              </w:rPr>
              <w:t>51 %</w:t>
            </w:r>
          </w:p>
        </w:tc>
        <w:tc>
          <w:tcPr>
            <w:tcW w:w="1660" w:type="dxa"/>
            <w:vAlign w:val="bottom"/>
          </w:tcPr>
          <w:p>
            <w:pPr>
              <w:jc w:val="right"/>
              <w:ind w:right="450"/>
              <w:spacing w:after="0"/>
              <w:rPr>
                <w:sz w:val="20"/>
                <w:szCs w:val="20"/>
                <w:color w:val="auto"/>
              </w:rPr>
            </w:pPr>
            <w:r>
              <w:rPr>
                <w:rFonts w:ascii="Arial" w:cs="Arial" w:eastAsia="Arial" w:hAnsi="Arial"/>
                <w:sz w:val="18"/>
                <w:szCs w:val="18"/>
                <w:i w:val="1"/>
                <w:iCs w:val="1"/>
                <w:color w:val="auto"/>
              </w:rPr>
              <w:t>50 %</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-325120</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4720" w:space="720"/>
            <w:col w:w="5800"/>
          </w:cols>
          <w:pgMar w:left="320" w:top="121" w:right="339" w:bottom="1440" w:gutter="0" w:footer="0" w:header="0"/>
          <w:type w:val="continuous"/>
        </w:sectPr>
      </w:pPr>
    </w:p>
    <w:p>
      <w:pPr>
        <w:jc w:val="both"/>
        <w:ind w:firstLine="324"/>
        <w:spacing w:after="0" w:line="273" w:lineRule="auto"/>
        <w:rPr>
          <w:sz w:val="20"/>
          <w:szCs w:val="20"/>
          <w:color w:val="auto"/>
        </w:rPr>
      </w:pPr>
      <w:r>
        <w:rPr>
          <w:rFonts w:ascii="Arial" w:cs="Arial" w:eastAsia="Arial" w:hAnsi="Arial"/>
          <w:sz w:val="17"/>
          <w:szCs w:val="17"/>
          <w:color w:val="auto"/>
        </w:rPr>
        <w:t>Adjusted Operating Income for the year ended December 31, 2019 was $167.1 million and represented an Adjusted Operating Income Margin of 51%. Adjusted Operating Income for the year ended December 31, 2018 was $83.7 million and represented an Adjusted Operating Income Margin of 57%. Growth in Adjusted Operating Income in the year ended December 31, 2019 relative to the year ended December 31, 2018 was an increase of $83.5 million, or 100%, and was driven primarily from the growth in revenue that resulted from the acquisition of Pre-Acquisition ZI and additional customers in 2018 and 2019. Adjusted Operating Income Margin decreased to 51% in the year ended December 31, 2019 from 57% in the year ended December 31, 2018 due to the lower margin profile of the Pre-Acquisition ZI business, and investment to drive revenue growth.</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Adjusted Operating Income for the three months ended March 31, 2020 was $49.1 million and represented an Adjusted Operating Income Margin of 47%. Adjusted Operating Income for the three months ended March 31, 2019 was $31.7 million and represented an Adjusted Operating Income Margin of</w:t>
      </w:r>
    </w:p>
    <w:p>
      <w:pPr>
        <w:jc w:val="both"/>
        <w:spacing w:after="0" w:line="260" w:lineRule="auto"/>
        <w:rPr>
          <w:sz w:val="20"/>
          <w:szCs w:val="20"/>
          <w:color w:val="auto"/>
        </w:rPr>
      </w:pPr>
      <w:r>
        <w:rPr>
          <w:rFonts w:ascii="Arial" w:cs="Arial" w:eastAsia="Arial" w:hAnsi="Arial"/>
          <w:sz w:val="18"/>
          <w:szCs w:val="18"/>
          <w:color w:val="auto"/>
        </w:rPr>
        <w:t>50%. Growth in Adjusted Operating Income for the three months ended March 31, 2020 relative to the three months ended March 31, 2019 was an increase of $17.4 million, or 55%, and was driven primarily from the growth in revenue that resulted from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21" w:right="339" w:bottom="1440" w:gutter="0" w:footer="0" w:header="0"/>
          <w:type w:val="continuous"/>
        </w:sectPr>
      </w:pPr>
    </w:p>
    <w:bookmarkStart w:id="118" w:name="page119"/>
    <w:bookmarkEnd w:id="11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 of Pre-Acquisition ZI and additional customers in 2019 and 2020. Adjusted Operating Income Margin decreased to 47% in the three months ended March 31, 2020 from 50% in the three months ended March 31, 2019 due to the lower margin profile of the Pre-Acquisition ZI business, which only impacted the latter two months of the period in 2019, and incremental investment to drive revenue growth.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loss to Adjusted EBITDA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8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64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640" w:type="dxa"/>
            <w:vAlign w:val="bottom"/>
          </w:tcPr>
          <w:p>
            <w:pPr>
              <w:ind w:left="220"/>
              <w:spacing w:after="0"/>
              <w:rPr>
                <w:sz w:val="20"/>
                <w:szCs w:val="20"/>
                <w:color w:val="auto"/>
              </w:rPr>
            </w:pPr>
            <w:r>
              <w:rPr>
                <w:rFonts w:ascii="Arial" w:cs="Arial" w:eastAsia="Arial" w:hAnsi="Arial"/>
                <w:sz w:val="18"/>
                <w:szCs w:val="18"/>
                <w:color w:val="auto"/>
              </w:rPr>
              <w:t>Provision for taxes</w:t>
            </w:r>
          </w:p>
        </w:tc>
        <w:tc>
          <w:tcPr>
            <w:tcW w:w="3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640" w:type="dxa"/>
            <w:vAlign w:val="bottom"/>
          </w:tcPr>
          <w:p>
            <w:pPr>
              <w:ind w:left="220"/>
              <w:spacing w:after="0"/>
              <w:rPr>
                <w:sz w:val="20"/>
                <w:szCs w:val="20"/>
                <w:color w:val="auto"/>
              </w:rPr>
            </w:pPr>
            <w:r>
              <w:rPr>
                <w:rFonts w:ascii="Arial" w:cs="Arial" w:eastAsia="Arial" w:hAnsi="Arial"/>
                <w:sz w:val="18"/>
                <w:szCs w:val="18"/>
                <w:color w:val="auto"/>
              </w:rPr>
              <w:t>Amortization of acquired technology</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other acquired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EBITDA</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76"/>
        </w:trPr>
        <w:tc>
          <w:tcPr>
            <w:tcW w:w="4640" w:type="dxa"/>
            <w:vAlign w:val="bottom"/>
          </w:tcPr>
          <w:p>
            <w:pPr>
              <w:ind w:left="240"/>
              <w:spacing w:after="0" w:line="176" w:lineRule="exact"/>
              <w:rPr>
                <w:sz w:val="20"/>
                <w:szCs w:val="20"/>
                <w:color w:val="auto"/>
              </w:rPr>
            </w:pPr>
            <w:r>
              <w:rPr>
                <w:rFonts w:ascii="Arial" w:cs="Arial" w:eastAsia="Arial" w:hAnsi="Arial"/>
                <w:sz w:val="18"/>
                <w:szCs w:val="18"/>
                <w:color w:val="auto"/>
              </w:rPr>
              <w:t>Impact of fair value adjustments to acquired unearned</w:t>
            </w:r>
          </w:p>
        </w:tc>
        <w:tc>
          <w:tcPr>
            <w:tcW w:w="360" w:type="dxa"/>
            <w:vAlign w:val="bottom"/>
          </w:tcPr>
          <w:p>
            <w:pPr>
              <w:spacing w:after="0"/>
              <w:rPr>
                <w:sz w:val="15"/>
                <w:szCs w:val="15"/>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ind w:right="51"/>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640" w:type="dxa"/>
            <w:vAlign w:val="bottom"/>
          </w:tcPr>
          <w:p>
            <w:pPr>
              <w:ind w:left="400"/>
              <w:spacing w:after="0" w:line="230"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(b)</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0"/>
        </w:trPr>
        <w:tc>
          <w:tcPr>
            <w:tcW w:w="4640" w:type="dxa"/>
            <w:vAlign w:val="bottom"/>
          </w:tcPr>
          <w:p>
            <w:pPr>
              <w:ind w:left="240"/>
              <w:spacing w:after="0"/>
              <w:rPr>
                <w:sz w:val="20"/>
                <w:szCs w:val="20"/>
                <w:color w:val="auto"/>
              </w:rPr>
            </w:pPr>
            <w:r>
              <w:rPr>
                <w:rFonts w:ascii="Arial" w:cs="Arial" w:eastAsia="Arial" w:hAnsi="Arial"/>
                <w:sz w:val="18"/>
                <w:szCs w:val="18"/>
                <w:color w:val="auto"/>
              </w:rPr>
              <w:t>Restructuring and transaction-related expenses</w:t>
            </w:r>
            <w:r>
              <w:rPr>
                <w:rFonts w:ascii="Arial" w:cs="Arial" w:eastAsia="Arial" w:hAnsi="Arial"/>
                <w:sz w:val="23"/>
                <w:szCs w:val="23"/>
                <w:color w:val="auto"/>
                <w:vertAlign w:val="superscript"/>
              </w:rPr>
              <w:t>(c)</w:t>
            </w:r>
          </w:p>
        </w:tc>
        <w:tc>
          <w:tcPr>
            <w:tcW w:w="36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Integration costs and transaction-related compensation</w:t>
            </w:r>
            <w:r>
              <w:rPr>
                <w:rFonts w:ascii="Arial" w:cs="Arial" w:eastAsia="Arial" w:hAnsi="Arial"/>
                <w:sz w:val="23"/>
                <w:szCs w:val="23"/>
                <w:color w:val="auto"/>
                <w:w w:val="95"/>
                <w:vertAlign w:val="superscript"/>
              </w:rPr>
              <w:t>(d)</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46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6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37"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the IPO. For the three months ended March 31, 2019, this expense related primarily to the acquisition of Pre-Acquisition ZI, including professional fees, severance, and acceleration of payments for terminated employees.</w:t>
      </w:r>
    </w:p>
    <w:p>
      <w:pPr>
        <w:ind w:left="340" w:right="20" w:hanging="332"/>
        <w:spacing w:after="0" w:line="255"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21" w:right="339" w:bottom="1440" w:gutter="0" w:footer="0" w:header="0"/>
        </w:sectPr>
      </w:pPr>
    </w:p>
    <w:bookmarkStart w:id="119" w:name="page120"/>
    <w:bookmarkEnd w:id="11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40"/>
        <w:spacing w:after="0" w:line="267" w:lineRule="auto"/>
        <w:rPr>
          <w:sz w:val="20"/>
          <w:szCs w:val="20"/>
          <w:color w:val="auto"/>
        </w:rPr>
      </w:pPr>
      <w:r>
        <w:rPr>
          <w:rFonts w:ascii="Arial" w:cs="Arial" w:eastAsia="Arial" w:hAnsi="Arial"/>
          <w:sz w:val="13"/>
          <w:szCs w:val="13"/>
          <w:color w:val="auto"/>
        </w:rPr>
        <w:t>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1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278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20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w:t>
            </w:r>
          </w:p>
        </w:tc>
      </w:tr>
      <w:tr>
        <w:trPr>
          <w:trHeight w:val="208"/>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r>
      <w:tr>
        <w:trPr>
          <w:trHeight w:val="19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r>
      <w:tr>
        <w:trPr>
          <w:trHeight w:val="227"/>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for the year ended December 31, 2019 was $173.2 million, an increase of $86.9 million, or 101%, relative to the year ended December 31, 2018. This growth was driven primarily from the growth in revenue that resulted from the acquisition of Pre-Acquisition ZI and additional customers in 2018 and 2019.</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for the three months ended March 31, 2020 was $51.0 million, an increase of $18.2 million, or 55%, relative to the three months ended March 31, 2019. This growth was driven primarily from the growth in revenue that resulted from the acquisition of Pre-Acquisition ZI and additional customers in 2019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Reorganization Transactions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prospectus only include a provision for U.S. federal income tax for income allocated to those subsidiaries that were organized as corporations for U.S. federal income tax purposes. Following the IPO, ZoomInfo Technologies Inc. pays U.S. federal and state income taxes as a corporation on its share of our taxable income.</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ZoomInfo OpCo is the predecessor of ZoomInfo Technologies Inc. for financial reporting purposes following the completion of the IPO. As a result, the consolidated financial statements of ZoomInfo Technologies Inc. will recognize the assets and liabilities received in the reorganization at their historical carrying amounts, as reflected in the historical consolidated financial statements of ZoomInfo OpCo, the accounting predecessor.</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in connection with the Reorganization Transactions and the IPO we entered into the tax receivable agreements as described under “Certain Relationships and Related Person Transactions—Tax Receivable Agreements.”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21" w:right="339" w:bottom="1440" w:gutter="0" w:footer="0" w:header="0"/>
        </w:sectPr>
      </w:pPr>
    </w:p>
    <w:bookmarkStart w:id="120" w:name="page121"/>
    <w:bookmarkEnd w:id="12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Acquisitions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seek to grow through both internal development and the acquisition of businesses that broaden and strengthen our platform. Our recent acquisitions include RainKing in August 2017, NeverBounce in September 2018, Pre-Acquisition ZI in February 2019, and Komiko in October 2019. In addition, Pre-Acquisition ZI acquired Datanyze in September 2018.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Zoom Information Acquisition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1, 2019, we acquired, through a newly formed wholly owned subsidiary, Zebra Acquisition Corporation, 100% of the stock of Pre-Acquisition ZI for $748.0 million, net of cash acquired. Pre-Acquisition ZI was a provider of company and contact information to sales and marketing professionals.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Zoom Information Acquisition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from the periods after the Zoom Information Acquisition.</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Zoom Information Acquisition, ZoomInfo OpCo entered into an $865.0 million first lien term loan facility, a $100.0 million first lien revolving credit facility, which was undrawn at the time of the acquisition, and a $370.0 million second lien term loan facility, and issued $207.0 million of Series A Preferred Units. In addition to funding the Zoom Information Acquisition, the additional proceeds from such facilities and Series A Preferred Units were used to repay existing debt. These debt facilities significantly impact the comparability of our interest expense period over period. See “—Results of Operations.”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recognized approximately $27.4 million of revenue from legacy Pre-Acquisition ZI platform contracts with acquired customers, including the renewals and upsells thereof, during the three months ended March 31, 2020, of which $1.4 million was included in the unearned revenue balance recorded at the acquisition date. Acquired unearned revenue is recorded at the acquisition date at fair value based on management’s estimates. The fair value of acquired unearned revenue was $34.5 million, which differs from the unearned revenue recorded by Pre-Acquisition ZI immediately prior to the acquisition of $68.3 million, which was based on amounts received or amounts billed in advance of revenue recognized upon the satisfaction of performance obligations. For the three months ended March 31, 2020, the amounts received or billed by Pre-Acquisition ZI in advance of revenue recognition as of the acquisition date allocated over the service period post-acquisition was $2.7 million, which was $1.3 million greater than the amount recognized into revenue for those receipts and billings based on their fair value.</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recognized approximately $85.3 million of revenue from legacy Pre-Acquisition ZI platform contracts with acquired customers, including the renewals and upsells thereof, during the year ended December 31, 2019, of which $32.3 million was included in the unearned revenue balance recorded at the acquisition date. The fair value of acquired unearned revenue was $34.5 million, which differs from the unearned revenue recorded by Pre-Acquisition ZI immediately prior to the acquisition of $68.3 million. For the year ended December 31, 2019, the amounts received or billed by Pre-Acquisition ZI in advance of revenue recognition as of the acquisition date allocated over the service period post-acquisition was $63.9 million, which was $31.6 million greater than the amount recognized into revenue for those receipts and billings based on their fair value.</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incurred approximately $2.7 million of transaction costs related to the Zoom Information Acquisition. We paid $29.7 million related to the secured credit facilities, which was accounted for as a debt discount. We also incurred $0.6 million in transaction costs associated with issuing the new Series A Preferred Units, which were issued at a 3% discount, which transaction costs were deducted from the proceeds received from the units.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21" w:right="339" w:bottom="1440" w:gutter="0" w:footer="0" w:header="0"/>
        </w:sectPr>
      </w:pPr>
    </w:p>
    <w:bookmarkStart w:id="121" w:name="page122"/>
    <w:bookmarkEnd w:id="12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 technology stack, integrating accounting, legal, and human resources activities, including financial reporting processes and benefits for employees, and developing a single platform that is being used for all sales to new customers. While we have completed the integration of the companies, we have only operated as a combined company for approximately one year and our sales team has only been selling the new combined platform since September 2019.</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 development positions in Vancouver, Washington, and certain executives from DiscoverOrg and Pre-Acquisition ZI. Expenses relating to severance paid were recorded as restructuring and transaction expenses on the statement of operations. Expenses relating to any accelerated payments under the Cash Vesting Payment Program (see Note 4 – Business Combinations to our audited financial statements included elsewhere in this prospectus) were recorded as operating expense according to the functional area aligning to the employee’s salary and is included in integration and transaction-related compensation expenses when calculating non-GAAP metrics.</w:t>
      </w:r>
    </w:p>
    <w:p>
      <w:pPr>
        <w:spacing w:after="0" w:line="12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April 2020, we again reviewed the alignment of our workforce with our growth targets in light of the COVID-19 pandemic and eliminated fewer than 100 positions. As a result, we expect to incur approximately $0.8 million in restructuring expense during the second quarter of 2020.</w:t>
      </w:r>
    </w:p>
    <w:p>
      <w:pPr>
        <w:spacing w:after="0" w:line="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All new customers are sold the ZoomInfo platform that we released in September 2019. We continue to support pre-existing customers on the legacy DiscoverOrg and Pre-Acquisition ZI platforms. Certain pre-existing customers have agreed to upgrade to the ZoomInfo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platform will often require an increase in subscription pricing for an equivalent number of users. While pre-existing customers on our legacy platforms continue to generate the majority of our revenue, we expect that pre-existing customers of DiscoverOrg and Pre-Acquisition ZI will migrate toward the new platform in order to take advantage of the more valuable features and data access available over time. We have no current plans to force customer migration.</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incurred expenses related to the integration of Pre-Acquisition ZI during 2019 and the first quarter of 2020, and will continue to incur additional expenses in 2020, 2021, and 2022. As part of the purchase of Pre-Acquisition ZI, we agreed with the former owners of Pre-Acquisition ZI to implement a Cash Vesting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statement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 our companies, including developing branding and pricing strategies for the combined platform. These expenses were recorded as sales and marketing and general and administrative expenses on our statement of operations. For analyses and non-GAAP metrics that include adjustments to operating expenses, the expenses are deemed to be integration expenses and acquisition-related compensation.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21" w:right="339" w:bottom="1440" w:gutter="0" w:footer="0" w:header="0"/>
        </w:sectPr>
      </w:pPr>
    </w:p>
    <w:bookmarkStart w:id="122" w:name="page123"/>
    <w:bookmarkEnd w:id="12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adopted Topic 606, effective January 1, 2018, using the full retrospective method of adoption as if the adoption occurred on January 1, 2017. See Note 2 – Basis of Presentation and Summary of Significant Accounting Policies to our consolidated financial statements included elsewhere in this prospectus for additional information.</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We believe that the revenue presented for Pre-Acquisition ZI in 2018 would not have materially changed had Pre-Acquisition ZI used the full retrospective method of adoption for Topic 606 and restated its 2018 revenue figures. See Note 2 – Basis of Presentation and Summary of Significant Accounting Policies to the consolidated financial statements of Pre-Acquisition ZI included elsewhere in this prospectus for additional information.</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After the acquisition of Pre-Acquisition ZI, contract acquisition costs related to our larger sales and marketing team, which primarily consist of commissions to salespeople, were capitalized and deferred as prescribed under Topic 606. This resulted in reduced sales and marketing expense in 2019 relative to our sales and marketing efforts and relative to our expected future sales and marketing expense when the amortization of the deferral is recognized in future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December 2019, HSKB modified all outstanding awards to add an alternative performance and time vesting condition and to also permit settlement through exchange into the Company’s public shares in addition to the existing cash-settlement option. This modification resulted in a revaluation of the awards in accordance with GAAP as if granted on the date of the modification. The modified fair value as of the date of the modification was $166.4 million, which will be recognized as equity-based compensation expense in accordance with the time vesting condition, after the closing date of the IPO. As a result, the Company expects to recognize approximately $49.1 million in compensation expenses during the second quarter of 2020 in connection with the closing of the IPO and recognize the remainder of the compensation expense due to such modification in subsequent periods. In addition to the impact of the modified HSKB awards, new awards and modifications that will take place as part of the Reorganization Transactions will contribute to higher equity-based compensation in 2020 and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and add-on functionality that is provided. Our subscription contracts typically have a term of one to three years and are non-cancellable. We typically bill for services in advance either annually or quarterly, and we typically require payment at the beginning of each annual or quarterly period.</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non-cancellable subscription agreements.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21" w:right="339" w:bottom="1440" w:gutter="0" w:footer="0" w:header="0"/>
        </w:sectPr>
      </w:pPr>
    </w:p>
    <w:bookmarkStart w:id="123" w:name="page124"/>
    <w:bookmarkEnd w:id="12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Cost of Service, excluding amortization of acquired technology. </w:t>
      </w:r>
      <w:r>
        <w:rPr>
          <w:rFonts w:ascii="Arial" w:cs="Arial" w:eastAsia="Arial" w:hAnsi="Arial"/>
          <w:sz w:val="18"/>
          <w:szCs w:val="18"/>
          <w:color w:val="auto"/>
        </w:rPr>
        <w:t>Cost of service, excluding amortization of acquired technology includes direct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we will continue to invest in costs of service and that costs of service as a percentage of revenue will stay consistent or modestly decrease as we realize operating leverage in the business.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Amortization of acquired technology. </w:t>
      </w:r>
      <w:r>
        <w:rPr>
          <w:rFonts w:ascii="Arial" w:cs="Arial" w:eastAsia="Arial" w:hAnsi="Arial"/>
          <w:sz w:val="18"/>
          <w:szCs w:val="18"/>
          <w:color w:val="auto"/>
        </w:rPr>
        <w:t>Amortization of acquired technology includes amortization expense for technology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w:t>
      </w:r>
    </w:p>
    <w:p>
      <w:pPr>
        <w:spacing w:after="0" w:line="116" w:lineRule="exact"/>
        <w:rPr>
          <w:sz w:val="20"/>
          <w:szCs w:val="20"/>
          <w:color w:val="auto"/>
        </w:rPr>
      </w:pPr>
    </w:p>
    <w:p>
      <w:pPr>
        <w:ind w:right="2140" w:firstLine="324"/>
        <w:spacing w:after="0" w:line="438" w:lineRule="auto"/>
        <w:rPr>
          <w:sz w:val="20"/>
          <w:szCs w:val="20"/>
          <w:color w:val="auto"/>
        </w:rPr>
      </w:pPr>
      <w:r>
        <w:rPr>
          <w:rFonts w:ascii="Arial" w:cs="Arial" w:eastAsia="Arial" w:hAnsi="Arial"/>
          <w:sz w:val="18"/>
          <w:szCs w:val="18"/>
          <w:color w:val="auto"/>
        </w:rPr>
        <w:t xml:space="preserve">We anticipate that amortization of acquired technology will only increase if we make additional acquisitions in the future. </w:t>
      </w:r>
      <w:r>
        <w:rPr>
          <w:rFonts w:ascii="Arial" w:cs="Arial" w:eastAsia="Arial" w:hAnsi="Arial"/>
          <w:sz w:val="18"/>
          <w:szCs w:val="18"/>
          <w:b w:val="1"/>
          <w:bCs w:val="1"/>
          <w:i w:val="1"/>
          <w:iCs w:val="1"/>
          <w:color w:val="auto"/>
        </w:rPr>
        <w:t>Gross Profit and Gross Margin</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expense, and marketing.</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primarily consist of employee compensation such as salaries, bonuses, sales commissions, stock-based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anticipate that we will continue to invest in sales and marketing capacity to enable future growth and that sales and marketing expense as a percentage of revenue will increase as we recognize expense related to amortization of contract acquisition costs in 2019 and continue to grow the sales and marketing teams and invest in marketing programs.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support our efforts to enhance our existing platform and develop new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Research and development expenses primarily consist of employee compensation such as salaries, bonuses, stock-based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3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21" w:right="339" w:bottom="1440" w:gutter="0" w:footer="0" w:header="0"/>
        </w:sectPr>
      </w:pPr>
    </w:p>
    <w:bookmarkStart w:id="124" w:name="page125"/>
    <w:bookmarkEnd w:id="12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primarily consist of employee-related costs such as salaries, bonuses,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preparing for the IPO.</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that general and administrative costs will significantly increase due to incremental costs associated with operating a public company, including corporate insurance costs, additional accounting and legal expenses, additional independent board member costs, and additional resources associated with controls, reporting, and disclosure. We expect general and administrative expenses as a percentage of revenue to increase in 2020 and then stay consistent or modestly decrease thereafter, as we realize operating leverage in the business.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Amortization of other acquired intangibles</w:t>
      </w:r>
      <w:r>
        <w:rPr>
          <w:rFonts w:ascii="Arial" w:cs="Arial" w:eastAsia="Arial" w:hAnsi="Arial"/>
          <w:sz w:val="18"/>
          <w:szCs w:val="18"/>
          <w:color w:val="auto"/>
        </w:rPr>
        <w:t>. Amortization of acquired intangibles primarily consists of amortization of customer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tradenames, and brand portfolios.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that amortization of other acquired intangibles will only increase if we make additional acquisitions in the future.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Restructuring and transaction expenses. </w:t>
      </w:r>
      <w:r>
        <w:rPr>
          <w:rFonts w:ascii="Arial" w:cs="Arial" w:eastAsia="Arial" w:hAnsi="Arial"/>
          <w:sz w:val="16"/>
          <w:szCs w:val="16"/>
          <w:color w:val="auto"/>
        </w:rPr>
        <w:t>Restructuring and transaction expenses primarily consist of various restructuring and acquisition activities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9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represents the interest payable on our debt obligations and the amortization of debt discounts and debt issuance costs, less interest income.</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anticipate that our interest expense will be substantially lower after having repaid a portion of our outstanding indebtedness with the proceeds from the IPO. Interest expense could increase in the future based on changes in variable interest rates or the issuance of additional debt.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Loss on debt extinguishment consists of prepayment penalties and impairment of deferred financing costs associated with the extinguishment of debt.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anticipate that losses related to debt extinguishment will only occur if we extinguish indebtedness before the contractual repayment 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consists primarily of foreign currency realized and unrealized gains and losses related to the impact of transactions denominated in a foreign currency.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the magnitude of other income and expenses may increase as we expand operations internationally and add complexity to our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ZoomInfo OpCo is currently treated as a pass-through entity for U.S. federal income tax purposes and most applicable state and local income tax purposes. Benefit from income tax (expense), deferred tax assets and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RKSI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1" w:right="339" w:bottom="1440" w:gutter="0" w:footer="0" w:header="0"/>
        </w:sectPr>
      </w:pPr>
    </w:p>
    <w:bookmarkStart w:id="125" w:name="page126"/>
    <w:bookmarkEnd w:id="12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Acquisition Corporation and Zebra Acquisition Corporation, are subject to income taxes in both the United States and foreign jurisdictions and hold noncontrolling interests in our subsidiary, DiscoverOrg Data LLC. DiscoverOrg Data LLC is treated as a partnership for U.S. federal and most applicable state and local income tax purposes. Any taxable income or loss generated by DiscoverOrg Data LLC is passed through to and included in the taxable income or loss of its partners, including DiscoverOrg LLC, RKSI Acquisition Corporation, and Zebra Acquisition Corporation. However, because RKSI Acquisition Corporation and Zebra Acquisition Corporation are subject to income taxes in both the United States and foreign jurisdictions, income allocated to such corporate subsidiaries for tax purposes reduces the taxable income allocated to and distributions made to ZoomInfo OpCo. Significant judgments and estimates are required in determining our consolidated income tax expense. See Note 2 – Basis of Presentation and Summary of Significant Accounting Policies within our consolidated financial statements included elsewhere in this prospectus for additional information.</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After consummation of the IPO, ZoomInfo Technologies Inc. became subject to U.S. federal income taxes with respect to our allocable share of any U.S. taxable income of ZoomInfo OpCo, and is taxed at the prevailing corporate tax rates. We are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The limited liability company agreement of ZoomInfo OpCo provides that certain distributions to cover the taxes of the ZoomInfo Tax Group and ZoomInfo Technologies Inc.’s obligations under the tax receivable agreements will be made. See “Certain Relationships and Related Person Transactions—Tax Receivable Agreements.” However, our ability to make such distributions may be limited due to, among other things, restrictive covenants in our secured credit facilities. In addition, because RKSI Acquisition Corporation and Zebra Acquisition Corporation will continue to be subject to income taxes in both the United States and foreign jurisdictions, income allocated to such corporate subsidiaries for tax purposes will reduce the distributions made to ZoomInfo OpCo, thereby reducing our allocable share of U.S. taxable income of ZoomInfo OpCo.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1" w:right="339" w:bottom="1440" w:gutter="0" w:footer="0" w:header="0"/>
        </w:sectPr>
      </w:pPr>
    </w:p>
    <w:bookmarkStart w:id="126" w:name="page127"/>
    <w:bookmarkEnd w:id="12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our results of operations for the years ended December 31, 2018 and 2019 and the three months ended March 31, 2019 and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8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102.2</w:t>
            </w:r>
          </w:p>
        </w:tc>
      </w:tr>
      <w:tr>
        <w:trPr>
          <w:trHeight w:val="270"/>
        </w:trPr>
        <w:tc>
          <w:tcPr>
            <w:tcW w:w="4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4640" w:type="dxa"/>
            <w:vAlign w:val="bottom"/>
          </w:tcPr>
          <w:p>
            <w:pPr>
              <w:ind w:left="140"/>
              <w:spacing w:after="0"/>
              <w:rPr>
                <w:sz w:val="20"/>
                <w:szCs w:val="20"/>
                <w:color w:val="auto"/>
              </w:rPr>
            </w:pPr>
            <w:r>
              <w:rPr>
                <w:rFonts w:ascii="Arial" w:cs="Arial" w:eastAsia="Arial" w:hAnsi="Arial"/>
                <w:sz w:val="18"/>
                <w:szCs w:val="18"/>
                <w:color w:val="auto"/>
              </w:rPr>
              <w:t>Cost of service</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14.8</w:t>
            </w:r>
          </w:p>
        </w:tc>
      </w:tr>
      <w:tr>
        <w:trPr>
          <w:trHeight w:val="270"/>
        </w:trPr>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acquired technology</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5.6</w:t>
            </w: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81.8</w:t>
            </w:r>
          </w:p>
        </w:tc>
      </w:tr>
      <w:tr>
        <w:trPr>
          <w:trHeight w:val="27"/>
        </w:trPr>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bl>
    <w:p>
      <w:pPr>
        <w:spacing w:after="0" w:line="13"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8"/>
          <w:szCs w:val="18"/>
          <w:color w:val="auto"/>
        </w:rPr>
        <w:t>Operating expenses:</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p>
      <w:pPr>
        <w:ind w:left="140"/>
        <w:spacing w:after="0" w:line="225" w:lineRule="auto"/>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p>
      <w:pPr>
        <w:spacing w:after="0" w:line="1" w:lineRule="exact"/>
        <w:rPr>
          <w:sz w:val="20"/>
          <w:szCs w:val="20"/>
          <w:color w:val="auto"/>
        </w:rPr>
      </w:pPr>
    </w:p>
    <w:p>
      <w:pPr>
        <w:ind w:left="140" w:right="1500" w:hanging="4"/>
        <w:spacing w:after="0" w:line="373" w:lineRule="auto"/>
        <w:rPr>
          <w:sz w:val="20"/>
          <w:szCs w:val="20"/>
          <w:color w:val="auto"/>
        </w:rPr>
      </w:pPr>
      <w:r>
        <w:rPr>
          <w:rFonts w:ascii="Arial" w:cs="Arial" w:eastAsia="Arial" w:hAnsi="Arial"/>
          <w:sz w:val="15"/>
          <w:szCs w:val="15"/>
          <w:color w:val="auto"/>
        </w:rPr>
        <w:t>Amortization of other acquired intangibles Restructuring and transaction-related expenses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42.4</w:t>
            </w: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90.2</w:t>
            </w: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18.3</w:t>
            </w:r>
          </w:p>
        </w:tc>
        <w:tc>
          <w:tcPr>
            <w:tcW w:w="100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1000" w:type="dxa"/>
            <w:vAlign w:val="bottom"/>
          </w:tcPr>
          <w:p>
            <w:pPr>
              <w:jc w:val="right"/>
              <w:ind w:right="590"/>
              <w:spacing w:after="0"/>
              <w:rPr>
                <w:sz w:val="20"/>
                <w:szCs w:val="20"/>
                <w:color w:val="auto"/>
              </w:rPr>
            </w:pPr>
            <w:r>
              <w:rPr>
                <w:rFonts w:ascii="Arial" w:cs="Arial" w:eastAsia="Arial" w:hAnsi="Arial"/>
                <w:sz w:val="18"/>
                <w:szCs w:val="18"/>
                <w:color w:val="auto"/>
              </w:rPr>
              <w:t>6.1</w:t>
            </w: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30.1</w:t>
            </w: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5.2</w:t>
            </w: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20.8</w:t>
            </w: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35.1</w:t>
            </w: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6.7</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1000" w:type="dxa"/>
            <w:vAlign w:val="bottom"/>
          </w:tcPr>
          <w:p>
            <w:pPr>
              <w:jc w:val="right"/>
              <w:ind w:right="590"/>
              <w:spacing w:after="0"/>
              <w:rPr>
                <w:sz w:val="20"/>
                <w:szCs w:val="20"/>
                <w:color w:val="auto"/>
              </w:rPr>
            </w:pPr>
            <w:r>
              <w:rPr>
                <w:rFonts w:ascii="Arial" w:cs="Arial" w:eastAsia="Arial" w:hAnsi="Arial"/>
                <w:sz w:val="18"/>
                <w:szCs w:val="18"/>
                <w:color w:val="auto"/>
              </w:rPr>
              <w:t>7.0</w:t>
            </w: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17.6</w:t>
            </w: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3.7</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000" w:type="dxa"/>
            <w:vAlign w:val="bottom"/>
          </w:tcPr>
          <w:p>
            <w:pPr>
              <w:jc w:val="right"/>
              <w:ind w:right="590"/>
              <w:spacing w:after="0"/>
              <w:rPr>
                <w:sz w:val="20"/>
                <w:szCs w:val="20"/>
                <w:color w:val="auto"/>
              </w:rPr>
            </w:pPr>
            <w:r>
              <w:rPr>
                <w:rFonts w:ascii="Arial" w:cs="Arial" w:eastAsia="Arial" w:hAnsi="Arial"/>
                <w:sz w:val="18"/>
                <w:szCs w:val="18"/>
                <w:color w:val="auto"/>
              </w:rPr>
              <w:t>3.6</w:t>
            </w: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15.6</w:t>
            </w: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7.8</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-839470</wp:posOffset>
            </wp:positionV>
            <wp:extent cx="71323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-496570</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-153670</wp:posOffset>
            </wp:positionV>
            <wp:extent cx="713232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5000" w:space="720"/>
            <w:col w:w="5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64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4640" w:type="dxa"/>
            <w:vAlign w:val="bottom"/>
          </w:tcPr>
          <w:p>
            <w:pPr>
              <w:ind w:left="120"/>
              <w:spacing w:after="0"/>
              <w:rPr>
                <w:sz w:val="20"/>
                <w:szCs w:val="20"/>
                <w:color w:val="auto"/>
              </w:rPr>
            </w:pPr>
            <w:r>
              <w:rPr>
                <w:rFonts w:ascii="Arial" w:cs="Arial" w:eastAsia="Arial" w:hAnsi="Arial"/>
                <w:sz w:val="18"/>
                <w:szCs w:val="18"/>
                <w:color w:val="auto"/>
              </w:rPr>
              <w:t>Loss on debt extinguishment</w:t>
            </w:r>
          </w:p>
        </w:tc>
        <w:tc>
          <w:tcPr>
            <w:tcW w:w="56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Benefit from income taxes</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46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
        </w:trPr>
        <w:tc>
          <w:tcPr>
            <w:tcW w:w="46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6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Includes equity-based compensation expense as follows:</w:t>
      </w:r>
    </w:p>
    <w:p>
      <w:pPr>
        <w:spacing w:after="0" w:line="3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278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20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6.4</w:t>
            </w:r>
          </w:p>
        </w:tc>
      </w:tr>
      <w:tr>
        <w:trPr>
          <w:trHeight w:val="208"/>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r>
      <w:tr>
        <w:trPr>
          <w:trHeight w:val="19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r>
      <w:tr>
        <w:trPr>
          <w:trHeight w:val="227"/>
        </w:trPr>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equity-based compensation expense</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and Three Months Ended March 31, 2019</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was $102.2 million for the three months ended March 31, 2020, an increase of $47.6 million, or 87%, as compared to $54.6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March 31, 2019. This increase was primarily due to the addition of new customers over the past 12 months and net expansion with existing customers. Excluding the impact of the legacy contracts with customers acquired in the purchases of Pre-Acquisition ZI, NeverBounce, and Komiko, and the renewals and upsells thereof, revenue increased by $32.3 million. The increase in revenue, excluding the impact of customers acquired, was primarily driven by sales to new customers and, to a lesser extent, by the addition of additional subscriptions to existing customers and recognition of revenue for renewed contracts at the contracted value, as opposed to the fair value ascribed to acquired contracts under purchase accounting, offset by cancellations and subscription reductions upon renewal. As of March 31, 2020, we had over 15,000 customers, an</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40"/>
          </w:cols>
          <w:pgMar w:left="320" w:top="121" w:right="339" w:bottom="1440" w:gutter="0" w:footer="0" w:header="0"/>
          <w:type w:val="continuous"/>
        </w:sectPr>
      </w:pPr>
    </w:p>
    <w:bookmarkStart w:id="127" w:name="page128"/>
    <w:bookmarkEnd w:id="12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increase of about 3,000 customers, or 22%, as compared to over 12,000 customers as of March 31, 2019. As of March 31, 2020, over 630 of our customers spent more than $100,000 in ACV, an increase of approximately 220 customers, or 53%, as compared to over 410 customers who spent more than $100,000 in ACV as of March 31, 2019. On a pro forma basis, the combined revenue of ZoomInfo OpCo and Pre-Acquisition ZI would have been $103.5 million for the three months ended March 31, 2020, an increase of $31.3 million, or 43%, as compared to $72.2 million for the three months ended March 31, 2019, calculated as if the acquisition had occurred on January 1, 2018.</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$20.4 million for the three months ended March 31, 2020, an increase of $5.8 million, or 39%,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$14.7 million for the three months ended March 31, 2019. The increase was primarily due to additional headcount and related salaries, equity compensation, and benefits expenses, as well as additional hosting expense to support new and growing customers. On a pro forma basis, the combined cost of services of ZoomInfo OpCo and Pre-Acquisition ZI would have been $20.4 million for the three months ended March 31, 2020, an increase of $3.6 million, or 21%, as compared to $16.8 million for the three months ended March 31, 2019, calculated as if the Zoom Information Acquisition had occurred on January 1, 2018.</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pro forma results shown above include amortization of fair value adjustments to acquired intangible assets and fair value adjustments to unearned revenue as if the acquisition had occurred on January 1, 2018. See “—Non-GAAP Financial Measures—Allocated Combined Receipts” for more on the impact of fair value adjustments to acquired unearned revenue. Management believes presenting such pro forma results is useful to investors because it demonstrates the significant impact on revenue trends resulting from the Zoom Information Acquisition during the periods presented, and the related fair value adjustments required under purchase accounting that impact year-over-year comparisons. The pro forma results shown above are provided for informational purposes only and is not necessarily indicative of the operating results that would have occurred if the acquisitions had occurred on January 1, 2018, nor is it indicative of our future results.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$61.5 million for the three months ended March 31, 2020, an increase of $19.7 million, or 47%,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$41.7 million for the three months ended March 31, 2019. The increase was primarily due to:</w:t>
      </w:r>
    </w:p>
    <w:p>
      <w:pPr>
        <w:spacing w:after="0" w:line="116" w:lineRule="exact"/>
        <w:rPr>
          <w:sz w:val="20"/>
          <w:szCs w:val="20"/>
          <w:color w:val="auto"/>
        </w:rPr>
      </w:pPr>
    </w:p>
    <w:p>
      <w:pPr>
        <w:ind w:left="660" w:hanging="328"/>
        <w:spacing w:after="0" w:line="342" w:lineRule="auto"/>
        <w:tabs>
          <w:tab w:leader="none" w:pos="6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 increase in sales and marketing expense of $15.8 million, or 86%, to $34.1 million for the three months ended March 31, 2020, due primarily to additional headcount and related salaries, equity compensation, and benefits expenses added to drive continued incremental sales;</w:t>
      </w:r>
    </w:p>
    <w:p>
      <w:pPr>
        <w:spacing w:after="0" w:line="6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increase in research and development expense of $4.6 million, or 87%, to $9.9 million for the three months ended March 31, 2020, due primarily to additional engineering and product management resources added through the Zoom Information Acquisition and additional equity compensation expense;</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$3.3 million, or 48%, to $10.0 million for the three months ended March 31, 2020, due primarily to additional headcount and related salaries, equity compensation, and benefits expenses to support the larger organization;</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increase in amortization of acquired intangibles expense of $1.0 million, or 26%, to $4.6 million for the three months ended March 31, 2020, due to additional amortization expense related to intangible assets acquired in the Zoom Information Acquisition;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decrease in restructuring and transaction-related expense of $4.9 million, or 63%, to $2.9 million for the three months ended March 31, 2020, due to the one-time nature of expenses incurred in completing the Zoom Information Acquisition and related restructuring activities in 2019 that did not recur.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was $24.5 million for the three months ended March 31, 2020, an increase of $1.1 million, or 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$23.5 million for the three months ended March 31, 2019. The increase was primarily due to additional debt that we incurred to fund the Zoom Information Acquisition in February 2019, largely offset by decreasing LIBOR rates.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21" w:right="339" w:bottom="1440" w:gutter="0" w:footer="0" w:header="0"/>
        </w:sectPr>
      </w:pPr>
    </w:p>
    <w:bookmarkStart w:id="128" w:name="page129"/>
    <w:bookmarkEnd w:id="12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was $(0.1) million for the three months ended March 31, 2020, a decrease of $0.1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494%, as compared to $0.0 million for the three months ended March 31, 2019, driven largely by greater foreign exchange remeasurement gains.</w:t>
      </w:r>
    </w:p>
    <w:p>
      <w:pPr>
        <w:spacing w:after="0" w:line="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Benefit from Income Tax. </w:t>
      </w:r>
      <w:r>
        <w:rPr>
          <w:rFonts w:ascii="Arial" w:cs="Arial" w:eastAsia="Arial" w:hAnsi="Arial"/>
          <w:sz w:val="17"/>
          <w:szCs w:val="17"/>
          <w:color w:val="auto"/>
        </w:rPr>
        <w:t>Benefit from income tax was $0.4 million for the three months ended March 31, 2020, a decrease of $2.9 million, or 87%,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$3.3 million for the three months ended March 31, 2019. The decrease was primarily due to greater losses before tax.</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and Year Ended December 31, 2018</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was $293.3 million for the year ended December 31, 2019, an increase of $149.1 million, or 103%, as compared to $144.3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2018. This increase was primarily due to new customers acquired in the acquisitions of Pre-Acquisition ZI, NeverBounce, and Komiko, as well as the organic addition of new customers and net expansion with existing customers. Excluding the impact of the legacy platform contracts with customers acquired in the purchases of Pre-Acquisition ZI, NeverBounce, and Komiko, and the renewals and upsells thereof, revenue increased by $60.5 million. The increase in revenue, excluding the impact of customers acquired, was primarily driven by sales to new customers and, to a lesser extent, by the addition of additional subscriptions to existing customers, offset by cancellations and subscription reductions upon renewal. As of December 31, 2019, we had over 14,000 customers, an increase of about 3,000 customers, or 25%, as compared to over 11,000 customers on a combined basis, including non-overlapping customers of Pre-Acquisition ZI, as of December 31, 2018. As of December 31, 2019, over 580 of our customers spent more than $100,000 in ACV, an increase of approximately 200 customers, or 53%, as compared to over 380 customers of ZoomInfo and Pre-Acquisition ZI on a combined basis who spent more than $100,000 in ACV, as of December 31, 2018. On a pro forma basis, the combined revenue of ZoomInfo OpCo and Pre-Acquisition ZI would have been $334.2 million for the year ended December 31, 2019, an increase of $128.4 million, or 62%, as compared to $205.8 million for the year ended December 31, 2018, calculated as if the acquisition had occurred on January 1, 2018.</w:t>
      </w:r>
    </w:p>
    <w:p>
      <w:pPr>
        <w:spacing w:after="0" w:line="11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Cost of Service. </w:t>
      </w:r>
      <w:r>
        <w:rPr>
          <w:rFonts w:ascii="Arial" w:cs="Arial" w:eastAsia="Arial" w:hAnsi="Arial"/>
          <w:sz w:val="16"/>
          <w:szCs w:val="16"/>
          <w:color w:val="auto"/>
        </w:rPr>
        <w:t>Cost of service was $68.7 million for the year ended December 31, 2019, an increase of $30.8 million, or 81%, as compared to $37.9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2018. The increase was primarily due to additional amortization of acquired technology that arose from the Zoom Information Acquisition and additional headcount and hosting expense to support acquired and new customers. On a pro forma basis, the combined cost of services of ZoomInfo OpCo and Pre-Acquisition ZI would have been $70.7 million for the year ended December 31, 2019, an increase of $9.9 million, or 16%, as compared to $60.9 million for the year ended December 31, 2018, calculated as if the acquisition had occurred on January 1, 2018.</w:t>
      </w:r>
    </w:p>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pro forma results shown above include amortization of fair value adjustments to acquired intangible assets and fair value adjustments to unearned revenue as if the acquisition had occurred on January 1, 2018. See “—Non-GAAP Financial Measures—Allocated Combined Receipts” for more on the impact of fair value adjustments to acquired unearned revenue. Management believes presenting such pro forma results is useful to investors because it demonstrates the significant impact on revenue trends resulting from the Zoom Information Acquisition during the periods presented, and the related fair value adjustments required under purchase accounting that impact year-over-year comparisons. The pro forma results shown above are provided for informational purposes only and is not necessarily indicative of the operating results that would have occurred if the acquisitions had occurred on January 1, 2018, nor is it indicative of our future results.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$188.6 million for the year ended December 31, 2019, an increase of $108.7 million, or 136%,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$79.9 million for the year ended December 31, 2018. The increase was primarily due to:</w:t>
      </w:r>
    </w:p>
    <w:p>
      <w:pPr>
        <w:spacing w:after="0" w:line="116" w:lineRule="exact"/>
        <w:rPr>
          <w:sz w:val="20"/>
          <w:szCs w:val="20"/>
          <w:color w:val="auto"/>
        </w:rPr>
      </w:pPr>
    </w:p>
    <w:p>
      <w:pPr>
        <w:jc w:val="both"/>
        <w:ind w:left="660" w:hanging="328"/>
        <w:spacing w:after="0" w:line="263"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increase in sales and marketing expense of $47.8 million, or 113%, to $90.2 million for the year ended December 31, 2019, due primarily to additional sales and marketing resources added through the Zoom Information Acquisition and additional hiring to drive continued incremental sales;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increase in research and development expense of $24.0 million, or 392%, to $30.1 million for the year ended December 31, 2019, due primarily to additional engineering and product management resources added through the Zoom Information Acquisition;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21" w:right="339" w:bottom="1440" w:gutter="0" w:footer="0" w:header="0"/>
        </w:sectPr>
      </w:pPr>
    </w:p>
    <w:bookmarkStart w:id="129" w:name="page130"/>
    <w:bookmarkEnd w:id="12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line="308" w:lineRule="auto"/>
        <w:tabs>
          <w:tab w:leader="none" w:pos="655"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$14.4 million, or 69%, to $35.1 million for the year ended December 31, 2019, due primarily to additional resources added through the Zoom Information Acquisition and additional hiring to support the larger organization;</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increase in amortization of acquired intangibles expense of $10.6 million, or 152%, to $17.6 million for the year ended December 31, 2019, due to additional amortization expense related to intangible assets acquired in the Zoom Information Acquisition; and</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increase in restructuring and transaction-related expense of $12.0 million, or 334%, to $15.6 million for the year ended December 31, 2019, due to expenses incurred in completing the Zoom Information acquisition of Pre-Acquisition ZI and restructuring activities undertaken as part of and after the Zoom Information Acquisition to rationalize certain research, engineering, and general and administrative activities, offset by restructuring and transaction-related expenses in the year ended December 31, 2018 related to the investment in us by Carlyle and the NeverBounce acquisition that did not recur.</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was $102.4 million for the year ended December 31, 2019, an increase of $44.3 million, or 76%,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$58.2 million for the year ended December 31, 2018. The increase was primarily due to additional debt that we incurred to fund the Zoom Information Acquisition, partially offset by decreasing LIBOR rates.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was $0.0 million for the year ended December 31, 2019, an increase of $0.1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67%, as compared to $(0.1) million for the year ended December 31, 2018.</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Benefit from Income Tax. </w:t>
      </w:r>
      <w:r>
        <w:rPr>
          <w:rFonts w:ascii="Arial" w:cs="Arial" w:eastAsia="Arial" w:hAnsi="Arial"/>
          <w:sz w:val="18"/>
          <w:szCs w:val="18"/>
          <w:color w:val="auto"/>
        </w:rPr>
        <w:t>Benefit from income tax was $6.5 million for the year ended December 31, 2019, an increase of $3.6 million, or 127%,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$2.9 million for the year ended December 31, 2018. The increase was primarily due to greater losses before tax.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tables present the unaudited quarterly historical consolidated financial and other data for ZoomInfo OpCo and its subsidiaries for each of the nine quarterly periods ending March 31, 2020. The unaudited quarterly historical consolidated financial and other data have been prepared on the same basis as the audited consolidated financial statements of ZoomInfo OpCo included elsewhere in this prospectus. In our opinion, the unaudited quarterly historical consolidated financial information have included all adjustments, which include normal recurring adjustments, necessary to present fairly in all material respects our financial position and results of operations for these periods. This information should be read in conjunction with the consolidated financial statements of ZoomInfo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a number of factors, including the Zoom Information Acquisition, our historical results of operations are not comparable from period to period and may not be comparable to our financial results of operations in future periods. For additional discussion of these factors, see “—Factors Affecting the Comparability of Our Results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0"/>
              </w:rPr>
              <w:t>Three Months Ended</w:t>
            </w:r>
          </w:p>
        </w:tc>
        <w:tc>
          <w:tcPr>
            <w:tcW w:w="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2"/>
        </w:trPr>
        <w:tc>
          <w:tcPr>
            <w:tcW w:w="2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7"/>
        </w:trPr>
        <w:tc>
          <w:tcPr>
            <w:tcW w:w="2340" w:type="dxa"/>
            <w:vAlign w:val="bottom"/>
          </w:tcPr>
          <w:p>
            <w:pPr>
              <w:spacing w:after="0"/>
              <w:rPr>
                <w:sz w:val="12"/>
                <w:szCs w:val="12"/>
                <w:color w:val="auto"/>
              </w:rPr>
            </w:pPr>
          </w:p>
        </w:tc>
        <w:tc>
          <w:tcPr>
            <w:tcW w:w="860" w:type="dxa"/>
            <w:vAlign w:val="bottom"/>
          </w:tcPr>
          <w:p>
            <w:pPr>
              <w:jc w:val="right"/>
              <w:ind w:right="24"/>
              <w:spacing w:after="0"/>
              <w:rPr>
                <w:sz w:val="20"/>
                <w:szCs w:val="20"/>
                <w:color w:val="auto"/>
              </w:rPr>
            </w:pPr>
            <w:r>
              <w:rPr>
                <w:rFonts w:ascii="Arial" w:cs="Arial" w:eastAsia="Arial" w:hAnsi="Arial"/>
                <w:sz w:val="11"/>
                <w:szCs w:val="11"/>
                <w:b w:val="1"/>
                <w:bCs w:val="1"/>
                <w:color w:val="auto"/>
                <w:w w:val="94"/>
              </w:rPr>
              <w:t>March 31, 2018</w:t>
            </w:r>
          </w:p>
        </w:tc>
        <w:tc>
          <w:tcPr>
            <w:tcW w:w="880" w:type="dxa"/>
            <w:vAlign w:val="bottom"/>
          </w:tcPr>
          <w:p>
            <w:pPr>
              <w:jc w:val="right"/>
              <w:ind w:right="44"/>
              <w:spacing w:after="0"/>
              <w:rPr>
                <w:sz w:val="20"/>
                <w:szCs w:val="20"/>
                <w:color w:val="auto"/>
              </w:rPr>
            </w:pPr>
            <w:r>
              <w:rPr>
                <w:rFonts w:ascii="Arial" w:cs="Arial" w:eastAsia="Arial" w:hAnsi="Arial"/>
                <w:sz w:val="11"/>
                <w:szCs w:val="11"/>
                <w:b w:val="1"/>
                <w:bCs w:val="1"/>
                <w:color w:val="auto"/>
              </w:rPr>
              <w:t>June 30, 2018</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w w:val="95"/>
              </w:rPr>
              <w:t>September 30, 2018</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w w:val="88"/>
              </w:rPr>
              <w:t>December 31, 2018</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1"/>
              </w:rPr>
              <w:t>March 31, 2019</w:t>
            </w:r>
          </w:p>
        </w:tc>
        <w:tc>
          <w:tcPr>
            <w:tcW w:w="780" w:type="dxa"/>
            <w:vAlign w:val="bottom"/>
          </w:tcPr>
          <w:p>
            <w:pPr>
              <w:jc w:val="right"/>
              <w:ind w:right="44"/>
              <w:spacing w:after="0"/>
              <w:rPr>
                <w:sz w:val="20"/>
                <w:szCs w:val="20"/>
                <w:color w:val="auto"/>
              </w:rPr>
            </w:pPr>
            <w:r>
              <w:rPr>
                <w:rFonts w:ascii="Arial" w:cs="Arial" w:eastAsia="Arial" w:hAnsi="Arial"/>
                <w:sz w:val="11"/>
                <w:szCs w:val="11"/>
                <w:b w:val="1"/>
                <w:bCs w:val="1"/>
                <w:color w:val="auto"/>
                <w:w w:val="89"/>
              </w:rPr>
              <w:t>June 30, 2019</w:t>
            </w:r>
          </w:p>
        </w:tc>
        <w:tc>
          <w:tcPr>
            <w:tcW w:w="1160" w:type="dxa"/>
            <w:vAlign w:val="bottom"/>
          </w:tcPr>
          <w:p>
            <w:pPr>
              <w:ind w:left="140"/>
              <w:spacing w:after="0"/>
              <w:rPr>
                <w:sz w:val="20"/>
                <w:szCs w:val="20"/>
                <w:color w:val="auto"/>
              </w:rPr>
            </w:pPr>
            <w:r>
              <w:rPr>
                <w:rFonts w:ascii="Arial" w:cs="Arial" w:eastAsia="Arial" w:hAnsi="Arial"/>
                <w:sz w:val="11"/>
                <w:szCs w:val="11"/>
                <w:b w:val="1"/>
                <w:bCs w:val="1"/>
                <w:color w:val="auto"/>
                <w:w w:val="97"/>
              </w:rPr>
              <w:t>September 30, 2019</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w w:val="96"/>
              </w:rPr>
              <w:t>December 31, 2019</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March 31, 2020</w:t>
            </w:r>
          </w:p>
        </w:tc>
      </w:tr>
      <w:tr>
        <w:trPr>
          <w:trHeight w:val="22"/>
        </w:trPr>
        <w:tc>
          <w:tcPr>
            <w:tcW w:w="2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7"/>
        </w:trPr>
        <w:tc>
          <w:tcPr>
            <w:tcW w:w="2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0"/>
              </w:rPr>
              <w:t>(in millions)</w:t>
            </w:r>
          </w:p>
        </w:tc>
        <w:tc>
          <w:tcPr>
            <w:tcW w:w="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2"/>
        </w:trPr>
        <w:tc>
          <w:tcPr>
            <w:tcW w:w="2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6"/>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86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31.5</w:t>
            </w:r>
          </w:p>
        </w:tc>
        <w:tc>
          <w:tcPr>
            <w:tcW w:w="8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34.6</w:t>
            </w:r>
          </w:p>
        </w:tc>
        <w:tc>
          <w:tcPr>
            <w:tcW w:w="11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37.4</w:t>
            </w:r>
          </w:p>
        </w:tc>
        <w:tc>
          <w:tcPr>
            <w:tcW w:w="10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40.8</w:t>
            </w:r>
          </w:p>
        </w:tc>
        <w:tc>
          <w:tcPr>
            <w:tcW w:w="10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6"/>
                <w:szCs w:val="16"/>
                <w:color w:val="auto"/>
              </w:rPr>
              <w:t>54.6</w:t>
            </w:r>
          </w:p>
        </w:tc>
        <w:tc>
          <w:tcPr>
            <w:tcW w:w="7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68.5</w:t>
            </w:r>
          </w:p>
        </w:tc>
        <w:tc>
          <w:tcPr>
            <w:tcW w:w="1160" w:type="dxa"/>
            <w:vAlign w:val="bottom"/>
            <w:tcBorders>
              <w:bottom w:val="single" w:sz="8" w:color="CCEEFF"/>
            </w:tcBorders>
            <w:shd w:val="clear" w:color="auto" w:fill="CCEEFF"/>
          </w:tcPr>
          <w:p>
            <w:pPr>
              <w:jc w:val="center"/>
              <w:ind w:left="364"/>
              <w:spacing w:after="0"/>
              <w:rPr>
                <w:sz w:val="20"/>
                <w:szCs w:val="20"/>
                <w:color w:val="auto"/>
              </w:rPr>
            </w:pPr>
            <w:r>
              <w:rPr>
                <w:rFonts w:ascii="Arial" w:cs="Arial" w:eastAsia="Arial" w:hAnsi="Arial"/>
                <w:sz w:val="16"/>
                <w:szCs w:val="16"/>
                <w:color w:val="auto"/>
                <w:w w:val="89"/>
              </w:rPr>
              <w:t>79.1</w:t>
            </w:r>
          </w:p>
        </w:tc>
        <w:tc>
          <w:tcPr>
            <w:tcW w:w="1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91.1</w:t>
            </w:r>
          </w:p>
        </w:tc>
        <w:tc>
          <w:tcPr>
            <w:tcW w:w="8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102.2</w:t>
            </w:r>
          </w:p>
        </w:tc>
      </w:tr>
      <w:tr>
        <w:trPr>
          <w:trHeight w:val="223"/>
        </w:trPr>
        <w:tc>
          <w:tcPr>
            <w:tcW w:w="23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20.7</w:t>
            </w:r>
          </w:p>
        </w:tc>
        <w:tc>
          <w:tcPr>
            <w:tcW w:w="880" w:type="dxa"/>
            <w:vAlign w:val="bottom"/>
          </w:tcPr>
          <w:p>
            <w:pPr>
              <w:jc w:val="right"/>
              <w:ind w:right="124"/>
              <w:spacing w:after="0"/>
              <w:rPr>
                <w:sz w:val="20"/>
                <w:szCs w:val="20"/>
                <w:color w:val="auto"/>
              </w:rPr>
            </w:pPr>
            <w:r>
              <w:rPr>
                <w:rFonts w:ascii="Arial" w:cs="Arial" w:eastAsia="Arial" w:hAnsi="Arial"/>
                <w:sz w:val="16"/>
                <w:szCs w:val="16"/>
                <w:color w:val="auto"/>
              </w:rPr>
              <w:t>24.8</w:t>
            </w:r>
          </w:p>
        </w:tc>
        <w:tc>
          <w:tcPr>
            <w:tcW w:w="1120" w:type="dxa"/>
            <w:vAlign w:val="bottom"/>
          </w:tcPr>
          <w:p>
            <w:pPr>
              <w:ind w:left="640"/>
              <w:spacing w:after="0"/>
              <w:rPr>
                <w:sz w:val="20"/>
                <w:szCs w:val="20"/>
                <w:color w:val="auto"/>
              </w:rPr>
            </w:pPr>
            <w:r>
              <w:rPr>
                <w:rFonts w:ascii="Arial" w:cs="Arial" w:eastAsia="Arial" w:hAnsi="Arial"/>
                <w:sz w:val="16"/>
                <w:szCs w:val="16"/>
                <w:color w:val="auto"/>
              </w:rPr>
              <w:t>29.4</w:t>
            </w:r>
          </w:p>
        </w:tc>
        <w:tc>
          <w:tcPr>
            <w:tcW w:w="1020" w:type="dxa"/>
            <w:vAlign w:val="bottom"/>
          </w:tcPr>
          <w:p>
            <w:pPr>
              <w:ind w:left="600"/>
              <w:spacing w:after="0"/>
              <w:rPr>
                <w:sz w:val="20"/>
                <w:szCs w:val="20"/>
                <w:color w:val="auto"/>
              </w:rPr>
            </w:pPr>
            <w:r>
              <w:rPr>
                <w:rFonts w:ascii="Arial" w:cs="Arial" w:eastAsia="Arial" w:hAnsi="Arial"/>
                <w:sz w:val="16"/>
                <w:szCs w:val="16"/>
                <w:color w:val="auto"/>
              </w:rPr>
              <w:t>31.7</w:t>
            </w:r>
          </w:p>
        </w:tc>
        <w:tc>
          <w:tcPr>
            <w:tcW w:w="1080" w:type="dxa"/>
            <w:vAlign w:val="bottom"/>
          </w:tcPr>
          <w:p>
            <w:pPr>
              <w:jc w:val="right"/>
              <w:ind w:right="251"/>
              <w:spacing w:after="0"/>
              <w:rPr>
                <w:sz w:val="20"/>
                <w:szCs w:val="20"/>
                <w:color w:val="auto"/>
              </w:rPr>
            </w:pPr>
            <w:r>
              <w:rPr>
                <w:rFonts w:ascii="Arial" w:cs="Arial" w:eastAsia="Arial" w:hAnsi="Arial"/>
                <w:sz w:val="16"/>
                <w:szCs w:val="16"/>
                <w:color w:val="auto"/>
              </w:rPr>
              <w:t>39.9</w:t>
            </w:r>
          </w:p>
        </w:tc>
        <w:tc>
          <w:tcPr>
            <w:tcW w:w="780" w:type="dxa"/>
            <w:vAlign w:val="bottom"/>
          </w:tcPr>
          <w:p>
            <w:pPr>
              <w:jc w:val="right"/>
              <w:ind w:right="104"/>
              <w:spacing w:after="0"/>
              <w:rPr>
                <w:sz w:val="20"/>
                <w:szCs w:val="20"/>
                <w:color w:val="auto"/>
              </w:rPr>
            </w:pPr>
            <w:r>
              <w:rPr>
                <w:rFonts w:ascii="Arial" w:cs="Arial" w:eastAsia="Arial" w:hAnsi="Arial"/>
                <w:sz w:val="16"/>
                <w:szCs w:val="16"/>
                <w:color w:val="auto"/>
              </w:rPr>
              <w:t>50.9</w:t>
            </w:r>
          </w:p>
        </w:tc>
        <w:tc>
          <w:tcPr>
            <w:tcW w:w="1160" w:type="dxa"/>
            <w:vAlign w:val="bottom"/>
          </w:tcPr>
          <w:p>
            <w:pPr>
              <w:jc w:val="center"/>
              <w:ind w:left="364"/>
              <w:spacing w:after="0"/>
              <w:rPr>
                <w:sz w:val="20"/>
                <w:szCs w:val="20"/>
                <w:color w:val="auto"/>
              </w:rPr>
            </w:pPr>
            <w:r>
              <w:rPr>
                <w:rFonts w:ascii="Arial" w:cs="Arial" w:eastAsia="Arial" w:hAnsi="Arial"/>
                <w:sz w:val="16"/>
                <w:szCs w:val="16"/>
                <w:color w:val="auto"/>
                <w:w w:val="89"/>
              </w:rPr>
              <w:t>61.3</w:t>
            </w:r>
          </w:p>
        </w:tc>
        <w:tc>
          <w:tcPr>
            <w:tcW w:w="1080" w:type="dxa"/>
            <w:vAlign w:val="bottom"/>
          </w:tcPr>
          <w:p>
            <w:pPr>
              <w:ind w:left="600"/>
              <w:spacing w:after="0"/>
              <w:rPr>
                <w:sz w:val="20"/>
                <w:szCs w:val="20"/>
                <w:color w:val="auto"/>
              </w:rPr>
            </w:pPr>
            <w:r>
              <w:rPr>
                <w:rFonts w:ascii="Arial" w:cs="Arial" w:eastAsia="Arial" w:hAnsi="Arial"/>
                <w:sz w:val="16"/>
                <w:szCs w:val="16"/>
                <w:color w:val="auto"/>
              </w:rPr>
              <w:t>72.6</w:t>
            </w:r>
          </w:p>
        </w:tc>
        <w:tc>
          <w:tcPr>
            <w:tcW w:w="860" w:type="dxa"/>
            <w:vAlign w:val="bottom"/>
          </w:tcPr>
          <w:p>
            <w:pPr>
              <w:jc w:val="right"/>
              <w:ind w:right="84"/>
              <w:spacing w:after="0"/>
              <w:rPr>
                <w:sz w:val="20"/>
                <w:szCs w:val="20"/>
                <w:color w:val="auto"/>
              </w:rPr>
            </w:pPr>
            <w:r>
              <w:rPr>
                <w:rFonts w:ascii="Arial" w:cs="Arial" w:eastAsia="Arial" w:hAnsi="Arial"/>
                <w:sz w:val="16"/>
                <w:szCs w:val="16"/>
                <w:color w:val="auto"/>
              </w:rPr>
              <w:t>81.8</w:t>
            </w:r>
          </w:p>
        </w:tc>
      </w:tr>
      <w:tr>
        <w:trPr>
          <w:trHeight w:val="33"/>
        </w:trPr>
        <w:tc>
          <w:tcPr>
            <w:tcW w:w="2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6"/>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8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(4.4)</w:t>
            </w:r>
          </w:p>
        </w:tc>
        <w:tc>
          <w:tcPr>
            <w:tcW w:w="8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3.9</w:t>
            </w:r>
          </w:p>
        </w:tc>
        <w:tc>
          <w:tcPr>
            <w:tcW w:w="11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13.5</w:t>
            </w:r>
          </w:p>
        </w:tc>
        <w:tc>
          <w:tcPr>
            <w:tcW w:w="1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13.6</w:t>
            </w:r>
          </w:p>
        </w:tc>
        <w:tc>
          <w:tcPr>
            <w:tcW w:w="1080" w:type="dxa"/>
            <w:vAlign w:val="bottom"/>
            <w:shd w:val="clear" w:color="auto" w:fill="CCEEFF"/>
          </w:tcPr>
          <w:p>
            <w:pPr>
              <w:jc w:val="right"/>
              <w:ind w:right="211"/>
              <w:spacing w:after="0"/>
              <w:rPr>
                <w:sz w:val="20"/>
                <w:szCs w:val="20"/>
                <w:color w:val="auto"/>
              </w:rPr>
            </w:pPr>
            <w:r>
              <w:rPr>
                <w:rFonts w:ascii="Arial" w:cs="Arial" w:eastAsia="Arial" w:hAnsi="Arial"/>
                <w:sz w:val="16"/>
                <w:szCs w:val="16"/>
                <w:color w:val="auto"/>
              </w:rPr>
              <w:t>(1.8)</w:t>
            </w: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5.6</w:t>
            </w:r>
          </w:p>
        </w:tc>
        <w:tc>
          <w:tcPr>
            <w:tcW w:w="1160" w:type="dxa"/>
            <w:vAlign w:val="bottom"/>
            <w:shd w:val="clear" w:color="auto" w:fill="CCEEFF"/>
          </w:tcPr>
          <w:p>
            <w:pPr>
              <w:jc w:val="center"/>
              <w:ind w:left="364"/>
              <w:spacing w:after="0"/>
              <w:rPr>
                <w:sz w:val="20"/>
                <w:szCs w:val="20"/>
                <w:color w:val="auto"/>
              </w:rPr>
            </w:pPr>
            <w:r>
              <w:rPr>
                <w:rFonts w:ascii="Arial" w:cs="Arial" w:eastAsia="Arial" w:hAnsi="Arial"/>
                <w:sz w:val="16"/>
                <w:szCs w:val="16"/>
                <w:color w:val="auto"/>
                <w:w w:val="89"/>
              </w:rPr>
              <w:t>13.1</w:t>
            </w:r>
          </w:p>
        </w:tc>
        <w:tc>
          <w:tcPr>
            <w:tcW w:w="1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19.2</w:t>
            </w: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20.3</w:t>
            </w:r>
          </w:p>
        </w:tc>
      </w:tr>
      <w:tr>
        <w:trPr>
          <w:trHeight w:val="224"/>
        </w:trPr>
        <w:tc>
          <w:tcPr>
            <w:tcW w:w="23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60" w:type="dxa"/>
            <w:vAlign w:val="bottom"/>
          </w:tcPr>
          <w:p>
            <w:pPr>
              <w:jc w:val="right"/>
              <w:ind w:right="104"/>
              <w:spacing w:after="0"/>
              <w:rPr>
                <w:sz w:val="20"/>
                <w:szCs w:val="20"/>
                <w:color w:val="auto"/>
              </w:rPr>
            </w:pPr>
            <w:r>
              <w:rPr>
                <w:rFonts w:ascii="Arial" w:cs="Arial" w:eastAsia="Arial" w:hAnsi="Arial"/>
                <w:sz w:val="16"/>
                <w:szCs w:val="16"/>
                <w:color w:val="auto"/>
              </w:rPr>
              <w:t>(16.3)</w:t>
            </w:r>
          </w:p>
        </w:tc>
        <w:tc>
          <w:tcPr>
            <w:tcW w:w="880" w:type="dxa"/>
            <w:vAlign w:val="bottom"/>
          </w:tcPr>
          <w:p>
            <w:pPr>
              <w:jc w:val="right"/>
              <w:ind w:right="84"/>
              <w:spacing w:after="0"/>
              <w:rPr>
                <w:sz w:val="20"/>
                <w:szCs w:val="20"/>
                <w:color w:val="auto"/>
              </w:rPr>
            </w:pPr>
            <w:r>
              <w:rPr>
                <w:rFonts w:ascii="Arial" w:cs="Arial" w:eastAsia="Arial" w:hAnsi="Arial"/>
                <w:sz w:val="16"/>
                <w:szCs w:val="16"/>
                <w:color w:val="auto"/>
              </w:rPr>
              <w:t>(10.5)</w:t>
            </w:r>
          </w:p>
        </w:tc>
        <w:tc>
          <w:tcPr>
            <w:tcW w:w="1120" w:type="dxa"/>
            <w:vAlign w:val="bottom"/>
          </w:tcPr>
          <w:p>
            <w:pPr>
              <w:ind w:left="660"/>
              <w:spacing w:after="0"/>
              <w:rPr>
                <w:sz w:val="20"/>
                <w:szCs w:val="20"/>
                <w:color w:val="auto"/>
              </w:rPr>
            </w:pPr>
            <w:r>
              <w:rPr>
                <w:rFonts w:ascii="Arial" w:cs="Arial" w:eastAsia="Arial" w:hAnsi="Arial"/>
                <w:sz w:val="16"/>
                <w:szCs w:val="16"/>
                <w:color w:val="auto"/>
              </w:rPr>
              <w:t>(1.5)</w:t>
            </w:r>
          </w:p>
        </w:tc>
        <w:tc>
          <w:tcPr>
            <w:tcW w:w="1020" w:type="dxa"/>
            <w:vAlign w:val="bottom"/>
          </w:tcPr>
          <w:p>
            <w:pPr>
              <w:ind w:left="620"/>
              <w:spacing w:after="0"/>
              <w:rPr>
                <w:sz w:val="20"/>
                <w:szCs w:val="20"/>
                <w:color w:val="auto"/>
              </w:rPr>
            </w:pPr>
            <w:r>
              <w:rPr>
                <w:rFonts w:ascii="Arial" w:cs="Arial" w:eastAsia="Arial" w:hAnsi="Arial"/>
                <w:sz w:val="16"/>
                <w:szCs w:val="16"/>
                <w:color w:val="auto"/>
              </w:rPr>
              <w:t>(0.3)</w:t>
            </w:r>
          </w:p>
        </w:tc>
        <w:tc>
          <w:tcPr>
            <w:tcW w:w="1080" w:type="dxa"/>
            <w:vAlign w:val="bottom"/>
          </w:tcPr>
          <w:p>
            <w:pPr>
              <w:jc w:val="right"/>
              <w:ind w:right="211"/>
              <w:spacing w:after="0"/>
              <w:rPr>
                <w:sz w:val="20"/>
                <w:szCs w:val="20"/>
                <w:color w:val="auto"/>
              </w:rPr>
            </w:pPr>
            <w:r>
              <w:rPr>
                <w:rFonts w:ascii="Arial" w:cs="Arial" w:eastAsia="Arial" w:hAnsi="Arial"/>
                <w:sz w:val="16"/>
                <w:szCs w:val="16"/>
                <w:color w:val="auto"/>
              </w:rPr>
              <w:t>(40.2)</w:t>
            </w:r>
          </w:p>
        </w:tc>
        <w:tc>
          <w:tcPr>
            <w:tcW w:w="780" w:type="dxa"/>
            <w:vAlign w:val="bottom"/>
          </w:tcPr>
          <w:p>
            <w:pPr>
              <w:jc w:val="right"/>
              <w:ind w:right="64"/>
              <w:spacing w:after="0"/>
              <w:rPr>
                <w:sz w:val="20"/>
                <w:szCs w:val="20"/>
                <w:color w:val="auto"/>
              </w:rPr>
            </w:pPr>
            <w:r>
              <w:rPr>
                <w:rFonts w:ascii="Arial" w:cs="Arial" w:eastAsia="Arial" w:hAnsi="Arial"/>
                <w:sz w:val="16"/>
                <w:szCs w:val="16"/>
                <w:color w:val="auto"/>
              </w:rPr>
              <w:t>(19.9)</w:t>
            </w:r>
          </w:p>
        </w:tc>
        <w:tc>
          <w:tcPr>
            <w:tcW w:w="1160" w:type="dxa"/>
            <w:vAlign w:val="bottom"/>
          </w:tcPr>
          <w:p>
            <w:pPr>
              <w:jc w:val="center"/>
              <w:ind w:left="344"/>
              <w:spacing w:after="0"/>
              <w:rPr>
                <w:sz w:val="20"/>
                <w:szCs w:val="20"/>
                <w:color w:val="auto"/>
              </w:rPr>
            </w:pPr>
            <w:r>
              <w:rPr>
                <w:rFonts w:ascii="Arial" w:cs="Arial" w:eastAsia="Arial" w:hAnsi="Arial"/>
                <w:sz w:val="16"/>
                <w:szCs w:val="16"/>
                <w:color w:val="auto"/>
                <w:w w:val="90"/>
              </w:rPr>
              <w:t>(12.4)</w:t>
            </w:r>
          </w:p>
        </w:tc>
        <w:tc>
          <w:tcPr>
            <w:tcW w:w="1080" w:type="dxa"/>
            <w:vAlign w:val="bottom"/>
          </w:tcPr>
          <w:p>
            <w:pPr>
              <w:ind w:left="600"/>
              <w:spacing w:after="0"/>
              <w:rPr>
                <w:sz w:val="20"/>
                <w:szCs w:val="20"/>
                <w:color w:val="auto"/>
              </w:rPr>
            </w:pPr>
            <w:r>
              <w:rPr>
                <w:rFonts w:ascii="Arial" w:cs="Arial" w:eastAsia="Arial" w:hAnsi="Arial"/>
                <w:sz w:val="16"/>
                <w:szCs w:val="16"/>
                <w:color w:val="auto"/>
              </w:rPr>
              <w:t>(5.5)</w:t>
            </w: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21" w:right="339" w:bottom="1440" w:gutter="0" w:footer="0" w:header="0"/>
        </w:sectPr>
      </w:pPr>
    </w:p>
    <w:bookmarkStart w:id="130" w:name="page131"/>
    <w:bookmarkEnd w:id="13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Allocated Combined Receipts</w:t>
      </w:r>
    </w:p>
    <w:p>
      <w:pPr>
        <w:spacing w:after="0" w:line="226" w:lineRule="exact"/>
        <w:rPr>
          <w:sz w:val="20"/>
          <w:szCs w:val="20"/>
          <w:color w:val="auto"/>
        </w:rPr>
      </w:pPr>
    </w:p>
    <w:p>
      <w:pPr>
        <w:jc w:val="center"/>
        <w:ind w:left="2280"/>
        <w:spacing w:after="0"/>
        <w:rPr>
          <w:sz w:val="20"/>
          <w:szCs w:val="20"/>
          <w:color w:val="auto"/>
        </w:rPr>
      </w:pPr>
      <w:r>
        <w:rPr>
          <w:rFonts w:ascii="Arial" w:cs="Arial" w:eastAsia="Arial" w:hAnsi="Arial"/>
          <w:sz w:val="11"/>
          <w:szCs w:val="11"/>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22860</wp:posOffset>
            </wp:positionV>
            <wp:extent cx="55892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jc w:val="right"/>
        <w:ind w:right="100"/>
        <w:spacing w:after="0"/>
        <w:tabs>
          <w:tab w:leader="none" w:pos="7780" w:val="left"/>
          <w:tab w:leader="none" w:pos="6920" w:val="left"/>
          <w:tab w:leader="none" w:pos="5800" w:val="left"/>
          <w:tab w:leader="none" w:pos="4740" w:val="left"/>
          <w:tab w:leader="none" w:pos="3780" w:val="left"/>
          <w:tab w:leader="none" w:pos="2900" w:val="left"/>
          <w:tab w:leader="none" w:pos="1780" w:val="left"/>
          <w:tab w:leader="none" w:pos="700" w:val="left"/>
        </w:tabs>
        <w:rPr>
          <w:sz w:val="20"/>
          <w:szCs w:val="20"/>
          <w:color w:val="auto"/>
        </w:rPr>
      </w:pPr>
      <w:r>
        <w:rPr>
          <w:rFonts w:ascii="Arial" w:cs="Arial" w:eastAsia="Arial" w:hAnsi="Arial"/>
          <w:sz w:val="11"/>
          <w:szCs w:val="11"/>
          <w:b w:val="1"/>
          <w:bCs w:val="1"/>
          <w:color w:val="auto"/>
        </w:rPr>
        <w:t>March 31, 2018</w:t>
      </w:r>
      <w:r>
        <w:rPr>
          <w:sz w:val="20"/>
          <w:szCs w:val="20"/>
          <w:color w:val="auto"/>
        </w:rPr>
        <w:tab/>
      </w:r>
      <w:r>
        <w:rPr>
          <w:rFonts w:ascii="Arial" w:cs="Arial" w:eastAsia="Arial" w:hAnsi="Arial"/>
          <w:sz w:val="11"/>
          <w:szCs w:val="11"/>
          <w:b w:val="1"/>
          <w:bCs w:val="1"/>
          <w:color w:val="auto"/>
        </w:rPr>
        <w:t>June 30, 2018</w:t>
      </w:r>
      <w:r>
        <w:rPr>
          <w:sz w:val="20"/>
          <w:szCs w:val="20"/>
          <w:color w:val="auto"/>
        </w:rPr>
        <w:tab/>
      </w:r>
      <w:r>
        <w:rPr>
          <w:rFonts w:ascii="Arial" w:cs="Arial" w:eastAsia="Arial" w:hAnsi="Arial"/>
          <w:sz w:val="11"/>
          <w:szCs w:val="11"/>
          <w:b w:val="1"/>
          <w:bCs w:val="1"/>
          <w:color w:val="auto"/>
        </w:rPr>
        <w:t>September 30, 2018</w:t>
      </w:r>
      <w:r>
        <w:rPr>
          <w:sz w:val="20"/>
          <w:szCs w:val="20"/>
          <w:color w:val="auto"/>
        </w:rPr>
        <w:tab/>
      </w:r>
      <w:r>
        <w:rPr>
          <w:rFonts w:ascii="Arial" w:cs="Arial" w:eastAsia="Arial" w:hAnsi="Arial"/>
          <w:sz w:val="11"/>
          <w:szCs w:val="11"/>
          <w:b w:val="1"/>
          <w:bCs w:val="1"/>
          <w:color w:val="auto"/>
        </w:rPr>
        <w:t>December 31, 2018</w:t>
      </w:r>
      <w:r>
        <w:rPr>
          <w:sz w:val="20"/>
          <w:szCs w:val="20"/>
          <w:color w:val="auto"/>
        </w:rPr>
        <w:tab/>
      </w:r>
      <w:r>
        <w:rPr>
          <w:rFonts w:ascii="Arial" w:cs="Arial" w:eastAsia="Arial" w:hAnsi="Arial"/>
          <w:sz w:val="11"/>
          <w:szCs w:val="11"/>
          <w:b w:val="1"/>
          <w:bCs w:val="1"/>
          <w:color w:val="auto"/>
        </w:rPr>
        <w:t>March 31, 2019</w:t>
      </w:r>
      <w:r>
        <w:rPr>
          <w:sz w:val="20"/>
          <w:szCs w:val="20"/>
          <w:color w:val="auto"/>
        </w:rPr>
        <w:tab/>
      </w:r>
      <w:r>
        <w:rPr>
          <w:rFonts w:ascii="Arial" w:cs="Arial" w:eastAsia="Arial" w:hAnsi="Arial"/>
          <w:sz w:val="11"/>
          <w:szCs w:val="11"/>
          <w:b w:val="1"/>
          <w:bCs w:val="1"/>
          <w:color w:val="auto"/>
        </w:rPr>
        <w:t>June 30, 2019</w:t>
      </w:r>
      <w:r>
        <w:rPr>
          <w:sz w:val="20"/>
          <w:szCs w:val="20"/>
          <w:color w:val="auto"/>
        </w:rPr>
        <w:tab/>
      </w:r>
      <w:r>
        <w:rPr>
          <w:rFonts w:ascii="Arial" w:cs="Arial" w:eastAsia="Arial" w:hAnsi="Arial"/>
          <w:sz w:val="11"/>
          <w:szCs w:val="11"/>
          <w:b w:val="1"/>
          <w:bCs w:val="1"/>
          <w:color w:val="auto"/>
        </w:rPr>
        <w:t>September 30, 2019</w:t>
      </w:r>
      <w:r>
        <w:rPr>
          <w:sz w:val="20"/>
          <w:szCs w:val="20"/>
          <w:color w:val="auto"/>
        </w:rPr>
        <w:tab/>
      </w:r>
      <w:r>
        <w:rPr>
          <w:rFonts w:ascii="Arial" w:cs="Arial" w:eastAsia="Arial" w:hAnsi="Arial"/>
          <w:sz w:val="11"/>
          <w:szCs w:val="11"/>
          <w:b w:val="1"/>
          <w:bCs w:val="1"/>
          <w:color w:val="auto"/>
        </w:rPr>
        <w:t>December 31, 2019</w:t>
      </w:r>
      <w:r>
        <w:rPr>
          <w:sz w:val="20"/>
          <w:szCs w:val="20"/>
          <w:color w:val="auto"/>
        </w:rPr>
        <w:tab/>
      </w:r>
      <w:r>
        <w:rPr>
          <w:rFonts w:ascii="Arial" w:cs="Arial" w:eastAsia="Arial" w:hAnsi="Arial"/>
          <w:sz w:val="10"/>
          <w:szCs w:val="10"/>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22860</wp:posOffset>
            </wp:positionV>
            <wp:extent cx="55892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8914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8914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p>
    <w:p>
      <w:pPr>
        <w:spacing w:after="0" w:line="59" w:lineRule="exact"/>
        <w:rPr>
          <w:sz w:val="20"/>
          <w:szCs w:val="20"/>
          <w:color w:val="auto"/>
        </w:rPr>
      </w:pPr>
    </w:p>
    <w:p>
      <w:pPr>
        <w:ind w:left="300" w:hanging="161"/>
        <w:spacing w:after="0" w:line="279" w:lineRule="auto"/>
        <w:rPr>
          <w:sz w:val="20"/>
          <w:szCs w:val="20"/>
          <w:color w:val="auto"/>
        </w:rPr>
      </w:pPr>
      <w:r>
        <w:rPr>
          <w:rFonts w:ascii="Arial" w:cs="Arial" w:eastAsia="Arial" w:hAnsi="Arial"/>
          <w:sz w:val="14"/>
          <w:szCs w:val="14"/>
          <w:color w:val="auto"/>
        </w:rPr>
        <w:t>Impact of fair value adjustments to acquired unearned revenue</w:t>
      </w:r>
      <w:r>
        <w:rPr>
          <w:rFonts w:ascii="Arial" w:cs="Arial" w:eastAsia="Arial" w:hAnsi="Arial"/>
          <w:sz w:val="18"/>
          <w:szCs w:val="18"/>
          <w:color w:val="auto"/>
          <w:vertAlign w:val="superscript"/>
        </w:rPr>
        <w:t>(a)</w:t>
      </w:r>
    </w:p>
    <w:p>
      <w:pPr>
        <w:ind w:left="140"/>
        <w:spacing w:after="0" w:line="219" w:lineRule="auto"/>
        <w:rPr>
          <w:sz w:val="20"/>
          <w:szCs w:val="20"/>
          <w:color w:val="auto"/>
        </w:rPr>
      </w:pPr>
      <w:r>
        <w:rPr>
          <w:rFonts w:ascii="Arial" w:cs="Arial" w:eastAsia="Arial" w:hAnsi="Arial"/>
          <w:sz w:val="16"/>
          <w:szCs w:val="16"/>
          <w:color w:val="auto"/>
        </w:rPr>
        <w:t>Pre-Acquisition ZI revenue</w:t>
      </w:r>
      <w:r>
        <w:rPr>
          <w:rFonts w:ascii="Arial" w:cs="Arial" w:eastAsia="Arial" w:hAnsi="Arial"/>
          <w:sz w:val="21"/>
          <w:szCs w:val="21"/>
          <w:color w:val="auto"/>
          <w:vertAlign w:val="superscript"/>
        </w:rPr>
        <w:t>(b)</w:t>
      </w:r>
    </w:p>
    <w:p>
      <w:pPr>
        <w:jc w:val="both"/>
        <w:ind w:left="300" w:right="80" w:hanging="161"/>
        <w:spacing w:after="0" w:line="239" w:lineRule="auto"/>
        <w:rPr>
          <w:sz w:val="20"/>
          <w:szCs w:val="20"/>
          <w:color w:val="auto"/>
        </w:rPr>
      </w:pPr>
      <w:r>
        <w:rPr>
          <w:rFonts w:ascii="Arial" w:cs="Arial" w:eastAsia="Arial" w:hAnsi="Arial"/>
          <w:sz w:val="14"/>
          <w:szCs w:val="14"/>
          <w:color w:val="auto"/>
        </w:rPr>
        <w:t>Impact of fair value adjustments to acquired unearned revenue recorded by Pre-Acquisition</w:t>
      </w:r>
    </w:p>
    <w:p>
      <w:pPr>
        <w:ind w:left="300"/>
        <w:spacing w:after="0" w:line="187" w:lineRule="auto"/>
        <w:rPr>
          <w:sz w:val="20"/>
          <w:szCs w:val="20"/>
          <w:color w:val="auto"/>
        </w:rPr>
      </w:pPr>
      <w:r>
        <w:rPr>
          <w:rFonts w:ascii="Arial" w:cs="Arial" w:eastAsia="Arial" w:hAnsi="Arial"/>
          <w:sz w:val="22"/>
          <w:szCs w:val="22"/>
          <w:color w:val="auto"/>
          <w:vertAlign w:val="subscript"/>
        </w:rPr>
        <w:t>ZI</w:t>
      </w:r>
      <w:r>
        <w:rPr>
          <w:rFonts w:ascii="Arial" w:cs="Arial" w:eastAsia="Arial" w:hAnsi="Arial"/>
          <w:sz w:val="9"/>
          <w:szCs w:val="9"/>
          <w:color w:val="auto"/>
        </w:rPr>
        <w:t>(c)</w:t>
      </w:r>
    </w:p>
    <w:p>
      <w:pPr>
        <w:spacing w:after="0" w:line="10" w:lineRule="exact"/>
        <w:rPr>
          <w:sz w:val="20"/>
          <w:szCs w:val="20"/>
          <w:color w:val="auto"/>
        </w:rPr>
      </w:pPr>
    </w:p>
    <w:p>
      <w:pPr>
        <w:jc w:val="both"/>
        <w:ind w:left="300" w:right="100" w:hanging="161"/>
        <w:spacing w:after="0" w:line="260" w:lineRule="auto"/>
        <w:rPr>
          <w:sz w:val="20"/>
          <w:szCs w:val="20"/>
          <w:color w:val="auto"/>
        </w:rPr>
      </w:pPr>
      <w:r>
        <w:rPr>
          <w:rFonts w:ascii="Arial" w:cs="Arial" w:eastAsia="Arial" w:hAnsi="Arial"/>
          <w:sz w:val="15"/>
          <w:szCs w:val="15"/>
          <w:color w:val="auto"/>
        </w:rPr>
        <w:t>Pre-acquisition revenue of other acquired companies</w:t>
      </w:r>
      <w:r>
        <w:rPr>
          <w:rFonts w:ascii="Arial" w:cs="Arial" w:eastAsia="Arial" w:hAnsi="Arial"/>
          <w:sz w:val="20"/>
          <w:szCs w:val="20"/>
          <w:color w:val="auto"/>
          <w:vertAlign w:val="superscript"/>
        </w:rPr>
        <w:t>(d)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Allocated Combined Receipts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7"/>
                <w:szCs w:val="17"/>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102.2</w:t>
            </w:r>
          </w:p>
        </w:tc>
      </w:tr>
      <w:tr>
        <w:trPr>
          <w:trHeight w:val="378"/>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1.4</w:t>
            </w:r>
          </w:p>
        </w:tc>
      </w:tr>
      <w:tr>
        <w:trPr>
          <w:trHeight w:val="256"/>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2"/>
                <w:szCs w:val="22"/>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2"/>
                <w:szCs w:val="22"/>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702"/>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78"/>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-998220</wp:posOffset>
            </wp:positionV>
            <wp:extent cx="708914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89140" cy="16319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-389890</wp:posOffset>
            </wp:positionV>
            <wp:extent cx="7089140"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89140" cy="24003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2320" w:space="60"/>
            <w:col w:w="8860"/>
          </w:cols>
          <w:pgMar w:left="320" w:top="121"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jc w:val="both"/>
        <w:ind w:left="340" w:hanging="332"/>
        <w:spacing w:after="0" w:line="241" w:lineRule="auto"/>
        <w:tabs>
          <w:tab w:leader="none" w:pos="33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and Komiko in October 2019. Figures include revenue recognized by these entities for the periods presented prior to their respective acquisitions.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21" w:right="339" w:bottom="1440" w:gutter="0" w:footer="0" w:header="0"/>
          <w:type w:val="continuous"/>
        </w:sectPr>
      </w:pPr>
    </w:p>
    <w:bookmarkStart w:id="131" w:name="page132"/>
    <w:bookmarkEnd w:id="13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226" w:lineRule="exact"/>
        <w:rPr>
          <w:sz w:val="20"/>
          <w:szCs w:val="20"/>
          <w:color w:val="auto"/>
        </w:rPr>
      </w:pPr>
    </w:p>
    <w:p>
      <w:pPr>
        <w:jc w:val="center"/>
        <w:ind w:left="2280"/>
        <w:spacing w:after="0"/>
        <w:rPr>
          <w:sz w:val="20"/>
          <w:szCs w:val="20"/>
          <w:color w:val="auto"/>
        </w:rPr>
      </w:pPr>
      <w:r>
        <w:rPr>
          <w:rFonts w:ascii="Arial" w:cs="Arial" w:eastAsia="Arial" w:hAnsi="Arial"/>
          <w:sz w:val="11"/>
          <w:szCs w:val="11"/>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22860</wp:posOffset>
            </wp:positionV>
            <wp:extent cx="55892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jc w:val="right"/>
        <w:ind w:right="100"/>
        <w:spacing w:after="0"/>
        <w:tabs>
          <w:tab w:leader="none" w:pos="7780" w:val="left"/>
          <w:tab w:leader="none" w:pos="6920" w:val="left"/>
          <w:tab w:leader="none" w:pos="5800" w:val="left"/>
          <w:tab w:leader="none" w:pos="4740" w:val="left"/>
          <w:tab w:leader="none" w:pos="3780" w:val="left"/>
          <w:tab w:leader="none" w:pos="2900" w:val="left"/>
          <w:tab w:leader="none" w:pos="1780" w:val="left"/>
          <w:tab w:leader="none" w:pos="700" w:val="left"/>
        </w:tabs>
        <w:rPr>
          <w:sz w:val="20"/>
          <w:szCs w:val="20"/>
          <w:color w:val="auto"/>
        </w:rPr>
      </w:pPr>
      <w:r>
        <w:rPr>
          <w:rFonts w:ascii="Arial" w:cs="Arial" w:eastAsia="Arial" w:hAnsi="Arial"/>
          <w:sz w:val="11"/>
          <w:szCs w:val="11"/>
          <w:b w:val="1"/>
          <w:bCs w:val="1"/>
          <w:color w:val="auto"/>
        </w:rPr>
        <w:t>March 31, 2018</w:t>
      </w:r>
      <w:r>
        <w:rPr>
          <w:sz w:val="20"/>
          <w:szCs w:val="20"/>
          <w:color w:val="auto"/>
        </w:rPr>
        <w:tab/>
      </w:r>
      <w:r>
        <w:rPr>
          <w:rFonts w:ascii="Arial" w:cs="Arial" w:eastAsia="Arial" w:hAnsi="Arial"/>
          <w:sz w:val="11"/>
          <w:szCs w:val="11"/>
          <w:b w:val="1"/>
          <w:bCs w:val="1"/>
          <w:color w:val="auto"/>
        </w:rPr>
        <w:t>June 30, 2018</w:t>
      </w:r>
      <w:r>
        <w:rPr>
          <w:sz w:val="20"/>
          <w:szCs w:val="20"/>
          <w:color w:val="auto"/>
        </w:rPr>
        <w:tab/>
      </w:r>
      <w:r>
        <w:rPr>
          <w:rFonts w:ascii="Arial" w:cs="Arial" w:eastAsia="Arial" w:hAnsi="Arial"/>
          <w:sz w:val="11"/>
          <w:szCs w:val="11"/>
          <w:b w:val="1"/>
          <w:bCs w:val="1"/>
          <w:color w:val="auto"/>
        </w:rPr>
        <w:t>September 30, 2018</w:t>
      </w:r>
      <w:r>
        <w:rPr>
          <w:sz w:val="20"/>
          <w:szCs w:val="20"/>
          <w:color w:val="auto"/>
        </w:rPr>
        <w:tab/>
      </w:r>
      <w:r>
        <w:rPr>
          <w:rFonts w:ascii="Arial" w:cs="Arial" w:eastAsia="Arial" w:hAnsi="Arial"/>
          <w:sz w:val="11"/>
          <w:szCs w:val="11"/>
          <w:b w:val="1"/>
          <w:bCs w:val="1"/>
          <w:color w:val="auto"/>
        </w:rPr>
        <w:t>December 31, 2018</w:t>
      </w:r>
      <w:r>
        <w:rPr>
          <w:sz w:val="20"/>
          <w:szCs w:val="20"/>
          <w:color w:val="auto"/>
        </w:rPr>
        <w:tab/>
      </w:r>
      <w:r>
        <w:rPr>
          <w:rFonts w:ascii="Arial" w:cs="Arial" w:eastAsia="Arial" w:hAnsi="Arial"/>
          <w:sz w:val="11"/>
          <w:szCs w:val="11"/>
          <w:b w:val="1"/>
          <w:bCs w:val="1"/>
          <w:color w:val="auto"/>
        </w:rPr>
        <w:t>March 31, 2019</w:t>
      </w:r>
      <w:r>
        <w:rPr>
          <w:sz w:val="20"/>
          <w:szCs w:val="20"/>
          <w:color w:val="auto"/>
        </w:rPr>
        <w:tab/>
      </w:r>
      <w:r>
        <w:rPr>
          <w:rFonts w:ascii="Arial" w:cs="Arial" w:eastAsia="Arial" w:hAnsi="Arial"/>
          <w:sz w:val="11"/>
          <w:szCs w:val="11"/>
          <w:b w:val="1"/>
          <w:bCs w:val="1"/>
          <w:color w:val="auto"/>
        </w:rPr>
        <w:t>June 30, 2019</w:t>
      </w:r>
      <w:r>
        <w:rPr>
          <w:sz w:val="20"/>
          <w:szCs w:val="20"/>
          <w:color w:val="auto"/>
        </w:rPr>
        <w:tab/>
      </w:r>
      <w:r>
        <w:rPr>
          <w:rFonts w:ascii="Arial" w:cs="Arial" w:eastAsia="Arial" w:hAnsi="Arial"/>
          <w:sz w:val="11"/>
          <w:szCs w:val="11"/>
          <w:b w:val="1"/>
          <w:bCs w:val="1"/>
          <w:color w:val="auto"/>
        </w:rPr>
        <w:t>September 30, 2019</w:t>
      </w:r>
      <w:r>
        <w:rPr>
          <w:sz w:val="20"/>
          <w:szCs w:val="20"/>
          <w:color w:val="auto"/>
        </w:rPr>
        <w:tab/>
      </w:r>
      <w:r>
        <w:rPr>
          <w:rFonts w:ascii="Arial" w:cs="Arial" w:eastAsia="Arial" w:hAnsi="Arial"/>
          <w:sz w:val="11"/>
          <w:szCs w:val="11"/>
          <w:b w:val="1"/>
          <w:bCs w:val="1"/>
          <w:color w:val="auto"/>
        </w:rPr>
        <w:t>December 31, 2019</w:t>
      </w:r>
      <w:r>
        <w:rPr>
          <w:sz w:val="20"/>
          <w:szCs w:val="20"/>
          <w:color w:val="auto"/>
        </w:rPr>
        <w:tab/>
      </w:r>
      <w:r>
        <w:rPr>
          <w:rFonts w:ascii="Arial" w:cs="Arial" w:eastAsia="Arial" w:hAnsi="Arial"/>
          <w:sz w:val="10"/>
          <w:szCs w:val="10"/>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22860</wp:posOffset>
            </wp:positionV>
            <wp:extent cx="55892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8914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8914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Provision for taxes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expense, net</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Loss on debt extinguishment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Other (income) expense, net</w:t>
      </w:r>
      <w:r>
        <w:rPr>
          <w:rFonts w:ascii="Arial" w:cs="Arial" w:eastAsia="Arial" w:hAnsi="Arial"/>
          <w:sz w:val="20"/>
          <w:szCs w:val="20"/>
          <w:color w:val="auto"/>
          <w:vertAlign w:val="superscript"/>
        </w:rPr>
        <w:t>(a)</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from operations</w:t>
      </w:r>
    </w:p>
    <w:p>
      <w:pPr>
        <w:spacing w:after="0" w:line="27" w:lineRule="exact"/>
        <w:rPr>
          <w:sz w:val="20"/>
          <w:szCs w:val="20"/>
          <w:color w:val="auto"/>
        </w:rPr>
      </w:pPr>
    </w:p>
    <w:p>
      <w:pPr>
        <w:ind w:left="400" w:hanging="161"/>
        <w:spacing w:after="0" w:line="218" w:lineRule="auto"/>
        <w:rPr>
          <w:sz w:val="20"/>
          <w:szCs w:val="20"/>
          <w:color w:val="auto"/>
        </w:rPr>
      </w:pPr>
      <w:r>
        <w:rPr>
          <w:rFonts w:ascii="Arial" w:cs="Arial" w:eastAsia="Arial" w:hAnsi="Arial"/>
          <w:sz w:val="16"/>
          <w:szCs w:val="16"/>
          <w:color w:val="auto"/>
        </w:rPr>
        <w:t>Impact of fair value adjustments to acquired unearned revenue</w:t>
      </w:r>
      <w:r>
        <w:rPr>
          <w:rFonts w:ascii="Arial" w:cs="Arial" w:eastAsia="Arial" w:hAnsi="Arial"/>
          <w:sz w:val="21"/>
          <w:szCs w:val="21"/>
          <w:color w:val="auto"/>
          <w:vertAlign w:val="superscript"/>
        </w:rPr>
        <w:t>(b)</w:t>
      </w:r>
    </w:p>
    <w:p>
      <w:pPr>
        <w:ind w:left="400" w:right="460" w:hanging="161"/>
        <w:spacing w:after="0" w:line="231" w:lineRule="auto"/>
        <w:rPr>
          <w:sz w:val="20"/>
          <w:szCs w:val="20"/>
          <w:color w:val="auto"/>
        </w:rPr>
      </w:pPr>
      <w:r>
        <w:rPr>
          <w:rFonts w:ascii="Arial" w:cs="Arial" w:eastAsia="Arial" w:hAnsi="Arial"/>
          <w:sz w:val="16"/>
          <w:szCs w:val="16"/>
          <w:color w:val="auto"/>
        </w:rPr>
        <w:t>Amortization of acquired technology</w:t>
      </w:r>
    </w:p>
    <w:p>
      <w:pPr>
        <w:spacing w:after="0" w:line="10" w:lineRule="exact"/>
        <w:rPr>
          <w:sz w:val="20"/>
          <w:szCs w:val="20"/>
          <w:color w:val="auto"/>
        </w:rPr>
      </w:pPr>
    </w:p>
    <w:p>
      <w:pPr>
        <w:ind w:left="400" w:right="80" w:hanging="161"/>
        <w:spacing w:after="0"/>
        <w:rPr>
          <w:sz w:val="20"/>
          <w:szCs w:val="20"/>
          <w:color w:val="auto"/>
        </w:rPr>
      </w:pPr>
      <w:r>
        <w:rPr>
          <w:rFonts w:ascii="Arial" w:cs="Arial" w:eastAsia="Arial" w:hAnsi="Arial"/>
          <w:sz w:val="16"/>
          <w:szCs w:val="16"/>
          <w:color w:val="auto"/>
        </w:rPr>
        <w:t>Amortization of other acquired intangibles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Equity-based compensation</w:t>
      </w:r>
    </w:p>
    <w:p>
      <w:pPr>
        <w:spacing w:after="0" w:line="32" w:lineRule="exact"/>
        <w:rPr>
          <w:sz w:val="20"/>
          <w:szCs w:val="20"/>
          <w:color w:val="auto"/>
        </w:rPr>
      </w:pPr>
    </w:p>
    <w:p>
      <w:pPr>
        <w:ind w:left="400" w:right="140" w:hanging="161"/>
        <w:spacing w:after="0" w:line="255" w:lineRule="auto"/>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18"/>
          <w:szCs w:val="18"/>
          <w:color w:val="auto"/>
          <w:vertAlign w:val="superscript"/>
        </w:rPr>
        <w:t>(c)</w:t>
      </w:r>
    </w:p>
    <w:p>
      <w:pPr>
        <w:spacing w:after="0" w:line="1" w:lineRule="exact"/>
        <w:rPr>
          <w:sz w:val="20"/>
          <w:szCs w:val="20"/>
          <w:color w:val="auto"/>
        </w:rPr>
      </w:pPr>
    </w:p>
    <w:p>
      <w:pPr>
        <w:jc w:val="both"/>
        <w:ind w:left="400" w:right="740" w:hanging="161"/>
        <w:spacing w:after="0" w:line="265" w:lineRule="auto"/>
        <w:rPr>
          <w:sz w:val="20"/>
          <w:szCs w:val="20"/>
          <w:color w:val="auto"/>
        </w:rPr>
      </w:pPr>
      <w:r>
        <w:rPr>
          <w:rFonts w:ascii="Arial" w:cs="Arial" w:eastAsia="Arial" w:hAnsi="Arial"/>
          <w:sz w:val="14"/>
          <w:szCs w:val="14"/>
          <w:color w:val="auto"/>
        </w:rPr>
        <w:t>Integration costs and acquisition-related compensation</w:t>
      </w:r>
      <w:r>
        <w:rPr>
          <w:rFonts w:ascii="Arial" w:cs="Arial" w:eastAsia="Arial" w:hAnsi="Arial"/>
          <w:sz w:val="18"/>
          <w:szCs w:val="18"/>
          <w:color w:val="auto"/>
          <w:vertAlign w:val="superscript"/>
        </w:rPr>
        <w:t>(d)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Operating Income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(5.9)</w:t>
            </w:r>
          </w:p>
        </w:tc>
      </w:tr>
      <w:tr>
        <w:trPr>
          <w:trHeight w:val="257"/>
        </w:trPr>
        <w:tc>
          <w:tcPr>
            <w:tcW w:w="76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(0.4)</w:t>
            </w:r>
          </w:p>
        </w:tc>
      </w:tr>
      <w:tr>
        <w:trPr>
          <w:trHeight w:val="257"/>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2"/>
                <w:szCs w:val="22"/>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2"/>
                <w:szCs w:val="22"/>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2"/>
                <w:szCs w:val="22"/>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24.5</w:t>
            </w:r>
          </w:p>
        </w:tc>
      </w:tr>
      <w:tr>
        <w:trPr>
          <w:trHeight w:val="256"/>
        </w:trPr>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2.2</w:t>
            </w:r>
          </w:p>
        </w:tc>
      </w:tr>
      <w:tr>
        <w:trPr>
          <w:trHeight w:val="257"/>
        </w:trPr>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(0.1)</w:t>
            </w:r>
          </w:p>
        </w:tc>
      </w:tr>
      <w:tr>
        <w:trPr>
          <w:trHeight w:val="33"/>
        </w:trPr>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20.3</w:t>
            </w:r>
          </w:p>
        </w:tc>
      </w:tr>
      <w:tr>
        <w:trPr>
          <w:trHeight w:val="33"/>
        </w:trPr>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87"/>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1.4</w:t>
            </w:r>
          </w:p>
        </w:tc>
      </w:tr>
      <w:tr>
        <w:trPr>
          <w:trHeight w:val="378"/>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5.6</w:t>
            </w:r>
          </w:p>
        </w:tc>
      </w:tr>
      <w:tr>
        <w:trPr>
          <w:trHeight w:val="378"/>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4.6</w:t>
            </w:r>
          </w:p>
        </w:tc>
      </w:tr>
      <w:tr>
        <w:trPr>
          <w:trHeight w:val="257"/>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2"/>
                <w:szCs w:val="22"/>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2"/>
                <w:szCs w:val="22"/>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2"/>
                <w:szCs w:val="22"/>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11.3</w:t>
            </w:r>
          </w:p>
        </w:tc>
      </w:tr>
      <w:tr>
        <w:trPr>
          <w:trHeight w:val="378"/>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2.9</w:t>
            </w:r>
          </w:p>
        </w:tc>
      </w:tr>
      <w:tr>
        <w:trPr>
          <w:trHeight w:val="540"/>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3.0</w:t>
            </w:r>
          </w:p>
        </w:tc>
      </w:tr>
      <w:tr>
        <w:trPr>
          <w:trHeight w:val="33"/>
        </w:trPr>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5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-2378710</wp:posOffset>
            </wp:positionV>
            <wp:extent cx="708914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89140" cy="16319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-2052955</wp:posOffset>
            </wp:positionV>
            <wp:extent cx="708914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89140" cy="1625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-1718945</wp:posOffset>
            </wp:positionV>
            <wp:extent cx="7089140" cy="3429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89140" cy="34290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-1135380</wp:posOffset>
            </wp:positionV>
            <wp:extent cx="7089140"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-732790</wp:posOffset>
            </wp:positionV>
            <wp:extent cx="7089140"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-149860</wp:posOffset>
            </wp:positionV>
            <wp:extent cx="708914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2340" w:space="40"/>
            <w:col w:w="8860"/>
          </w:cols>
          <w:pgMar w:left="320" w:top="121"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37" w:val="left"/>
        </w:tabs>
        <w:numPr>
          <w:ilvl w:val="0"/>
          <w:numId w:val="101"/>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the IPO. For the three months ended March 31, 2019, this expense related primarily to the acquisition of Pre-Acquisition ZI, including professional fees, severance, and acceleration of payments for terminated employees.</w:t>
      </w:r>
    </w:p>
    <w:p>
      <w:pPr>
        <w:jc w:val="both"/>
        <w:ind w:left="340" w:hanging="332"/>
        <w:spacing w:after="0" w:line="243" w:lineRule="auto"/>
        <w:tabs>
          <w:tab w:leader="none" w:pos="3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21" w:right="339" w:bottom="1440" w:gutter="0" w:footer="0" w:header="0"/>
          <w:type w:val="continuous"/>
        </w:sectPr>
      </w:pPr>
    </w:p>
    <w:bookmarkStart w:id="132" w:name="page133"/>
    <w:bookmarkEnd w:id="13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line="273" w:lineRule="auto"/>
        <w:rPr>
          <w:sz w:val="20"/>
          <w:szCs w:val="20"/>
          <w:color w:val="auto"/>
        </w:rPr>
      </w:pPr>
      <w:r>
        <w:rPr>
          <w:rFonts w:ascii="Arial" w:cs="Arial" w:eastAsia="Arial" w:hAnsi="Arial"/>
          <w:sz w:val="14"/>
          <w:szCs w:val="14"/>
          <w:color w:val="auto"/>
        </w:rPr>
        <w:t>awards granted upon the Company’s acquisitions of RainKing and NeverBounce. This expense is included in cost of service, sales and marketing expense, research and development expense, and general and administrative expense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6"/>
          </w:tcPr>
          <w:p>
            <w:pPr>
              <w:jc w:val="center"/>
              <w:spacing w:after="0"/>
              <w:rPr>
                <w:sz w:val="20"/>
                <w:szCs w:val="20"/>
                <w:color w:val="auto"/>
              </w:rPr>
            </w:pPr>
            <w:r>
              <w:rPr>
                <w:rFonts w:ascii="Arial" w:cs="Arial" w:eastAsia="Arial" w:hAnsi="Arial"/>
                <w:sz w:val="11"/>
                <w:szCs w:val="11"/>
                <w:b w:val="1"/>
                <w:bCs w:val="1"/>
                <w:color w:val="auto"/>
                <w:w w:val="90"/>
              </w:rPr>
              <w:t>Three Months Ended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ind w:left="20"/>
              <w:spacing w:after="0"/>
              <w:rPr>
                <w:sz w:val="20"/>
                <w:szCs w:val="20"/>
                <w:color w:val="auto"/>
              </w:rPr>
            </w:pPr>
            <w:r>
              <w:rPr>
                <w:rFonts w:ascii="Arial" w:cs="Arial" w:eastAsia="Arial" w:hAnsi="Arial"/>
                <w:sz w:val="11"/>
                <w:szCs w:val="11"/>
                <w:b w:val="1"/>
                <w:bCs w:val="1"/>
                <w:color w:val="auto"/>
                <w:w w:val="91"/>
              </w:rPr>
              <w:t>March 31, 2018</w:t>
            </w:r>
          </w:p>
        </w:tc>
        <w:tc>
          <w:tcPr>
            <w:tcW w:w="120" w:type="dxa"/>
            <w:vAlign w:val="bottom"/>
          </w:tcPr>
          <w:p>
            <w:pPr>
              <w:spacing w:after="0"/>
              <w:rPr>
                <w:sz w:val="12"/>
                <w:szCs w:val="12"/>
                <w:color w:val="auto"/>
              </w:rPr>
            </w:pPr>
          </w:p>
        </w:tc>
        <w:tc>
          <w:tcPr>
            <w:tcW w:w="780" w:type="dxa"/>
            <w:vAlign w:val="bottom"/>
            <w:gridSpan w:val="4"/>
          </w:tcPr>
          <w:p>
            <w:pPr>
              <w:ind w:left="80"/>
              <w:spacing w:after="0"/>
              <w:rPr>
                <w:sz w:val="20"/>
                <w:szCs w:val="20"/>
                <w:color w:val="auto"/>
              </w:rPr>
            </w:pPr>
            <w:r>
              <w:rPr>
                <w:rFonts w:ascii="Arial" w:cs="Arial" w:eastAsia="Arial" w:hAnsi="Arial"/>
                <w:sz w:val="11"/>
                <w:szCs w:val="11"/>
                <w:b w:val="1"/>
                <w:bCs w:val="1"/>
                <w:color w:val="auto"/>
                <w:w w:val="94"/>
              </w:rPr>
              <w:t>June 30, 2018</w:t>
            </w:r>
          </w:p>
        </w:tc>
        <w:tc>
          <w:tcPr>
            <w:tcW w:w="120" w:type="dxa"/>
            <w:vAlign w:val="bottom"/>
          </w:tcPr>
          <w:p>
            <w:pPr>
              <w:spacing w:after="0"/>
              <w:rPr>
                <w:sz w:val="12"/>
                <w:szCs w:val="12"/>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w w:val="91"/>
              </w:rPr>
              <w:t>September 30, 2018</w:t>
            </w:r>
          </w:p>
        </w:tc>
        <w:tc>
          <w:tcPr>
            <w:tcW w:w="120" w:type="dxa"/>
            <w:vAlign w:val="bottom"/>
          </w:tcPr>
          <w:p>
            <w:pPr>
              <w:spacing w:after="0"/>
              <w:rPr>
                <w:sz w:val="12"/>
                <w:szCs w:val="12"/>
                <w:color w:val="auto"/>
              </w:rPr>
            </w:pPr>
          </w:p>
        </w:tc>
        <w:tc>
          <w:tcPr>
            <w:tcW w:w="960" w:type="dxa"/>
            <w:vAlign w:val="bottom"/>
            <w:gridSpan w:val="3"/>
          </w:tcPr>
          <w:p>
            <w:pPr>
              <w:ind w:left="40"/>
              <w:spacing w:after="0"/>
              <w:rPr>
                <w:sz w:val="20"/>
                <w:szCs w:val="20"/>
                <w:color w:val="auto"/>
              </w:rPr>
            </w:pPr>
            <w:r>
              <w:rPr>
                <w:rFonts w:ascii="Arial" w:cs="Arial" w:eastAsia="Arial" w:hAnsi="Arial"/>
                <w:sz w:val="11"/>
                <w:szCs w:val="11"/>
                <w:b w:val="1"/>
                <w:bCs w:val="1"/>
                <w:color w:val="auto"/>
                <w:w w:val="90"/>
              </w:rPr>
              <w:t>December 31, 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ind w:left="20"/>
              <w:spacing w:after="0"/>
              <w:rPr>
                <w:sz w:val="20"/>
                <w:szCs w:val="20"/>
                <w:color w:val="auto"/>
              </w:rPr>
            </w:pPr>
            <w:r>
              <w:rPr>
                <w:rFonts w:ascii="Arial" w:cs="Arial" w:eastAsia="Arial" w:hAnsi="Arial"/>
                <w:sz w:val="11"/>
                <w:szCs w:val="11"/>
                <w:b w:val="1"/>
                <w:bCs w:val="1"/>
                <w:color w:val="auto"/>
              </w:rPr>
              <w:t>March 31, 2019</w:t>
            </w:r>
          </w:p>
        </w:tc>
        <w:tc>
          <w:tcPr>
            <w:tcW w:w="900" w:type="dxa"/>
            <w:vAlign w:val="bottom"/>
            <w:gridSpan w:val="5"/>
          </w:tcPr>
          <w:p>
            <w:pPr>
              <w:ind w:left="80"/>
              <w:spacing w:after="0"/>
              <w:rPr>
                <w:sz w:val="20"/>
                <w:szCs w:val="20"/>
                <w:color w:val="auto"/>
              </w:rPr>
            </w:pPr>
            <w:r>
              <w:rPr>
                <w:rFonts w:ascii="Arial" w:cs="Arial" w:eastAsia="Arial" w:hAnsi="Arial"/>
                <w:sz w:val="11"/>
                <w:szCs w:val="11"/>
                <w:b w:val="1"/>
                <w:bCs w:val="1"/>
                <w:color w:val="auto"/>
              </w:rPr>
              <w:t>June 30, 2019</w:t>
            </w:r>
          </w:p>
        </w:tc>
        <w:tc>
          <w:tcPr>
            <w:tcW w:w="1140" w:type="dxa"/>
            <w:vAlign w:val="bottom"/>
            <w:gridSpan w:val="5"/>
          </w:tcPr>
          <w:p>
            <w:pPr>
              <w:ind w:left="60"/>
              <w:spacing w:after="0"/>
              <w:rPr>
                <w:sz w:val="20"/>
                <w:szCs w:val="20"/>
                <w:color w:val="auto"/>
              </w:rPr>
            </w:pPr>
            <w:r>
              <w:rPr>
                <w:rFonts w:ascii="Arial" w:cs="Arial" w:eastAsia="Arial" w:hAnsi="Arial"/>
                <w:sz w:val="11"/>
                <w:szCs w:val="11"/>
                <w:b w:val="1"/>
                <w:bCs w:val="1"/>
                <w:color w:val="auto"/>
              </w:rPr>
              <w:t>September 30, 2019</w:t>
            </w:r>
          </w:p>
        </w:tc>
        <w:tc>
          <w:tcPr>
            <w:tcW w:w="1080" w:type="dxa"/>
            <w:vAlign w:val="bottom"/>
            <w:gridSpan w:val="5"/>
          </w:tcPr>
          <w:p>
            <w:pPr>
              <w:ind w:left="40"/>
              <w:spacing w:after="0"/>
              <w:rPr>
                <w:sz w:val="20"/>
                <w:szCs w:val="20"/>
                <w:color w:val="auto"/>
              </w:rPr>
            </w:pPr>
            <w:r>
              <w:rPr>
                <w:rFonts w:ascii="Arial" w:cs="Arial" w:eastAsia="Arial" w:hAnsi="Arial"/>
                <w:sz w:val="11"/>
                <w:szCs w:val="11"/>
                <w:b w:val="1"/>
                <w:bCs w:val="1"/>
                <w:color w:val="auto"/>
              </w:rPr>
              <w:t>December 31, 2019</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94"/>
              </w:rPr>
              <w:t>March 31, 2020</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87"/>
              </w:rPr>
              <w:t>(in millions)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6"/>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80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7"/>
        </w:trPr>
        <w:tc>
          <w:tcPr>
            <w:tcW w:w="222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7"/>
        </w:trPr>
        <w:tc>
          <w:tcPr>
            <w:tcW w:w="2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0.9</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21"/>
        </w:trPr>
        <w:tc>
          <w:tcPr>
            <w:tcW w:w="2220" w:type="dxa"/>
            <w:vAlign w:val="bottom"/>
            <w:gridSpan w:val="2"/>
            <w:shd w:val="clear" w:color="auto" w:fill="CCEEFF"/>
          </w:tcPr>
          <w:p>
            <w:pPr>
              <w:ind w:left="140"/>
              <w:spacing w:after="0" w:line="121" w:lineRule="exact"/>
              <w:rPr>
                <w:sz w:val="20"/>
                <w:szCs w:val="20"/>
                <w:color w:val="auto"/>
              </w:rPr>
            </w:pPr>
            <w:r>
              <w:rPr>
                <w:rFonts w:ascii="Arial" w:cs="Arial" w:eastAsia="Arial" w:hAnsi="Arial"/>
                <w:sz w:val="14"/>
                <w:szCs w:val="14"/>
                <w:color w:val="auto"/>
              </w:rPr>
              <w:t>Total integration costs and</w:t>
            </w:r>
          </w:p>
        </w:tc>
        <w:tc>
          <w:tcPr>
            <w:tcW w:w="160" w:type="dxa"/>
            <w:vAlign w:val="bottom"/>
            <w:gridSpan w:val="2"/>
            <w:vMerge w:val="restart"/>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260" w:type="dxa"/>
            <w:vAlign w:val="bottom"/>
            <w:vMerge w:val="restart"/>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240" w:type="dxa"/>
            <w:vAlign w:val="bottom"/>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2"/>
        </w:trPr>
        <w:tc>
          <w:tcPr>
            <w:tcW w:w="22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w w:val="92"/>
              </w:rPr>
              <w:t>acquisition-related compensation</w:t>
            </w:r>
          </w:p>
        </w:tc>
        <w:tc>
          <w:tcPr>
            <w:tcW w:w="1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gridSpan w:val="2"/>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gridSpan w:val="8"/>
          </w:tcPr>
          <w:p>
            <w:pPr>
              <w:ind w:left="40"/>
              <w:spacing w:after="0"/>
              <w:rPr>
                <w:sz w:val="20"/>
                <w:szCs w:val="20"/>
                <w:color w:val="auto"/>
              </w:rPr>
            </w:pPr>
            <w:r>
              <w:rPr>
                <w:rFonts w:ascii="Arial" w:cs="Arial" w:eastAsia="Arial" w:hAnsi="Arial"/>
                <w:sz w:val="11"/>
                <w:szCs w:val="11"/>
                <w:b w:val="1"/>
                <w:bCs w:val="1"/>
                <w:color w:val="auto"/>
                <w:w w:val="97"/>
              </w:rPr>
              <w:t>Three Months Ended</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5"/>
          </w:tcPr>
          <w:p>
            <w:pPr>
              <w:spacing w:after="0" w:line="20" w:lineRule="exact"/>
              <w:rPr>
                <w:sz w:val="1"/>
                <w:szCs w:val="1"/>
                <w:color w:val="auto"/>
              </w:rPr>
            </w:pPr>
          </w:p>
        </w:tc>
        <w:tc>
          <w:tcPr>
            <w:tcW w:w="900" w:type="dxa"/>
            <w:vAlign w:val="bottom"/>
            <w:tcBorders>
              <w:bottom w:val="single" w:sz="8" w:color="auto"/>
            </w:tcBorders>
            <w:gridSpan w:val="5"/>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108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6"/>
          </w:tcPr>
          <w:p>
            <w:pPr>
              <w:spacing w:after="0" w:line="20" w:lineRule="exact"/>
              <w:rPr>
                <w:sz w:val="1"/>
                <w:szCs w:val="1"/>
                <w:color w:val="auto"/>
              </w:rPr>
            </w:pPr>
          </w:p>
        </w:tc>
        <w:tc>
          <w:tcPr>
            <w:tcW w:w="900" w:type="dxa"/>
            <w:vAlign w:val="bottom"/>
            <w:tcBorders>
              <w:bottom w:val="single" w:sz="8" w:color="auto"/>
            </w:tcBorders>
            <w:gridSpan w:val="5"/>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1080" w:type="dxa"/>
            <w:vAlign w:val="bottom"/>
            <w:tcBorders>
              <w:bottom w:val="single" w:sz="8" w:color="auto"/>
            </w:tcBorders>
            <w:gridSpan w:val="5"/>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6"/>
          </w:tcPr>
          <w:p>
            <w:pPr>
              <w:spacing w:after="0"/>
              <w:rPr>
                <w:sz w:val="20"/>
                <w:szCs w:val="20"/>
                <w:color w:val="auto"/>
              </w:rPr>
            </w:pPr>
            <w:r>
              <w:rPr>
                <w:rFonts w:ascii="Arial" w:cs="Arial" w:eastAsia="Arial" w:hAnsi="Arial"/>
                <w:sz w:val="11"/>
                <w:szCs w:val="11"/>
                <w:b w:val="1"/>
                <w:bCs w:val="1"/>
                <w:color w:val="auto"/>
              </w:rPr>
              <w:t>March 31, 2018</w:t>
            </w:r>
          </w:p>
        </w:tc>
        <w:tc>
          <w:tcPr>
            <w:tcW w:w="900" w:type="dxa"/>
            <w:vAlign w:val="bottom"/>
            <w:gridSpan w:val="5"/>
          </w:tcPr>
          <w:p>
            <w:pPr>
              <w:ind w:left="40"/>
              <w:spacing w:after="0"/>
              <w:rPr>
                <w:sz w:val="20"/>
                <w:szCs w:val="20"/>
                <w:color w:val="auto"/>
              </w:rPr>
            </w:pPr>
            <w:r>
              <w:rPr>
                <w:rFonts w:ascii="Arial" w:cs="Arial" w:eastAsia="Arial" w:hAnsi="Arial"/>
                <w:sz w:val="11"/>
                <w:szCs w:val="11"/>
                <w:b w:val="1"/>
                <w:bCs w:val="1"/>
                <w:color w:val="auto"/>
              </w:rPr>
              <w:t>June 30, 2018</w:t>
            </w: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September 30, 2018</w:t>
            </w: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December 31, 2018</w:t>
            </w:r>
          </w:p>
        </w:tc>
        <w:tc>
          <w:tcPr>
            <w:tcW w:w="20" w:type="dxa"/>
            <w:vAlign w:val="bottom"/>
          </w:tcPr>
          <w:p>
            <w:pPr>
              <w:spacing w:after="0"/>
              <w:rPr>
                <w:sz w:val="12"/>
                <w:szCs w:val="12"/>
                <w:color w:val="auto"/>
              </w:rPr>
            </w:pPr>
          </w:p>
        </w:tc>
        <w:tc>
          <w:tcPr>
            <w:tcW w:w="1000" w:type="dxa"/>
            <w:vAlign w:val="bottom"/>
            <w:gridSpan w:val="6"/>
          </w:tcPr>
          <w:p>
            <w:pPr>
              <w:ind w:left="40"/>
              <w:spacing w:after="0"/>
              <w:rPr>
                <w:sz w:val="20"/>
                <w:szCs w:val="20"/>
                <w:color w:val="auto"/>
              </w:rPr>
            </w:pPr>
            <w:r>
              <w:rPr>
                <w:rFonts w:ascii="Arial" w:cs="Arial" w:eastAsia="Arial" w:hAnsi="Arial"/>
                <w:sz w:val="11"/>
                <w:szCs w:val="11"/>
                <w:b w:val="1"/>
                <w:bCs w:val="1"/>
                <w:color w:val="auto"/>
              </w:rPr>
              <w:t>March 31, 2019</w:t>
            </w:r>
          </w:p>
        </w:tc>
        <w:tc>
          <w:tcPr>
            <w:tcW w:w="900" w:type="dxa"/>
            <w:vAlign w:val="bottom"/>
            <w:gridSpan w:val="5"/>
          </w:tcPr>
          <w:p>
            <w:pPr>
              <w:spacing w:after="0"/>
              <w:rPr>
                <w:sz w:val="20"/>
                <w:szCs w:val="20"/>
                <w:color w:val="auto"/>
              </w:rPr>
            </w:pPr>
            <w:r>
              <w:rPr>
                <w:rFonts w:ascii="Arial" w:cs="Arial" w:eastAsia="Arial" w:hAnsi="Arial"/>
                <w:sz w:val="11"/>
                <w:szCs w:val="11"/>
                <w:b w:val="1"/>
                <w:bCs w:val="1"/>
                <w:color w:val="auto"/>
              </w:rPr>
              <w:t>June 30, 2019</w:t>
            </w:r>
          </w:p>
        </w:tc>
        <w:tc>
          <w:tcPr>
            <w:tcW w:w="1140" w:type="dxa"/>
            <w:vAlign w:val="bottom"/>
            <w:gridSpan w:val="5"/>
          </w:tcPr>
          <w:p>
            <w:pPr>
              <w:spacing w:after="0"/>
              <w:rPr>
                <w:sz w:val="20"/>
                <w:szCs w:val="20"/>
                <w:color w:val="auto"/>
              </w:rPr>
            </w:pPr>
            <w:r>
              <w:rPr>
                <w:rFonts w:ascii="Arial" w:cs="Arial" w:eastAsia="Arial" w:hAnsi="Arial"/>
                <w:sz w:val="11"/>
                <w:szCs w:val="11"/>
                <w:b w:val="1"/>
                <w:bCs w:val="1"/>
                <w:color w:val="auto"/>
              </w:rPr>
              <w:t>September 30, 2019</w:t>
            </w:r>
          </w:p>
        </w:tc>
        <w:tc>
          <w:tcPr>
            <w:tcW w:w="1080" w:type="dxa"/>
            <w:vAlign w:val="bottom"/>
            <w:gridSpan w:val="5"/>
          </w:tcPr>
          <w:p>
            <w:pPr>
              <w:ind w:left="20"/>
              <w:spacing w:after="0"/>
              <w:rPr>
                <w:sz w:val="20"/>
                <w:szCs w:val="20"/>
                <w:color w:val="auto"/>
              </w:rPr>
            </w:pPr>
            <w:r>
              <w:rPr>
                <w:rFonts w:ascii="Arial" w:cs="Arial" w:eastAsia="Arial" w:hAnsi="Arial"/>
                <w:sz w:val="11"/>
                <w:szCs w:val="11"/>
                <w:b w:val="1"/>
                <w:bCs w:val="1"/>
                <w:color w:val="auto"/>
              </w:rPr>
              <w:t>December 31, 2019</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94"/>
              </w:rPr>
              <w:t>March 31, 2020</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ind w:left="40"/>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Operating Income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5"/>
              </w:rPr>
              <w:t>17.7</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31.7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41.3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5"/>
              </w:rPr>
              <w:t>31.5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54.6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68.5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w w:val="96"/>
              </w:rPr>
              <w:t>Impact of fair value adjustments to</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color w:val="auto"/>
              </w:rPr>
              <w:t>8.1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2220" w:type="dxa"/>
            <w:vAlign w:val="bottom"/>
            <w:gridSpan w:val="2"/>
          </w:tcPr>
          <w:p>
            <w:pPr>
              <w:ind w:left="300"/>
              <w:spacing w:after="0"/>
              <w:rPr>
                <w:sz w:val="20"/>
                <w:szCs w:val="20"/>
                <w:color w:val="auto"/>
              </w:rPr>
            </w:pPr>
            <w:r>
              <w:rPr>
                <w:rFonts w:ascii="Arial" w:cs="Arial" w:eastAsia="Arial" w:hAnsi="Arial"/>
                <w:sz w:val="14"/>
                <w:szCs w:val="14"/>
                <w:color w:val="auto"/>
              </w:rPr>
              <w:t>acquired unearned revenue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180" w:type="dxa"/>
            <w:vAlign w:val="bottom"/>
            <w:tcBorders>
              <w:top w:val="single" w:sz="8" w:color="CCEEFF"/>
            </w:tcBorders>
            <w:shd w:val="clear" w:color="auto" w:fill="CCEEFF"/>
          </w:tcPr>
          <w:p>
            <w:pPr>
              <w:ind w:left="140"/>
              <w:spacing w:after="0" w:line="119" w:lineRule="exact"/>
              <w:rPr>
                <w:sz w:val="20"/>
                <w:szCs w:val="20"/>
                <w:color w:val="auto"/>
              </w:rPr>
            </w:pPr>
            <w:r>
              <w:rPr>
                <w:rFonts w:ascii="Arial" w:cs="Arial" w:eastAsia="Arial" w:hAnsi="Arial"/>
                <w:sz w:val="13"/>
                <w:szCs w:val="13"/>
                <w:color w:val="auto"/>
              </w:rPr>
              <w:t>Revenue for adjusted operating</w:t>
            </w: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95"/>
              </w:rPr>
              <w:t>32.8</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35.4</w:t>
            </w: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37.9</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41.2</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63.1</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vMerge w:val="restart"/>
            <w:shd w:val="clear" w:color="auto" w:fill="CCEEFF"/>
          </w:tcPr>
          <w:p>
            <w:pPr>
              <w:ind w:left="140"/>
              <w:spacing w:after="0"/>
              <w:rPr>
                <w:sz w:val="20"/>
                <w:szCs w:val="20"/>
                <w:color w:val="auto"/>
              </w:rPr>
            </w:pPr>
            <w:r>
              <w:rPr>
                <w:rFonts w:ascii="Arial" w:cs="Arial" w:eastAsia="Arial" w:hAnsi="Arial"/>
                <w:sz w:val="14"/>
                <w:szCs w:val="14"/>
                <w:color w:val="auto"/>
              </w:rPr>
              <w:t>79.2</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87.2</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96.1</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margin calculation</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i w:val="1"/>
                <w:iCs w:val="1"/>
                <w:color w:val="auto"/>
              </w:rPr>
              <w:t>Adjusted Operating Income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54.2 %</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57.7 %</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58.1 %</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57.1 %</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50.2 %</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6"/>
              </w:rPr>
              <w:t>52.1 %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53.9 %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49.1 %</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47.4 %</w:t>
            </w:r>
          </w:p>
        </w:tc>
        <w:tc>
          <w:tcPr>
            <w:tcW w:w="0" w:type="dxa"/>
            <w:vAlign w:val="bottom"/>
          </w:tcPr>
          <w:p>
            <w:pPr>
              <w:spacing w:after="0"/>
              <w:rPr>
                <w:sz w:val="1"/>
                <w:szCs w:val="1"/>
                <w:color w:val="auto"/>
              </w:rPr>
            </w:pPr>
          </w:p>
        </w:tc>
      </w:tr>
      <w:tr>
        <w:trPr>
          <w:trHeight w:val="182"/>
        </w:trPr>
        <w:tc>
          <w:tcPr>
            <w:tcW w:w="2220" w:type="dxa"/>
            <w:vAlign w:val="bottom"/>
            <w:gridSpan w:val="2"/>
          </w:tcPr>
          <w:p>
            <w:pPr>
              <w:ind w:left="300"/>
              <w:spacing w:after="0"/>
              <w:rPr>
                <w:sz w:val="20"/>
                <w:szCs w:val="20"/>
                <w:color w:val="auto"/>
              </w:rPr>
            </w:pPr>
            <w:r>
              <w:rPr>
                <w:rFonts w:ascii="Arial" w:cs="Arial" w:eastAsia="Arial" w:hAnsi="Arial"/>
                <w:sz w:val="14"/>
                <w:szCs w:val="14"/>
                <w:i w:val="1"/>
                <w:iCs w:val="1"/>
                <w:color w:val="auto"/>
              </w:rPr>
              <w:t>Margin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87"/>
              </w:rPr>
              <w:t>As of</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5"/>
          </w:tcPr>
          <w:p>
            <w:pPr>
              <w:spacing w:after="0" w:line="20" w:lineRule="exact"/>
              <w:rPr>
                <w:sz w:val="1"/>
                <w:szCs w:val="1"/>
                <w:color w:val="auto"/>
              </w:rPr>
            </w:pPr>
          </w:p>
        </w:tc>
        <w:tc>
          <w:tcPr>
            <w:tcW w:w="900" w:type="dxa"/>
            <w:vAlign w:val="bottom"/>
            <w:tcBorders>
              <w:bottom w:val="single" w:sz="8" w:color="auto"/>
            </w:tcBorders>
            <w:gridSpan w:val="5"/>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1080" w:type="dxa"/>
            <w:vAlign w:val="bottom"/>
            <w:tcBorders>
              <w:bottom w:val="single" w:sz="8" w:color="auto"/>
            </w:tcBorders>
            <w:gridSpan w:val="5"/>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spacing w:after="0"/>
              <w:rPr>
                <w:sz w:val="20"/>
                <w:szCs w:val="20"/>
                <w:color w:val="auto"/>
              </w:rPr>
            </w:pPr>
            <w:r>
              <w:rPr>
                <w:rFonts w:ascii="Arial" w:cs="Arial" w:eastAsia="Arial" w:hAnsi="Arial"/>
                <w:sz w:val="11"/>
                <w:szCs w:val="11"/>
                <w:b w:val="1"/>
                <w:bCs w:val="1"/>
                <w:color w:val="auto"/>
                <w:w w:val="94"/>
              </w:rPr>
              <w:t>March 31, 2018</w:t>
            </w:r>
          </w:p>
        </w:tc>
        <w:tc>
          <w:tcPr>
            <w:tcW w:w="120" w:type="dxa"/>
            <w:vAlign w:val="bottom"/>
          </w:tcPr>
          <w:p>
            <w:pPr>
              <w:spacing w:after="0"/>
              <w:rPr>
                <w:sz w:val="12"/>
                <w:szCs w:val="12"/>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w w:val="97"/>
              </w:rPr>
              <w:t>June 30, 2018</w:t>
            </w:r>
          </w:p>
        </w:tc>
        <w:tc>
          <w:tcPr>
            <w:tcW w:w="120" w:type="dxa"/>
            <w:vAlign w:val="bottom"/>
          </w:tcPr>
          <w:p>
            <w:pPr>
              <w:spacing w:after="0"/>
              <w:rPr>
                <w:sz w:val="12"/>
                <w:szCs w:val="12"/>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w w:val="91"/>
              </w:rPr>
              <w:t>September 30, 2018</w:t>
            </w:r>
          </w:p>
        </w:tc>
        <w:tc>
          <w:tcPr>
            <w:tcW w:w="120" w:type="dxa"/>
            <w:vAlign w:val="bottom"/>
          </w:tcPr>
          <w:p>
            <w:pPr>
              <w:spacing w:after="0"/>
              <w:rPr>
                <w:sz w:val="12"/>
                <w:szCs w:val="12"/>
                <w:color w:val="auto"/>
              </w:rPr>
            </w:pPr>
          </w:p>
        </w:tc>
        <w:tc>
          <w:tcPr>
            <w:tcW w:w="960" w:type="dxa"/>
            <w:vAlign w:val="bottom"/>
            <w:gridSpan w:val="3"/>
          </w:tcPr>
          <w:p>
            <w:pPr>
              <w:ind w:left="40"/>
              <w:spacing w:after="0"/>
              <w:rPr>
                <w:sz w:val="20"/>
                <w:szCs w:val="20"/>
                <w:color w:val="auto"/>
              </w:rPr>
            </w:pPr>
            <w:r>
              <w:rPr>
                <w:rFonts w:ascii="Arial" w:cs="Arial" w:eastAsia="Arial" w:hAnsi="Arial"/>
                <w:sz w:val="11"/>
                <w:szCs w:val="11"/>
                <w:b w:val="1"/>
                <w:bCs w:val="1"/>
                <w:color w:val="auto"/>
                <w:w w:val="90"/>
              </w:rPr>
              <w:t>December 31, 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ind w:left="20"/>
              <w:spacing w:after="0"/>
              <w:rPr>
                <w:sz w:val="20"/>
                <w:szCs w:val="20"/>
                <w:color w:val="auto"/>
              </w:rPr>
            </w:pPr>
            <w:r>
              <w:rPr>
                <w:rFonts w:ascii="Arial" w:cs="Arial" w:eastAsia="Arial" w:hAnsi="Arial"/>
                <w:sz w:val="11"/>
                <w:szCs w:val="11"/>
                <w:b w:val="1"/>
                <w:bCs w:val="1"/>
                <w:color w:val="auto"/>
              </w:rPr>
              <w:t>March 31, 2019</w:t>
            </w:r>
          </w:p>
        </w:tc>
        <w:tc>
          <w:tcPr>
            <w:tcW w:w="900" w:type="dxa"/>
            <w:vAlign w:val="bottom"/>
            <w:gridSpan w:val="5"/>
          </w:tcPr>
          <w:p>
            <w:pPr>
              <w:ind w:left="80"/>
              <w:spacing w:after="0"/>
              <w:rPr>
                <w:sz w:val="20"/>
                <w:szCs w:val="20"/>
                <w:color w:val="auto"/>
              </w:rPr>
            </w:pPr>
            <w:r>
              <w:rPr>
                <w:rFonts w:ascii="Arial" w:cs="Arial" w:eastAsia="Arial" w:hAnsi="Arial"/>
                <w:sz w:val="11"/>
                <w:szCs w:val="11"/>
                <w:b w:val="1"/>
                <w:bCs w:val="1"/>
                <w:color w:val="auto"/>
              </w:rPr>
              <w:t>June 30, 2019</w:t>
            </w:r>
          </w:p>
        </w:tc>
        <w:tc>
          <w:tcPr>
            <w:tcW w:w="1140" w:type="dxa"/>
            <w:vAlign w:val="bottom"/>
            <w:gridSpan w:val="5"/>
          </w:tcPr>
          <w:p>
            <w:pPr>
              <w:ind w:left="60"/>
              <w:spacing w:after="0"/>
              <w:rPr>
                <w:sz w:val="20"/>
                <w:szCs w:val="20"/>
                <w:color w:val="auto"/>
              </w:rPr>
            </w:pPr>
            <w:r>
              <w:rPr>
                <w:rFonts w:ascii="Arial" w:cs="Arial" w:eastAsia="Arial" w:hAnsi="Arial"/>
                <w:sz w:val="11"/>
                <w:szCs w:val="11"/>
                <w:b w:val="1"/>
                <w:bCs w:val="1"/>
                <w:color w:val="auto"/>
              </w:rPr>
              <w:t>September 30, 2019</w:t>
            </w:r>
          </w:p>
        </w:tc>
        <w:tc>
          <w:tcPr>
            <w:tcW w:w="1080" w:type="dxa"/>
            <w:vAlign w:val="bottom"/>
            <w:gridSpan w:val="5"/>
          </w:tcPr>
          <w:p>
            <w:pPr>
              <w:ind w:left="40"/>
              <w:spacing w:after="0"/>
              <w:rPr>
                <w:sz w:val="20"/>
                <w:szCs w:val="20"/>
                <w:color w:val="auto"/>
              </w:rPr>
            </w:pPr>
            <w:r>
              <w:rPr>
                <w:rFonts w:ascii="Arial" w:cs="Arial" w:eastAsia="Arial" w:hAnsi="Arial"/>
                <w:sz w:val="11"/>
                <w:szCs w:val="11"/>
                <w:b w:val="1"/>
                <w:bCs w:val="1"/>
                <w:color w:val="auto"/>
              </w:rPr>
              <w:t>December 31, 2019</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94"/>
              </w:rPr>
              <w:t>March 31, 2020</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0"/>
              </w:rPr>
              <w:t>(in millions)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96"/>
        </w:trPr>
        <w:tc>
          <w:tcPr>
            <w:tcW w:w="2220" w:type="dxa"/>
            <w:vAlign w:val="bottom"/>
            <w:gridSpan w:val="2"/>
          </w:tcPr>
          <w:p>
            <w:pPr>
              <w:ind w:left="20"/>
              <w:spacing w:after="0"/>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579.0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578.3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1,542.2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1,508.0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1,507.1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1,561.9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w w:val="98"/>
              </w:rPr>
              <w:t>1,577.9</w:t>
            </w:r>
          </w:p>
        </w:tc>
        <w:tc>
          <w:tcPr>
            <w:tcW w:w="0" w:type="dxa"/>
            <w:vAlign w:val="bottom"/>
          </w:tcPr>
          <w:p>
            <w:pPr>
              <w:spacing w:after="0"/>
              <w:rPr>
                <w:sz w:val="1"/>
                <w:szCs w:val="1"/>
                <w:color w:val="auto"/>
              </w:rPr>
            </w:pPr>
          </w:p>
        </w:tc>
      </w:tr>
      <w:tr>
        <w:trPr>
          <w:trHeight w:val="141"/>
        </w:trPr>
        <w:tc>
          <w:tcPr>
            <w:tcW w:w="222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Long-term debt (including current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622.4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625.9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633.7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1,205.3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1,204.3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1,203.3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98"/>
              </w:rPr>
              <w:t>1,238.8</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portion)</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5"/>
              </w:rPr>
              <w:t>Unearned revenue (including current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44.5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46.6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105.3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130.3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133.2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159.1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80"/>
              <w:spacing w:after="0"/>
              <w:rPr>
                <w:sz w:val="20"/>
                <w:szCs w:val="20"/>
                <w:color w:val="auto"/>
              </w:rPr>
            </w:pPr>
            <w:r>
              <w:rPr>
                <w:rFonts w:ascii="Arial" w:cs="Arial" w:eastAsia="Arial" w:hAnsi="Arial"/>
                <w:sz w:val="14"/>
                <w:szCs w:val="14"/>
                <w:color w:val="auto"/>
              </w:rPr>
              <w:t>portion)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691.6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1,508.5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1,524.4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1,575.5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8"/>
              </w:rPr>
              <w:t>1,597.8</w:t>
            </w: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provided by (used in)</w:t>
      </w:r>
    </w:p>
    <w:p>
      <w:pPr>
        <w:ind w:left="180"/>
        <w:spacing w:after="0" w:line="229" w:lineRule="auto"/>
        <w:rPr>
          <w:sz w:val="20"/>
          <w:szCs w:val="20"/>
          <w:color w:val="auto"/>
        </w:rPr>
      </w:pPr>
      <w:r>
        <w:rPr>
          <w:rFonts w:ascii="Arial" w:cs="Arial" w:eastAsia="Arial" w:hAnsi="Arial"/>
          <w:sz w:val="16"/>
          <w:szCs w:val="16"/>
          <w:color w:val="auto"/>
        </w:rPr>
        <w:t>operating activities</w:t>
      </w:r>
      <w:r>
        <w:rPr>
          <w:rFonts w:ascii="Arial" w:cs="Arial" w:eastAsia="Arial" w:hAnsi="Arial"/>
          <w:sz w:val="21"/>
          <w:szCs w:val="21"/>
          <w:color w:val="auto"/>
          <w:vertAlign w:val="superscript"/>
        </w:rPr>
        <w:t>(1)</w:t>
      </w:r>
    </w:p>
    <w:p>
      <w:pPr>
        <w:spacing w:after="0" w:line="1" w:lineRule="exact"/>
        <w:rPr>
          <w:sz w:val="20"/>
          <w:szCs w:val="20"/>
          <w:color w:val="auto"/>
        </w:rPr>
      </w:pPr>
    </w:p>
    <w:p>
      <w:pPr>
        <w:ind w:left="180" w:hanging="161"/>
        <w:spacing w:after="0" w:line="231" w:lineRule="auto"/>
        <w:rPr>
          <w:sz w:val="20"/>
          <w:szCs w:val="20"/>
          <w:color w:val="auto"/>
        </w:rPr>
      </w:pPr>
      <w:r>
        <w:rPr>
          <w:rFonts w:ascii="Arial" w:cs="Arial" w:eastAsia="Arial" w:hAnsi="Arial"/>
          <w:sz w:val="16"/>
          <w:szCs w:val="16"/>
          <w:color w:val="auto"/>
        </w:rPr>
        <w:t>Net cash provided by (used in) investing activities</w:t>
      </w:r>
    </w:p>
    <w:p>
      <w:pPr>
        <w:spacing w:after="0" w:line="10" w:lineRule="exact"/>
        <w:rPr>
          <w:sz w:val="20"/>
          <w:szCs w:val="20"/>
          <w:color w:val="auto"/>
        </w:rPr>
      </w:pPr>
    </w:p>
    <w:p>
      <w:pPr>
        <w:ind w:left="180" w:hanging="161"/>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1"/>
          <w:szCs w:val="11"/>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5597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60" w:type="dxa"/>
            <w:vAlign w:val="bottom"/>
          </w:tcPr>
          <w:p>
            <w:pPr>
              <w:jc w:val="right"/>
              <w:ind w:right="46"/>
              <w:spacing w:after="0"/>
              <w:rPr>
                <w:sz w:val="20"/>
                <w:szCs w:val="20"/>
                <w:color w:val="auto"/>
              </w:rPr>
            </w:pPr>
            <w:r>
              <w:rPr>
                <w:rFonts w:ascii="Arial" w:cs="Arial" w:eastAsia="Arial" w:hAnsi="Arial"/>
                <w:sz w:val="11"/>
                <w:szCs w:val="11"/>
                <w:b w:val="1"/>
                <w:bCs w:val="1"/>
                <w:color w:val="auto"/>
                <w:w w:val="91"/>
              </w:rPr>
              <w:t>March 31, 2018</w:t>
            </w:r>
          </w:p>
        </w:tc>
        <w:tc>
          <w:tcPr>
            <w:tcW w:w="860" w:type="dxa"/>
            <w:vAlign w:val="bottom"/>
          </w:tcPr>
          <w:p>
            <w:pPr>
              <w:jc w:val="right"/>
              <w:ind w:right="46"/>
              <w:spacing w:after="0"/>
              <w:rPr>
                <w:sz w:val="20"/>
                <w:szCs w:val="20"/>
                <w:color w:val="auto"/>
              </w:rPr>
            </w:pPr>
            <w:r>
              <w:rPr>
                <w:rFonts w:ascii="Arial" w:cs="Arial" w:eastAsia="Arial" w:hAnsi="Arial"/>
                <w:sz w:val="11"/>
                <w:szCs w:val="11"/>
                <w:b w:val="1"/>
                <w:bCs w:val="1"/>
                <w:color w:val="auto"/>
              </w:rPr>
              <w:t>June 30, 2018</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w w:val="95"/>
              </w:rPr>
              <w:t>September 30, 2018</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w w:val="94"/>
              </w:rPr>
              <w:t>December 31, 2018</w:t>
            </w:r>
          </w:p>
        </w:tc>
        <w:tc>
          <w:tcPr>
            <w:tcW w:w="940" w:type="dxa"/>
            <w:vAlign w:val="bottom"/>
          </w:tcPr>
          <w:p>
            <w:pPr>
              <w:jc w:val="right"/>
              <w:ind w:right="50"/>
              <w:spacing w:after="0"/>
              <w:rPr>
                <w:sz w:val="20"/>
                <w:szCs w:val="20"/>
                <w:color w:val="auto"/>
              </w:rPr>
            </w:pPr>
            <w:r>
              <w:rPr>
                <w:rFonts w:ascii="Arial" w:cs="Arial" w:eastAsia="Arial" w:hAnsi="Arial"/>
                <w:sz w:val="11"/>
                <w:szCs w:val="11"/>
                <w:b w:val="1"/>
                <w:bCs w:val="1"/>
                <w:color w:val="auto"/>
              </w:rPr>
              <w:t>March 31, 2019</w:t>
            </w:r>
          </w:p>
        </w:tc>
        <w:tc>
          <w:tcPr>
            <w:tcW w:w="860" w:type="dxa"/>
            <w:vAlign w:val="bottom"/>
          </w:tcPr>
          <w:p>
            <w:pPr>
              <w:jc w:val="right"/>
              <w:ind w:right="46"/>
              <w:spacing w:after="0"/>
              <w:rPr>
                <w:sz w:val="20"/>
                <w:szCs w:val="20"/>
                <w:color w:val="auto"/>
              </w:rPr>
            </w:pPr>
            <w:r>
              <w:rPr>
                <w:rFonts w:ascii="Arial" w:cs="Arial" w:eastAsia="Arial" w:hAnsi="Arial"/>
                <w:sz w:val="11"/>
                <w:szCs w:val="11"/>
                <w:b w:val="1"/>
                <w:bCs w:val="1"/>
                <w:color w:val="auto"/>
              </w:rPr>
              <w:t>June 30, 2019</w:t>
            </w:r>
          </w:p>
        </w:tc>
        <w:tc>
          <w:tcPr>
            <w:tcW w:w="1160" w:type="dxa"/>
            <w:vAlign w:val="bottom"/>
          </w:tcPr>
          <w:p>
            <w:pPr>
              <w:ind w:left="140"/>
              <w:spacing w:after="0"/>
              <w:rPr>
                <w:sz w:val="20"/>
                <w:szCs w:val="20"/>
                <w:color w:val="auto"/>
              </w:rPr>
            </w:pPr>
            <w:r>
              <w:rPr>
                <w:rFonts w:ascii="Arial" w:cs="Arial" w:eastAsia="Arial" w:hAnsi="Arial"/>
                <w:sz w:val="11"/>
                <w:szCs w:val="11"/>
                <w:b w:val="1"/>
                <w:bCs w:val="1"/>
                <w:color w:val="auto"/>
                <w:w w:val="97"/>
              </w:rPr>
              <w:t>September 30, 2019</w:t>
            </w:r>
          </w:p>
        </w:tc>
        <w:tc>
          <w:tcPr>
            <w:tcW w:w="1080" w:type="dxa"/>
            <w:vAlign w:val="bottom"/>
          </w:tcPr>
          <w:p>
            <w:pPr>
              <w:jc w:val="right"/>
              <w:ind w:right="26"/>
              <w:spacing w:after="0"/>
              <w:rPr>
                <w:sz w:val="20"/>
                <w:szCs w:val="20"/>
                <w:color w:val="auto"/>
              </w:rPr>
            </w:pPr>
            <w:r>
              <w:rPr>
                <w:rFonts w:ascii="Arial" w:cs="Arial" w:eastAsia="Arial" w:hAnsi="Arial"/>
                <w:sz w:val="11"/>
                <w:szCs w:val="11"/>
                <w:b w:val="1"/>
                <w:bCs w:val="1"/>
                <w:color w:val="auto"/>
                <w:w w:val="96"/>
              </w:rPr>
              <w:t>December 31, 2019</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w w:val="94"/>
              </w:rPr>
              <w:t>March 31, 2020</w:t>
            </w: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7"/>
        </w:trPr>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jc w:val="right"/>
              <w:ind w:right="110"/>
              <w:spacing w:after="0"/>
              <w:rPr>
                <w:sz w:val="20"/>
                <w:szCs w:val="20"/>
                <w:color w:val="auto"/>
              </w:rPr>
            </w:pPr>
            <w:r>
              <w:rPr>
                <w:rFonts w:ascii="Arial" w:cs="Arial" w:eastAsia="Arial" w:hAnsi="Arial"/>
                <w:sz w:val="11"/>
                <w:szCs w:val="11"/>
                <w:b w:val="1"/>
                <w:bCs w:val="1"/>
                <w:color w:val="auto"/>
              </w:rPr>
              <w:t>(in millions)</w:t>
            </w: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367"/>
        </w:trPr>
        <w:tc>
          <w:tcPr>
            <w:tcW w:w="860" w:type="dxa"/>
            <w:vAlign w:val="bottom"/>
          </w:tcPr>
          <w:p>
            <w:pPr>
              <w:jc w:val="right"/>
              <w:ind w:right="166"/>
              <w:spacing w:after="0"/>
              <w:rPr>
                <w:sz w:val="20"/>
                <w:szCs w:val="20"/>
                <w:color w:val="auto"/>
              </w:rPr>
            </w:pPr>
            <w:r>
              <w:rPr>
                <w:rFonts w:ascii="Arial" w:cs="Arial" w:eastAsia="Arial" w:hAnsi="Arial"/>
                <w:sz w:val="16"/>
                <w:szCs w:val="16"/>
                <w:color w:val="auto"/>
              </w:rPr>
              <w:t>11.6</w:t>
            </w:r>
          </w:p>
        </w:tc>
        <w:tc>
          <w:tcPr>
            <w:tcW w:w="860" w:type="dxa"/>
            <w:vAlign w:val="bottom"/>
          </w:tcPr>
          <w:p>
            <w:pPr>
              <w:jc w:val="right"/>
              <w:ind w:right="126"/>
              <w:spacing w:after="0"/>
              <w:rPr>
                <w:sz w:val="20"/>
                <w:szCs w:val="20"/>
                <w:color w:val="auto"/>
              </w:rPr>
            </w:pPr>
            <w:r>
              <w:rPr>
                <w:rFonts w:ascii="Arial" w:cs="Arial" w:eastAsia="Arial" w:hAnsi="Arial"/>
                <w:sz w:val="16"/>
                <w:szCs w:val="16"/>
                <w:color w:val="auto"/>
              </w:rPr>
              <w:t>13.0</w:t>
            </w:r>
          </w:p>
        </w:tc>
        <w:tc>
          <w:tcPr>
            <w:tcW w:w="1120" w:type="dxa"/>
            <w:vAlign w:val="bottom"/>
          </w:tcPr>
          <w:p>
            <w:pPr>
              <w:jc w:val="center"/>
              <w:ind w:left="446"/>
              <w:spacing w:after="0"/>
              <w:rPr>
                <w:sz w:val="20"/>
                <w:szCs w:val="20"/>
                <w:color w:val="auto"/>
              </w:rPr>
            </w:pPr>
            <w:r>
              <w:rPr>
                <w:rFonts w:ascii="Arial" w:cs="Arial" w:eastAsia="Arial" w:hAnsi="Arial"/>
                <w:sz w:val="16"/>
                <w:szCs w:val="16"/>
                <w:color w:val="auto"/>
                <w:w w:val="89"/>
              </w:rPr>
              <w:t>7.4</w:t>
            </w:r>
          </w:p>
        </w:tc>
        <w:tc>
          <w:tcPr>
            <w:tcW w:w="1080" w:type="dxa"/>
            <w:vAlign w:val="bottom"/>
          </w:tcPr>
          <w:p>
            <w:pPr>
              <w:ind w:left="600"/>
              <w:spacing w:after="0"/>
              <w:rPr>
                <w:sz w:val="20"/>
                <w:szCs w:val="20"/>
                <w:color w:val="auto"/>
              </w:rPr>
            </w:pPr>
            <w:r>
              <w:rPr>
                <w:rFonts w:ascii="Arial" w:cs="Arial" w:eastAsia="Arial" w:hAnsi="Arial"/>
                <w:sz w:val="16"/>
                <w:szCs w:val="16"/>
                <w:color w:val="auto"/>
              </w:rPr>
              <w:t>11.8</w:t>
            </w:r>
          </w:p>
        </w:tc>
        <w:tc>
          <w:tcPr>
            <w:tcW w:w="940" w:type="dxa"/>
            <w:vAlign w:val="bottom"/>
          </w:tcPr>
          <w:p>
            <w:pPr>
              <w:jc w:val="right"/>
              <w:ind w:right="170"/>
              <w:spacing w:after="0"/>
              <w:rPr>
                <w:sz w:val="20"/>
                <w:szCs w:val="20"/>
                <w:color w:val="auto"/>
              </w:rPr>
            </w:pPr>
            <w:r>
              <w:rPr>
                <w:rFonts w:ascii="Arial" w:cs="Arial" w:eastAsia="Arial" w:hAnsi="Arial"/>
                <w:sz w:val="16"/>
                <w:szCs w:val="16"/>
                <w:color w:val="auto"/>
              </w:rPr>
              <w:t>14.2</w:t>
            </w:r>
          </w:p>
        </w:tc>
        <w:tc>
          <w:tcPr>
            <w:tcW w:w="860" w:type="dxa"/>
            <w:vAlign w:val="bottom"/>
          </w:tcPr>
          <w:p>
            <w:pPr>
              <w:jc w:val="right"/>
              <w:ind w:right="66"/>
              <w:spacing w:after="0"/>
              <w:rPr>
                <w:sz w:val="20"/>
                <w:szCs w:val="20"/>
                <w:color w:val="auto"/>
              </w:rPr>
            </w:pPr>
            <w:r>
              <w:rPr>
                <w:rFonts w:ascii="Arial" w:cs="Arial" w:eastAsia="Arial" w:hAnsi="Arial"/>
                <w:sz w:val="16"/>
                <w:szCs w:val="16"/>
                <w:color w:val="auto"/>
              </w:rPr>
              <w:t>(5.3)</w:t>
            </w:r>
          </w:p>
        </w:tc>
        <w:tc>
          <w:tcPr>
            <w:tcW w:w="1160" w:type="dxa"/>
            <w:vAlign w:val="bottom"/>
          </w:tcPr>
          <w:p>
            <w:pPr>
              <w:ind w:left="660"/>
              <w:spacing w:after="0"/>
              <w:rPr>
                <w:sz w:val="20"/>
                <w:szCs w:val="20"/>
                <w:color w:val="auto"/>
              </w:rPr>
            </w:pPr>
            <w:r>
              <w:rPr>
                <w:rFonts w:ascii="Arial" w:cs="Arial" w:eastAsia="Arial" w:hAnsi="Arial"/>
                <w:sz w:val="16"/>
                <w:szCs w:val="16"/>
                <w:color w:val="auto"/>
              </w:rPr>
              <w:t>18.5</w:t>
            </w:r>
          </w:p>
        </w:tc>
        <w:tc>
          <w:tcPr>
            <w:tcW w:w="1080" w:type="dxa"/>
            <w:vAlign w:val="bottom"/>
          </w:tcPr>
          <w:p>
            <w:pPr>
              <w:jc w:val="right"/>
              <w:ind w:right="126"/>
              <w:spacing w:after="0"/>
              <w:rPr>
                <w:sz w:val="20"/>
                <w:szCs w:val="20"/>
                <w:color w:val="auto"/>
              </w:rPr>
            </w:pPr>
            <w:r>
              <w:rPr>
                <w:rFonts w:ascii="Arial" w:cs="Arial" w:eastAsia="Arial" w:hAnsi="Arial"/>
                <w:sz w:val="16"/>
                <w:szCs w:val="16"/>
                <w:color w:val="auto"/>
              </w:rPr>
              <w:t>17.0</w:t>
            </w:r>
          </w:p>
        </w:tc>
        <w:tc>
          <w:tcPr>
            <w:tcW w:w="860" w:type="dxa"/>
            <w:vAlign w:val="bottom"/>
          </w:tcPr>
          <w:p>
            <w:pPr>
              <w:ind w:left="420"/>
              <w:spacing w:after="0"/>
              <w:rPr>
                <w:sz w:val="20"/>
                <w:szCs w:val="20"/>
                <w:color w:val="auto"/>
              </w:rPr>
            </w:pPr>
            <w:r>
              <w:rPr>
                <w:rFonts w:ascii="Arial" w:cs="Arial" w:eastAsia="Arial" w:hAnsi="Arial"/>
                <w:sz w:val="16"/>
                <w:szCs w:val="16"/>
                <w:color w:val="auto"/>
              </w:rPr>
              <w:t>28.3</w:t>
            </w:r>
          </w:p>
        </w:tc>
      </w:tr>
      <w:tr>
        <w:trPr>
          <w:trHeight w:val="378"/>
        </w:trPr>
        <w:tc>
          <w:tcPr>
            <w:tcW w:w="860" w:type="dxa"/>
            <w:vAlign w:val="bottom"/>
          </w:tcPr>
          <w:p>
            <w:pPr>
              <w:jc w:val="right"/>
              <w:ind w:right="126"/>
              <w:spacing w:after="0"/>
              <w:rPr>
                <w:sz w:val="20"/>
                <w:szCs w:val="20"/>
                <w:color w:val="auto"/>
              </w:rPr>
            </w:pPr>
            <w:r>
              <w:rPr>
                <w:rFonts w:ascii="Arial" w:cs="Arial" w:eastAsia="Arial" w:hAnsi="Arial"/>
                <w:sz w:val="16"/>
                <w:szCs w:val="16"/>
                <w:color w:val="auto"/>
              </w:rPr>
              <w:t>(0.9)</w:t>
            </w:r>
          </w:p>
        </w:tc>
        <w:tc>
          <w:tcPr>
            <w:tcW w:w="860" w:type="dxa"/>
            <w:vAlign w:val="bottom"/>
          </w:tcPr>
          <w:p>
            <w:pPr>
              <w:jc w:val="right"/>
              <w:ind w:right="86"/>
              <w:spacing w:after="0"/>
              <w:rPr>
                <w:sz w:val="20"/>
                <w:szCs w:val="20"/>
                <w:color w:val="auto"/>
              </w:rPr>
            </w:pPr>
            <w:r>
              <w:rPr>
                <w:rFonts w:ascii="Arial" w:cs="Arial" w:eastAsia="Arial" w:hAnsi="Arial"/>
                <w:sz w:val="16"/>
                <w:szCs w:val="16"/>
                <w:color w:val="auto"/>
              </w:rPr>
              <w:t>(1.0)</w:t>
            </w:r>
          </w:p>
        </w:tc>
        <w:tc>
          <w:tcPr>
            <w:tcW w:w="1120" w:type="dxa"/>
            <w:vAlign w:val="bottom"/>
          </w:tcPr>
          <w:p>
            <w:pPr>
              <w:jc w:val="center"/>
              <w:ind w:left="426"/>
              <w:spacing w:after="0"/>
              <w:rPr>
                <w:sz w:val="20"/>
                <w:szCs w:val="20"/>
                <w:color w:val="auto"/>
              </w:rPr>
            </w:pPr>
            <w:r>
              <w:rPr>
                <w:rFonts w:ascii="Arial" w:cs="Arial" w:eastAsia="Arial" w:hAnsi="Arial"/>
                <w:sz w:val="16"/>
                <w:szCs w:val="16"/>
                <w:color w:val="auto"/>
                <w:w w:val="91"/>
              </w:rPr>
              <w:t>(9.7)</w:t>
            </w:r>
          </w:p>
        </w:tc>
        <w:tc>
          <w:tcPr>
            <w:tcW w:w="1080" w:type="dxa"/>
            <w:vAlign w:val="bottom"/>
          </w:tcPr>
          <w:p>
            <w:pPr>
              <w:ind w:left="620"/>
              <w:spacing w:after="0"/>
              <w:rPr>
                <w:sz w:val="20"/>
                <w:szCs w:val="20"/>
                <w:color w:val="auto"/>
              </w:rPr>
            </w:pPr>
            <w:r>
              <w:rPr>
                <w:rFonts w:ascii="Arial" w:cs="Arial" w:eastAsia="Arial" w:hAnsi="Arial"/>
                <w:sz w:val="16"/>
                <w:szCs w:val="16"/>
                <w:color w:val="auto"/>
              </w:rPr>
              <w:t>(1.5)</w:t>
            </w:r>
          </w:p>
        </w:tc>
        <w:tc>
          <w:tcPr>
            <w:tcW w:w="940" w:type="dxa"/>
            <w:vAlign w:val="bottom"/>
          </w:tcPr>
          <w:p>
            <w:pPr>
              <w:jc w:val="right"/>
              <w:ind w:right="130"/>
              <w:spacing w:after="0"/>
              <w:rPr>
                <w:sz w:val="20"/>
                <w:szCs w:val="20"/>
                <w:color w:val="auto"/>
              </w:rPr>
            </w:pPr>
            <w:r>
              <w:rPr>
                <w:rFonts w:ascii="Arial" w:cs="Arial" w:eastAsia="Arial" w:hAnsi="Arial"/>
                <w:sz w:val="16"/>
                <w:szCs w:val="16"/>
                <w:color w:val="auto"/>
              </w:rPr>
              <w:t>(708.6)</w:t>
            </w:r>
          </w:p>
        </w:tc>
        <w:tc>
          <w:tcPr>
            <w:tcW w:w="860" w:type="dxa"/>
            <w:vAlign w:val="bottom"/>
          </w:tcPr>
          <w:p>
            <w:pPr>
              <w:jc w:val="right"/>
              <w:ind w:right="66"/>
              <w:spacing w:after="0"/>
              <w:rPr>
                <w:sz w:val="20"/>
                <w:szCs w:val="20"/>
                <w:color w:val="auto"/>
              </w:rPr>
            </w:pPr>
            <w:r>
              <w:rPr>
                <w:rFonts w:ascii="Arial" w:cs="Arial" w:eastAsia="Arial" w:hAnsi="Arial"/>
                <w:sz w:val="16"/>
                <w:szCs w:val="16"/>
                <w:color w:val="auto"/>
              </w:rPr>
              <w:t>(12.5)</w:t>
            </w:r>
          </w:p>
        </w:tc>
        <w:tc>
          <w:tcPr>
            <w:tcW w:w="1160" w:type="dxa"/>
            <w:vAlign w:val="bottom"/>
          </w:tcPr>
          <w:p>
            <w:pPr>
              <w:ind w:left="680"/>
              <w:spacing w:after="0"/>
              <w:rPr>
                <w:sz w:val="20"/>
                <w:szCs w:val="20"/>
                <w:color w:val="auto"/>
              </w:rPr>
            </w:pPr>
            <w:r>
              <w:rPr>
                <w:rFonts w:ascii="Arial" w:cs="Arial" w:eastAsia="Arial" w:hAnsi="Arial"/>
                <w:sz w:val="16"/>
                <w:szCs w:val="16"/>
                <w:color w:val="auto"/>
              </w:rPr>
              <w:t>(3.1)</w:t>
            </w:r>
          </w:p>
        </w:tc>
        <w:tc>
          <w:tcPr>
            <w:tcW w:w="1080" w:type="dxa"/>
            <w:vAlign w:val="bottom"/>
          </w:tcPr>
          <w:p>
            <w:pPr>
              <w:jc w:val="right"/>
              <w:ind w:right="86"/>
              <w:spacing w:after="0"/>
              <w:rPr>
                <w:sz w:val="20"/>
                <w:szCs w:val="20"/>
                <w:color w:val="auto"/>
              </w:rPr>
            </w:pPr>
            <w:r>
              <w:rPr>
                <w:rFonts w:ascii="Arial" w:cs="Arial" w:eastAsia="Arial" w:hAnsi="Arial"/>
                <w:sz w:val="16"/>
                <w:szCs w:val="16"/>
                <w:color w:val="auto"/>
              </w:rPr>
              <w:t>(12.5)</w:t>
            </w:r>
          </w:p>
        </w:tc>
        <w:tc>
          <w:tcPr>
            <w:tcW w:w="860" w:type="dxa"/>
            <w:vAlign w:val="bottom"/>
          </w:tcPr>
          <w:p>
            <w:pPr>
              <w:ind w:left="440"/>
              <w:spacing w:after="0"/>
              <w:rPr>
                <w:sz w:val="20"/>
                <w:szCs w:val="20"/>
                <w:color w:val="auto"/>
              </w:rPr>
            </w:pPr>
            <w:r>
              <w:rPr>
                <w:rFonts w:ascii="Arial" w:cs="Arial" w:eastAsia="Arial" w:hAnsi="Arial"/>
                <w:sz w:val="16"/>
                <w:szCs w:val="16"/>
                <w:color w:val="auto"/>
              </w:rPr>
              <w:t>(4.1)</w:t>
            </w:r>
          </w:p>
        </w:tc>
      </w:tr>
      <w:tr>
        <w:trPr>
          <w:trHeight w:val="378"/>
        </w:trPr>
        <w:tc>
          <w:tcPr>
            <w:tcW w:w="860" w:type="dxa"/>
            <w:vAlign w:val="bottom"/>
          </w:tcPr>
          <w:p>
            <w:pPr>
              <w:jc w:val="right"/>
              <w:ind w:right="126"/>
              <w:spacing w:after="0"/>
              <w:rPr>
                <w:sz w:val="20"/>
                <w:szCs w:val="20"/>
                <w:color w:val="auto"/>
              </w:rPr>
            </w:pPr>
            <w:r>
              <w:rPr>
                <w:rFonts w:ascii="Arial" w:cs="Arial" w:eastAsia="Arial" w:hAnsi="Arial"/>
                <w:sz w:val="16"/>
                <w:szCs w:val="16"/>
                <w:color w:val="auto"/>
              </w:rPr>
              <w:t>(15.4)</w:t>
            </w:r>
          </w:p>
        </w:tc>
        <w:tc>
          <w:tcPr>
            <w:tcW w:w="860" w:type="dxa"/>
            <w:vAlign w:val="bottom"/>
          </w:tcPr>
          <w:p>
            <w:pPr>
              <w:jc w:val="right"/>
              <w:ind w:right="86"/>
              <w:spacing w:after="0"/>
              <w:rPr>
                <w:sz w:val="20"/>
                <w:szCs w:val="20"/>
                <w:color w:val="auto"/>
              </w:rPr>
            </w:pPr>
            <w:r>
              <w:rPr>
                <w:rFonts w:ascii="Arial" w:cs="Arial" w:eastAsia="Arial" w:hAnsi="Arial"/>
                <w:sz w:val="16"/>
                <w:szCs w:val="16"/>
                <w:color w:val="auto"/>
              </w:rPr>
              <w:t>(10.0)</w:t>
            </w:r>
          </w:p>
        </w:tc>
        <w:tc>
          <w:tcPr>
            <w:tcW w:w="1120" w:type="dxa"/>
            <w:vAlign w:val="bottom"/>
          </w:tcPr>
          <w:p>
            <w:pPr>
              <w:jc w:val="center"/>
              <w:ind w:left="446"/>
              <w:spacing w:after="0"/>
              <w:rPr>
                <w:sz w:val="20"/>
                <w:szCs w:val="20"/>
                <w:color w:val="auto"/>
              </w:rPr>
            </w:pPr>
            <w:r>
              <w:rPr>
                <w:rFonts w:ascii="Arial" w:cs="Arial" w:eastAsia="Arial" w:hAnsi="Arial"/>
                <w:sz w:val="16"/>
                <w:szCs w:val="16"/>
                <w:color w:val="auto"/>
                <w:w w:val="89"/>
              </w:rPr>
              <w:t>1.2</w:t>
            </w:r>
          </w:p>
        </w:tc>
        <w:tc>
          <w:tcPr>
            <w:tcW w:w="1080" w:type="dxa"/>
            <w:vAlign w:val="bottom"/>
          </w:tcPr>
          <w:p>
            <w:pPr>
              <w:ind w:left="620"/>
              <w:spacing w:after="0"/>
              <w:rPr>
                <w:sz w:val="20"/>
                <w:szCs w:val="20"/>
                <w:color w:val="auto"/>
              </w:rPr>
            </w:pPr>
            <w:r>
              <w:rPr>
                <w:rFonts w:ascii="Arial" w:cs="Arial" w:eastAsia="Arial" w:hAnsi="Arial"/>
                <w:sz w:val="16"/>
                <w:szCs w:val="16"/>
                <w:color w:val="auto"/>
              </w:rPr>
              <w:t>(5.7)</w:t>
            </w:r>
          </w:p>
        </w:tc>
        <w:tc>
          <w:tcPr>
            <w:tcW w:w="940" w:type="dxa"/>
            <w:vAlign w:val="bottom"/>
          </w:tcPr>
          <w:p>
            <w:pPr>
              <w:jc w:val="right"/>
              <w:ind w:right="170"/>
              <w:spacing w:after="0"/>
              <w:rPr>
                <w:sz w:val="20"/>
                <w:szCs w:val="20"/>
                <w:color w:val="auto"/>
              </w:rPr>
            </w:pPr>
            <w:r>
              <w:rPr>
                <w:rFonts w:ascii="Arial" w:cs="Arial" w:eastAsia="Arial" w:hAnsi="Arial"/>
                <w:sz w:val="16"/>
                <w:szCs w:val="16"/>
                <w:color w:val="auto"/>
              </w:rPr>
              <w:t>755.0</w:t>
            </w:r>
          </w:p>
        </w:tc>
        <w:tc>
          <w:tcPr>
            <w:tcW w:w="860" w:type="dxa"/>
            <w:vAlign w:val="bottom"/>
          </w:tcPr>
          <w:p>
            <w:pPr>
              <w:jc w:val="right"/>
              <w:ind w:right="66"/>
              <w:spacing w:after="0"/>
              <w:rPr>
                <w:sz w:val="20"/>
                <w:szCs w:val="20"/>
                <w:color w:val="auto"/>
              </w:rPr>
            </w:pPr>
            <w:r>
              <w:rPr>
                <w:rFonts w:ascii="Arial" w:cs="Arial" w:eastAsia="Arial" w:hAnsi="Arial"/>
                <w:sz w:val="16"/>
                <w:szCs w:val="16"/>
                <w:color w:val="auto"/>
              </w:rPr>
              <w:t>(21.7)</w:t>
            </w:r>
          </w:p>
        </w:tc>
        <w:tc>
          <w:tcPr>
            <w:tcW w:w="1160" w:type="dxa"/>
            <w:vAlign w:val="bottom"/>
          </w:tcPr>
          <w:p>
            <w:pPr>
              <w:ind w:left="680"/>
              <w:spacing w:after="0"/>
              <w:rPr>
                <w:sz w:val="20"/>
                <w:szCs w:val="20"/>
                <w:color w:val="auto"/>
              </w:rPr>
            </w:pPr>
            <w:r>
              <w:rPr>
                <w:rFonts w:ascii="Arial" w:cs="Arial" w:eastAsia="Arial" w:hAnsi="Arial"/>
                <w:sz w:val="16"/>
                <w:szCs w:val="16"/>
                <w:color w:val="auto"/>
              </w:rPr>
              <w:t>(5.3)</w:t>
            </w:r>
          </w:p>
        </w:tc>
        <w:tc>
          <w:tcPr>
            <w:tcW w:w="1080" w:type="dxa"/>
            <w:vAlign w:val="bottom"/>
          </w:tcPr>
          <w:p>
            <w:pPr>
              <w:jc w:val="right"/>
              <w:ind w:right="86"/>
              <w:spacing w:after="0"/>
              <w:rPr>
                <w:sz w:val="20"/>
                <w:szCs w:val="20"/>
                <w:color w:val="auto"/>
              </w:rPr>
            </w:pPr>
            <w:r>
              <w:rPr>
                <w:rFonts w:ascii="Arial" w:cs="Arial" w:eastAsia="Arial" w:hAnsi="Arial"/>
                <w:sz w:val="16"/>
                <w:szCs w:val="16"/>
                <w:color w:val="auto"/>
              </w:rPr>
              <w:t>(2.2)</w:t>
            </w:r>
          </w:p>
        </w:tc>
        <w:tc>
          <w:tcPr>
            <w:tcW w:w="860" w:type="dxa"/>
            <w:vAlign w:val="bottom"/>
          </w:tcPr>
          <w:p>
            <w:pPr>
              <w:ind w:left="440"/>
              <w:spacing w:after="0"/>
              <w:rPr>
                <w:sz w:val="20"/>
                <w:szCs w:val="20"/>
                <w:color w:val="auto"/>
              </w:rPr>
            </w:pPr>
            <w:r>
              <w:rPr>
                <w:rFonts w:ascii="Arial" w:cs="Arial" w:eastAsia="Arial" w:hAnsi="Arial"/>
                <w:sz w:val="16"/>
                <w:szCs w:val="16"/>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-698500</wp:posOffset>
            </wp:positionV>
            <wp:extent cx="7089140" cy="240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-218440</wp:posOffset>
            </wp:positionV>
            <wp:extent cx="7089140" cy="2400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89140" cy="24003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2020" w:space="340"/>
            <w:col w:w="8860"/>
          </w:cols>
          <w:pgMar w:left="320" w:top="121" w:right="359" w:bottom="1440" w:gutter="0" w:footer="0" w:header="0"/>
          <w:type w:val="continuous"/>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20"/>
          </w:cols>
          <w:pgMar w:left="320" w:top="121" w:right="359" w:bottom="1440" w:gutter="0" w:footer="0" w:header="0"/>
          <w:type w:val="continuous"/>
        </w:sectPr>
      </w:pPr>
    </w:p>
    <w:bookmarkStart w:id="133" w:name="page134"/>
    <w:bookmarkEnd w:id="133"/>
    <w:p>
      <w:pPr>
        <w:jc w:val="center"/>
        <w:ind w:right="-8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Net cash provided by (used in) operating activities includes cash payments for interest as follows:</w:t>
      </w:r>
    </w:p>
    <w:p>
      <w:pPr>
        <w:spacing w:after="0" w:line="48" w:lineRule="exact"/>
        <w:rPr>
          <w:sz w:val="20"/>
          <w:szCs w:val="20"/>
          <w:color w:val="auto"/>
        </w:rPr>
      </w:pPr>
    </w:p>
    <w:tbl>
      <w:tblPr>
        <w:tblLayout w:type="fixed"/>
        <w:tblInd w:w="340" w:type="dxa"/>
        <w:tblCellMar>
          <w:top w:w="0" w:type="dxa"/>
          <w:left w:w="0" w:type="dxa"/>
          <w:bottom w:w="0" w:type="dxa"/>
          <w:right w:w="0" w:type="dxa"/>
        </w:tblCellMar>
      </w:tblPr>
      <w:tr>
        <w:trPr>
          <w:trHeight w:val="140"/>
        </w:trPr>
        <w:tc>
          <w:tcPr>
            <w:tcW w:w="1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gridSpan w:val="4"/>
          </w:tcPr>
          <w:p>
            <w:pPr>
              <w:ind w:left="40"/>
              <w:spacing w:after="0"/>
              <w:rPr>
                <w:sz w:val="20"/>
                <w:szCs w:val="20"/>
                <w:color w:val="auto"/>
              </w:rPr>
            </w:pPr>
            <w:r>
              <w:rPr>
                <w:rFonts w:ascii="Arial" w:cs="Arial" w:eastAsia="Arial" w:hAnsi="Arial"/>
                <w:sz w:val="11"/>
                <w:szCs w:val="11"/>
                <w:b w:val="1"/>
                <w:bCs w:val="1"/>
                <w:color w:val="auto"/>
                <w:w w:val="88"/>
              </w:rPr>
              <w:t>Three Months Ended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9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194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March 31,</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March 31,</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1940" w:type="dxa"/>
            <w:vAlign w:val="bottom"/>
          </w:tcPr>
          <w:p>
            <w:pPr>
              <w:spacing w:after="0"/>
              <w:rPr>
                <w:sz w:val="12"/>
                <w:szCs w:val="12"/>
                <w:color w:val="auto"/>
              </w:rPr>
            </w:pPr>
          </w:p>
        </w:tc>
        <w:tc>
          <w:tcPr>
            <w:tcW w:w="760" w:type="dxa"/>
            <w:vAlign w:val="bottom"/>
          </w:tcPr>
          <w:p>
            <w:pPr>
              <w:jc w:val="right"/>
              <w:ind w:right="220"/>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June 30, 2018</w:t>
            </w:r>
          </w:p>
        </w:tc>
        <w:tc>
          <w:tcPr>
            <w:tcW w:w="108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September 30, 2018</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w w:val="88"/>
              </w:rPr>
              <w:t>December 31, 2018</w:t>
            </w:r>
          </w:p>
        </w:tc>
        <w:tc>
          <w:tcPr>
            <w:tcW w:w="86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June 30, 2019</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September 30, 2019</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 2019</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w w:val="94"/>
              </w:rPr>
              <w:t>March 31, 2020</w:t>
            </w:r>
          </w:p>
        </w:tc>
      </w:tr>
      <w:tr>
        <w:trPr>
          <w:trHeight w:val="22"/>
        </w:trPr>
        <w:tc>
          <w:tcPr>
            <w:tcW w:w="1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6"/>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11.0</w:t>
            </w:r>
          </w:p>
        </w:tc>
        <w:tc>
          <w:tcPr>
            <w:tcW w:w="860" w:type="dxa"/>
            <w:vAlign w:val="bottom"/>
            <w:gridSpan w:val="2"/>
            <w:shd w:val="clear" w:color="auto" w:fill="CCEEFF"/>
          </w:tcPr>
          <w:p>
            <w:pPr>
              <w:jc w:val="right"/>
              <w:ind w:right="86"/>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4"/>
                <w:szCs w:val="14"/>
                <w:color w:val="auto"/>
              </w:rPr>
              <w:t>23.3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760"/>
          </w:cols>
          <w:pgMar w:left="320" w:top="121" w:right="819" w:bottom="1440" w:gutter="0" w:footer="0" w:header="0"/>
        </w:sectPr>
      </w:pPr>
    </w:p>
    <w:bookmarkStart w:id="134" w:name="page135"/>
    <w:bookmarkEnd w:id="13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2020, we had $63.0 million of cash and cash equivalents and $65.0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 governing our secured credit facilities and we expect to remain in compliance with our covenants.</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generally invoice our subscription customers annually or quarterly in advance of our subscription services. Therefore, a substantial source of our cash is from such prepayments, which are included in our consolidated balance sheet as unearned revenue. Unearned revenue consists of billed fees for our subscriptions, prior to satisfying the criteria for revenue recognition, which are subsequently recognized as revenue in accordance with our revenue recognition policy. As of March 31, 2020, we had unearned revenue of $173.2 million, of which $172.2 million was recorded as a current liability and is expected to be recorded as revenue in the next 12 months, provided all other revenue recognition criteria have been met.</w:t>
      </w:r>
    </w:p>
    <w:p>
      <w:pPr>
        <w:spacing w:after="0" w:line="12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ZoomInfo Technologies Inc. is a holding company and has no material assets other than its ownership of HoldCo Units, and ZoomInfo HoldCo is a holding company and has no material assets other than its ownership of OpCo Units. ZoomInfo Technologies Inc. has no independent means of generating revenue. The limited liability company agreement of ZoomInfo OpCo provides that certain distributions to cover the taxes of the ZoomInfo Tax Group and ZoomInfo Technologies Inc.’s obligations under the tax receivable agreements will be made.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including the secured credit facilities,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“Dividend Policy” and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21" w:right="339" w:bottom="1440" w:gutter="0" w:footer="0" w:header="0"/>
        </w:sectPr>
      </w:pPr>
    </w:p>
    <w:bookmarkStart w:id="135" w:name="page136"/>
    <w:bookmarkEnd w:id="13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8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28.3</w:t>
            </w: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23"/>
                <w:szCs w:val="23"/>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(736.7)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(708.6)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ind w:left="740"/>
              <w:spacing w:after="0"/>
              <w:rPr>
                <w:sz w:val="20"/>
                <w:szCs w:val="20"/>
                <w:color w:val="auto"/>
              </w:rPr>
            </w:pPr>
            <w:r>
              <w:rPr>
                <w:rFonts w:ascii="Arial" w:cs="Arial" w:eastAsia="Arial" w:hAnsi="Arial"/>
                <w:sz w:val="18"/>
                <w:szCs w:val="18"/>
                <w:color w:val="auto"/>
              </w:rPr>
              <w:t>(4.1)</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725.8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755.0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(2.6)</w:t>
            </w: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21.6</w:t>
            </w:r>
          </w:p>
        </w:tc>
      </w:tr>
      <w:tr>
        <w:trPr>
          <w:trHeight w:val="21"/>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Operating Activities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provided by operations was $28.3 million for the three months ended March 31, 2020 as a result of a net loss of $5.9 million, adjusted by non-cash charges of $33.9 million and an increase of $0.3 million in our operating assets and liabilities. The non-cash charges are primarily comprised of depreciation and amortization of $12.2 million, equity-based compensation of $11.3 million, and amortization of deferred commission costs of $5.4 million. The change in operating assets and liabilities was primarily the result of an increase in unearned revenue of $14.0 million due to the timing of billings and cash received in advance of revenue recognition for subscription services, partially offset by a decrease in accrued expenses and other liabilities of $10.0 million and an increase in deferred costs and other assets of $6.3 million.</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Net cash provided by operations was $14.2 million for the three months ended March 31, 2019 as a result of a net loss of $40.2 million, adjusted by non-cash charges of $23.9 million and an increase of $30.5 million in our operating assets and liabilities. The non-cash charges are primarily comprised of $5.6 million in equity-based compensation, $10.3 million in depreciation and amortization, and loss on debt extinguishment of $9.4 million. The change in operating assets and liabilities was primarily the result of an increase in unearned revenue of $17.8 million and an increase in accrued expenses and other liabilities of $17.0 million, partially offset by an increase in deferred costs and other assets of $3.1 million.</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Net cash from operations increased by $14.1 million for the three months ended March 31, 2020 relative to the three months ended March 31, 2019. The increase in cash flows from operations comprised an increase in cash outflows related to cash interest expense, which increased by $17.7 million from the three months ended March 31, 2019 to the three months ended March 31, 2020, a decrease in cash outflows related to restructuring and transaction-related expenses, which decreased by $3.6 million from the three months ended March 31, 2019 to the three months ended March 31, 2020, and an increase in integration costs and transaction-related compensation cash outflows of $1.3 million from the three months ended March 31, 2019 to the three months ended March 31, 2020. This aggregate increase in cash outflows was offset by increases in cash generated from other operating activities.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future impacts on our liquidity that may differ from historical trends as described below:</w:t>
      </w:r>
    </w:p>
    <w:p>
      <w:pPr>
        <w:spacing w:after="0" w:line="112" w:lineRule="exact"/>
        <w:rPr>
          <w:sz w:val="20"/>
          <w:szCs w:val="20"/>
          <w:color w:val="auto"/>
        </w:rPr>
      </w:pPr>
    </w:p>
    <w:p>
      <w:pPr>
        <w:jc w:val="both"/>
        <w:ind w:left="660" w:hanging="328"/>
        <w:spacing w:after="0" w:line="259"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Interest paid in cash increased significantly from the three months ended March 31, 2019 to the three months ended March 31, 2020. This increase primarily related to the additional debt that we incurred to fund the acquisition of Pre-Acquisition ZI on February 1, 2019 and the deferral of interest payments related to the debt until May 2020. We used a portion of the proceeds from the IPO to repay a portion of our indebtedness, which resulted in our future liquidity increasing due to decreased debt service commitments.</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Restructuring and transaction-related expenses decreased significantly from the three months ended March 31, 2019 to the three months ended March 31, 2020. This decrease primarily related to the costs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21" w:right="339" w:bottom="1440" w:gutter="0" w:footer="0" w:header="0"/>
        </w:sectPr>
      </w:pPr>
    </w:p>
    <w:bookmarkStart w:id="136" w:name="page137"/>
    <w:bookmarkEnd w:id="13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incurred to pursue and complete the acquisition of Pre-Acquisition ZI and the related restructuring activities to align the combined organization, which did not recur and were partially offset by the expenses incurred in 2020 to prepare for the IPO.</w:t>
      </w:r>
    </w:p>
    <w:p>
      <w:pPr>
        <w:spacing w:after="0" w:line="116" w:lineRule="exact"/>
        <w:rPr>
          <w:sz w:val="20"/>
          <w:szCs w:val="20"/>
          <w:color w:val="auto"/>
        </w:rPr>
      </w:pPr>
    </w:p>
    <w:p>
      <w:pPr>
        <w:jc w:val="both"/>
        <w:ind w:left="660" w:hanging="328"/>
        <w:spacing w:after="0" w:line="279" w:lineRule="auto"/>
        <w:tabs>
          <w:tab w:leader="none" w:pos="65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Integration costs and transaction-related compensation decreased modestly from the three months ended March 31, 2019 to the three months ended March 31, 2020. These expenses primarily related to the costs incurred to integrate Pre-Acquisition ZI and ongoing costs related to the Cash Vesting Payment Program (see Note 4 to our audited financial statements included elsewhere in this prospectus). The portion of these expenditures relating to the Cash Vesting Payment Program will continue to recur through 2022.</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provided by operations was $44.4 million for the year ended December 31, 2019 as a result of a net loss of $78.0 million, adjusted by non-cash charges of $93.8 million and a change of $28.6 million in our operating assets and liabilities. The non-cash charges are primarily comprised of depreciation and amortization of $48.7 million, equity-based compensation of $25.1 million, and loss on debt extinguishment of $9.4 million. The change in operating assets and liabilities was primarily the result of an increase in unearned revenue of $71.9 million due to the timing of billings and cash received in advance of revenue recognition for subscription services, and an increase in accrued expenses and other liabilities of $18.2 million, partially offset by increases in accounts receivable of $34.5 million and deferred costs and other assets of $27.8 million.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operations was $43.8 million for the year ended December 31, 2018 as a result of a net loss of $28.6 million, adjusted by non-cash charges of $67.3 million and a change of $5.1 million in our operating assets and liabilities. The non-cash charges are primarily comprised of $32.7 million in equity-based compensation, $17.3 million in depreciation and amortization, and $16.4 million in paid-in-kind accrued interest. The change in operating assets and liabilities was primarily the result of an increase in unearned revenue of $15.0 million, partially offset by an increase in accounts receivable of $8.9 million and in deferred costs and other assets of $3.3 million.</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Net cash from operations increased by $0.6 million in the year ended December 31, 2019 relative to the year ended December 31, 2018. The increase in cash flows from operations comprised increases in cash outflows related to cash interest expense, which increased by $54.8 million from the year ended December 31, 2018 to the year ended December 31, 2019, restructuring and transaction-related expenses, which increased by $9.2 million from the year ended December 31, 2018 to the year ended December 31, 2019, and integration costs and transaction-related compensation, which increased by $11.7 million from the year ended December 31, 2018 to the year ended December 31, 2019. These increases in cash outflows were offset by increases in cash generated from other operating activities.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future impacts on our liquidity that may differ from historical trends as described below:</w:t>
      </w:r>
    </w:p>
    <w:p>
      <w:pPr>
        <w:spacing w:after="0" w:line="127" w:lineRule="exact"/>
        <w:rPr>
          <w:sz w:val="20"/>
          <w:szCs w:val="20"/>
          <w:color w:val="auto"/>
        </w:rPr>
      </w:pPr>
    </w:p>
    <w:p>
      <w:pPr>
        <w:jc w:val="both"/>
        <w:ind w:left="660" w:hanging="328"/>
        <w:spacing w:after="0" w:line="311" w:lineRule="auto"/>
        <w:tabs>
          <w:tab w:leader="none" w:pos="65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Interest paid in cash increased significantly from the year ended December 31, 2018 to the year ended December 31, 2019. This increase primarily related to the additional debt that we incurred to fund the acquisition of Pre-Acquisition ZI on February 1, 2019. We used a portion of the proceeds from the IPO to repay a portion of our indebtedness, which resulted in our future liquidity increasing due to decreased debt service commitments.</w:t>
      </w:r>
    </w:p>
    <w:p>
      <w:pPr>
        <w:spacing w:after="0" w:line="94" w:lineRule="exact"/>
        <w:rPr>
          <w:rFonts w:ascii="Arial" w:cs="Arial" w:eastAsia="Arial" w:hAnsi="Arial"/>
          <w:sz w:val="16"/>
          <w:szCs w:val="16"/>
          <w:color w:val="auto"/>
        </w:rPr>
      </w:pPr>
    </w:p>
    <w:p>
      <w:pPr>
        <w:jc w:val="both"/>
        <w:ind w:left="660" w:hanging="328"/>
        <w:spacing w:after="0" w:line="301" w:lineRule="auto"/>
        <w:tabs>
          <w:tab w:leader="none" w:pos="65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Restructuring and transaction-related expenses increased significantly from the year ended December 31, 2018 to the year ended December 31, 2019. This increase primarily related to the costs incurred to pursue and complete the acquisition of Pre-Acquisition ZI and the related restructuring activities to align the combined organization, which were partially offset by the expenses incurred in 2018 to complete Carlyle’s investment in us, the NeverBounce acquisition, and restructuring activities related to the RainKing acquisition in 2017 that did not recur.</w:t>
      </w:r>
    </w:p>
    <w:p>
      <w:pPr>
        <w:spacing w:after="0" w:line="103"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Integration costs and transaction-related compensation increased significantly from the year ended December 31, 2018 to the year ended December 31, 2019. This increase primarily related to the costs incurred to integrate Pre-Acquisition ZI and ongoing costs related to the Cash Vesting Payment Program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21" w:right="339" w:bottom="1440" w:gutter="0" w:footer="0" w:header="0"/>
        </w:sectPr>
      </w:pPr>
    </w:p>
    <w:bookmarkStart w:id="137" w:name="page138"/>
    <w:bookmarkEnd w:id="13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(see Note 4 to our audited financial statements included elsewhere in this prospectus). The portion of these expenditures relating to the Cash Vesting Payment Program will continue to recur through 2022.</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360" w:type="dxa"/>
            <w:vAlign w:val="bottom"/>
            <w:gridSpan w:val="3"/>
          </w:tcPr>
          <w:p>
            <w:pPr>
              <w:ind w:left="820"/>
              <w:spacing w:after="0"/>
              <w:rPr>
                <w:sz w:val="20"/>
                <w:szCs w:val="20"/>
                <w:color w:val="auto"/>
              </w:rPr>
            </w:pPr>
            <w:r>
              <w:rPr>
                <w:rFonts w:ascii="Arial" w:cs="Arial" w:eastAsia="Arial" w:hAnsi="Arial"/>
                <w:sz w:val="14"/>
                <w:szCs w:val="14"/>
                <w:b w:val="1"/>
                <w:bCs w:val="1"/>
                <w:color w:val="auto"/>
              </w:rPr>
              <w:t>Year Ended December 31,</w:t>
            </w:r>
          </w:p>
        </w:tc>
        <w:tc>
          <w:tcPr>
            <w:tcW w:w="3220" w:type="dxa"/>
            <w:vAlign w:val="bottom"/>
            <w:gridSpan w:val="2"/>
          </w:tcPr>
          <w:p>
            <w:pPr>
              <w:ind w:left="620"/>
              <w:spacing w:after="0"/>
              <w:rPr>
                <w:sz w:val="20"/>
                <w:szCs w:val="20"/>
                <w:color w:val="auto"/>
              </w:rPr>
            </w:pPr>
            <w:r>
              <w:rPr>
                <w:rFonts w:ascii="Arial" w:cs="Arial" w:eastAsia="Arial" w:hAnsi="Arial"/>
                <w:sz w:val="14"/>
                <w:szCs w:val="14"/>
                <w:b w:val="1"/>
                <w:bCs w:val="1"/>
                <w:color w:val="auto"/>
              </w:rPr>
              <w:t>Three Months Ended March 31,</w:t>
            </w:r>
          </w:p>
        </w:tc>
      </w:tr>
      <w:tr>
        <w:trPr>
          <w:trHeight w:val="190"/>
        </w:trPr>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62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0" w:type="dxa"/>
            <w:vAlign w:val="bottom"/>
            <w:tcBorders>
              <w:top w:val="single" w:sz="8" w:color="auto"/>
            </w:tcBorders>
          </w:tcPr>
          <w:p>
            <w:pPr>
              <w:ind w:left="620"/>
              <w:spacing w:after="0"/>
              <w:rPr>
                <w:sz w:val="20"/>
                <w:szCs w:val="20"/>
                <w:color w:val="auto"/>
              </w:rPr>
            </w:pPr>
            <w:r>
              <w:rPr>
                <w:rFonts w:ascii="Arial" w:cs="Arial" w:eastAsia="Arial" w:hAnsi="Arial"/>
                <w:sz w:val="14"/>
                <w:szCs w:val="14"/>
                <w:b w:val="1"/>
                <w:bCs w:val="1"/>
                <w:color w:val="auto"/>
              </w:rPr>
              <w:t>2019</w:t>
            </w:r>
          </w:p>
        </w:tc>
        <w:tc>
          <w:tcPr>
            <w:tcW w:w="162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interest expense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Restructuring and transaction-related expenses paid in cash</w:t>
      </w:r>
      <w:r>
        <w:rPr>
          <w:rFonts w:ascii="Arial" w:cs="Arial" w:eastAsia="Arial" w:hAnsi="Arial"/>
          <w:sz w:val="20"/>
          <w:szCs w:val="20"/>
          <w:color w:val="auto"/>
          <w:vertAlign w:val="superscript"/>
        </w:rPr>
        <w:t>(a)</w:t>
      </w:r>
    </w:p>
    <w:p>
      <w:pPr>
        <w:spacing w:after="0" w:line="16" w:lineRule="exact"/>
        <w:rPr>
          <w:sz w:val="20"/>
          <w:szCs w:val="20"/>
          <w:color w:val="auto"/>
        </w:rPr>
      </w:pPr>
    </w:p>
    <w:p>
      <w:pPr>
        <w:ind w:left="180" w:right="540" w:hanging="161"/>
        <w:spacing w:after="0" w:line="195" w:lineRule="auto"/>
        <w:rPr>
          <w:sz w:val="20"/>
          <w:szCs w:val="20"/>
          <w:color w:val="auto"/>
        </w:rPr>
      </w:pPr>
      <w:r>
        <w:rPr>
          <w:rFonts w:ascii="Arial" w:cs="Arial" w:eastAsia="Arial" w:hAnsi="Arial"/>
          <w:sz w:val="18"/>
          <w:szCs w:val="18"/>
          <w:color w:val="auto"/>
        </w:rPr>
        <w:t>Integration costs and acquisition-related compensation paid in cash</w:t>
      </w:r>
      <w:r>
        <w:rPr>
          <w:rFonts w:ascii="Arial" w:cs="Arial" w:eastAsia="Arial" w:hAnsi="Arial"/>
          <w:sz w:val="23"/>
          <w:szCs w:val="23"/>
          <w:color w:val="auto"/>
          <w:vertAlign w:val="superscript"/>
        </w:rPr>
        <w:t>(b)</w:t>
      </w: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590"/>
              <w:spacing w:after="0"/>
              <w:rPr>
                <w:sz w:val="20"/>
                <w:szCs w:val="20"/>
                <w:color w:val="auto"/>
              </w:rPr>
            </w:pPr>
            <w:r>
              <w:rPr>
                <w:rFonts w:ascii="Arial" w:cs="Arial" w:eastAsia="Arial" w:hAnsi="Arial"/>
                <w:sz w:val="18"/>
                <w:szCs w:val="18"/>
                <w:color w:val="auto"/>
                <w:w w:val="79"/>
              </w:rPr>
              <w:t>40.2</w:t>
            </w:r>
          </w:p>
        </w:tc>
        <w:tc>
          <w:tcPr>
            <w:tcW w:w="1720" w:type="dxa"/>
            <w:vAlign w:val="bottom"/>
          </w:tcPr>
          <w:p>
            <w:pPr>
              <w:jc w:val="right"/>
              <w:ind w:right="630"/>
              <w:spacing w:after="0"/>
              <w:rPr>
                <w:sz w:val="20"/>
                <w:szCs w:val="20"/>
                <w:color w:val="auto"/>
              </w:rPr>
            </w:pPr>
            <w:r>
              <w:rPr>
                <w:rFonts w:ascii="Arial" w:cs="Arial" w:eastAsia="Arial" w:hAnsi="Arial"/>
                <w:sz w:val="18"/>
                <w:szCs w:val="18"/>
                <w:color w:val="auto"/>
              </w:rPr>
              <w:t>95.0</w:t>
            </w:r>
          </w:p>
        </w:tc>
        <w:tc>
          <w:tcPr>
            <w:tcW w:w="1640" w:type="dxa"/>
            <w:vAlign w:val="bottom"/>
          </w:tcPr>
          <w:p>
            <w:pPr>
              <w:jc w:val="right"/>
              <w:ind w:right="590"/>
              <w:spacing w:after="0"/>
              <w:rPr>
                <w:sz w:val="20"/>
                <w:szCs w:val="20"/>
                <w:color w:val="auto"/>
              </w:rPr>
            </w:pPr>
            <w:r>
              <w:rPr>
                <w:rFonts w:ascii="Arial" w:cs="Arial" w:eastAsia="Arial" w:hAnsi="Arial"/>
                <w:sz w:val="18"/>
                <w:szCs w:val="18"/>
                <w:color w:val="auto"/>
              </w:rPr>
              <w:t>5.6</w:t>
            </w:r>
          </w:p>
        </w:tc>
        <w:tc>
          <w:tcPr>
            <w:tcW w:w="9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0"/>
        </w:trPr>
        <w:tc>
          <w:tcPr>
            <w:tcW w:w="980" w:type="dxa"/>
            <w:vAlign w:val="bottom"/>
          </w:tcPr>
          <w:p>
            <w:pPr>
              <w:jc w:val="right"/>
              <w:ind w:right="590"/>
              <w:spacing w:after="0"/>
              <w:rPr>
                <w:sz w:val="20"/>
                <w:szCs w:val="20"/>
                <w:color w:val="auto"/>
              </w:rPr>
            </w:pPr>
            <w:r>
              <w:rPr>
                <w:rFonts w:ascii="Arial" w:cs="Arial" w:eastAsia="Arial" w:hAnsi="Arial"/>
                <w:sz w:val="18"/>
                <w:szCs w:val="18"/>
                <w:color w:val="auto"/>
              </w:rPr>
              <w:t>3.6</w:t>
            </w:r>
          </w:p>
        </w:tc>
        <w:tc>
          <w:tcPr>
            <w:tcW w:w="1720" w:type="dxa"/>
            <w:vAlign w:val="bottom"/>
          </w:tcPr>
          <w:p>
            <w:pPr>
              <w:jc w:val="right"/>
              <w:ind w:right="630"/>
              <w:spacing w:after="0"/>
              <w:rPr>
                <w:sz w:val="20"/>
                <w:szCs w:val="20"/>
                <w:color w:val="auto"/>
              </w:rPr>
            </w:pPr>
            <w:r>
              <w:rPr>
                <w:rFonts w:ascii="Arial" w:cs="Arial" w:eastAsia="Arial" w:hAnsi="Arial"/>
                <w:sz w:val="18"/>
                <w:szCs w:val="18"/>
                <w:color w:val="auto"/>
              </w:rPr>
              <w:t>12.8</w:t>
            </w:r>
          </w:p>
        </w:tc>
        <w:tc>
          <w:tcPr>
            <w:tcW w:w="1640" w:type="dxa"/>
            <w:vAlign w:val="bottom"/>
          </w:tcPr>
          <w:p>
            <w:pPr>
              <w:jc w:val="right"/>
              <w:ind w:right="590"/>
              <w:spacing w:after="0"/>
              <w:rPr>
                <w:sz w:val="20"/>
                <w:szCs w:val="20"/>
                <w:color w:val="auto"/>
              </w:rPr>
            </w:pPr>
            <w:r>
              <w:rPr>
                <w:rFonts w:ascii="Arial" w:cs="Arial" w:eastAsia="Arial" w:hAnsi="Arial"/>
                <w:sz w:val="18"/>
                <w:szCs w:val="18"/>
                <w:color w:val="auto"/>
              </w:rPr>
              <w:t>7.5</w:t>
            </w: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05"/>
        </w:trPr>
        <w:tc>
          <w:tcPr>
            <w:tcW w:w="980" w:type="dxa"/>
            <w:vAlign w:val="bottom"/>
          </w:tcPr>
          <w:p>
            <w:pPr>
              <w:jc w:val="right"/>
              <w:ind w:right="590"/>
              <w:spacing w:after="0"/>
              <w:rPr>
                <w:sz w:val="20"/>
                <w:szCs w:val="20"/>
                <w:color w:val="auto"/>
              </w:rPr>
            </w:pPr>
            <w:r>
              <w:rPr>
                <w:rFonts w:ascii="Arial" w:cs="Arial" w:eastAsia="Arial" w:hAnsi="Arial"/>
                <w:sz w:val="18"/>
                <w:szCs w:val="18"/>
                <w:color w:val="auto"/>
              </w:rPr>
              <w:t>3.2</w:t>
            </w:r>
          </w:p>
        </w:tc>
        <w:tc>
          <w:tcPr>
            <w:tcW w:w="1720" w:type="dxa"/>
            <w:vAlign w:val="bottom"/>
          </w:tcPr>
          <w:p>
            <w:pPr>
              <w:jc w:val="right"/>
              <w:ind w:right="630"/>
              <w:spacing w:after="0"/>
              <w:rPr>
                <w:sz w:val="20"/>
                <w:szCs w:val="20"/>
                <w:color w:val="auto"/>
              </w:rPr>
            </w:pPr>
            <w:r>
              <w:rPr>
                <w:rFonts w:ascii="Arial" w:cs="Arial" w:eastAsia="Arial" w:hAnsi="Arial"/>
                <w:sz w:val="18"/>
                <w:szCs w:val="18"/>
                <w:color w:val="auto"/>
              </w:rPr>
              <w:t>15.0</w:t>
            </w:r>
          </w:p>
        </w:tc>
        <w:tc>
          <w:tcPr>
            <w:tcW w:w="1640" w:type="dxa"/>
            <w:vAlign w:val="bottom"/>
          </w:tcPr>
          <w:p>
            <w:pPr>
              <w:jc w:val="right"/>
              <w:ind w:right="590"/>
              <w:spacing w:after="0"/>
              <w:rPr>
                <w:sz w:val="20"/>
                <w:szCs w:val="20"/>
                <w:color w:val="auto"/>
              </w:rPr>
            </w:pPr>
            <w:r>
              <w:rPr>
                <w:rFonts w:ascii="Arial" w:cs="Arial" w:eastAsia="Arial" w:hAnsi="Arial"/>
                <w:sz w:val="18"/>
                <w:szCs w:val="18"/>
                <w:color w:val="auto"/>
              </w:rPr>
              <w:t>2.3</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-239395</wp:posOffset>
            </wp:positionV>
            <wp:extent cx="7132320" cy="2571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5040" w:space="720"/>
            <w:col w:w="5480"/>
          </w:cols>
          <w:pgMar w:left="320" w:top="121" w:right="339" w:bottom="1440" w:gutter="0" w:footer="0" w:header="0"/>
          <w:type w:val="continuous"/>
        </w:sectPr>
      </w:pPr>
    </w:p>
    <w:p>
      <w:pPr>
        <w:jc w:val="both"/>
        <w:ind w:left="340" w:hanging="332"/>
        <w:spacing w:after="0" w:line="260" w:lineRule="auto"/>
        <w:tabs>
          <w:tab w:leader="none" w:pos="337" w:val="left"/>
        </w:tabs>
        <w:numPr>
          <w:ilvl w:val="0"/>
          <w:numId w:val="106"/>
        </w:numPr>
        <w:rPr>
          <w:rFonts w:ascii="Arial" w:cs="Arial" w:eastAsia="Arial" w:hAnsi="Arial"/>
          <w:sz w:val="13"/>
          <w:szCs w:val="13"/>
          <w:color w:val="auto"/>
        </w:rPr>
      </w:pPr>
      <w:r>
        <w:rPr>
          <w:rFonts w:ascii="Arial" w:cs="Arial" w:eastAsia="Arial" w:hAnsi="Arial"/>
          <w:sz w:val="13"/>
          <w:szCs w:val="13"/>
          <w:color w:val="auto"/>
        </w:rPr>
        <w:t>Represents cash payments directly associated with acquisition or disposal activities, including employee severance and termination benefits, contract termination fees and penalties, and other exit or disposal costs. For the year ended December 31, 2019, these payments related primarily to the acquisition of Pre-Acquisition ZI, including professional fees, severance and acceleration of payments for terminated employees, and deferred consideration. For the year ended December 31, 2018, these payments related primarily to Carlyle’s investment in us. For the three months ended March 31, 2020, these payments related primarily to professional fees for the preparation for the IPO. For the three months ended March 31, 2019, these payments related primarily to the acquisition of Pre-Acquisition ZI, including professional fees, severance, and acceleration of payments for terminated employees.</w:t>
      </w:r>
    </w:p>
    <w:p>
      <w:pPr>
        <w:jc w:val="both"/>
        <w:ind w:left="340" w:hanging="332"/>
        <w:spacing w:after="0" w:line="243" w:lineRule="auto"/>
        <w:tabs>
          <w:tab w:leader="none" w:pos="33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integration activities for acquisitions and acquisition-related compensation, which includes transaction bonuses and retention awards. For the year ended December 31, 2019, these payments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payments of retention awards granted upon the Company’s acquisitions of RainKing and NeverBounce. For the year ended December 31, 2018, these payments related primarily to retention awards granted upon our acquisition of RainKing and transaction bonuses paid upon Carlyle’s investment in us. For the three months ended March 31, 2020, these payments related primarily to cash vesting payments from the acquisition of Pre-Acquisition ZI (see Note 4 – Business Combinations to our consolidated financial statements included elsewhere in this prospectus). For the three months ended March 31, 2019, these payments related primarily to activities resulting from the acquisition of Pre-Acquisition ZI, including cash vesting payments (see Note 4 – Business Combinations to our consolidated financial statements included elsewhere in this prospectus) and transaction bonuses, as well as payments of retention awards granted upon the Company’s acquisitions of RainKing.</w:t>
      </w:r>
    </w:p>
    <w:p>
      <w:pPr>
        <w:spacing w:after="0" w:line="1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Investing Activities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investing activities during the three months ended March 31, 2020 was $4.1 million, as a result of purchases of property and equipment and other assets.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Cash used in investing activities during the three months ended March 31, 2019 was $708.6 million, primarily as a result of cash payments for the acquisition of Pre-Acquisition ZI of $705.8 million and purchases of property and equipment and other assets of $2.8 million.</w:t>
      </w:r>
    </w:p>
    <w:p>
      <w:pPr>
        <w:spacing w:after="0" w:line="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investing activities during the year ended December 31, 2019 was $736.7 million, primarily as a result of cash payments for the acquisition of Pre-Acquisition ZI of $723.1 million and purchases of property and equipment and other assets of $13.6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during the year ended December 31, 2018 was $13.1 million, primarily as a result of cash payments for the acquisition of NeverBounce of $8.5 million and purchases of property and equipment and other assets of $4.6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we continue to grow and invest in our business, we expect to continue to invest in property and equipment.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21" w:right="339" w:bottom="1440" w:gutter="0" w:footer="0" w:header="0"/>
          <w:type w:val="continuous"/>
        </w:sectPr>
      </w:pPr>
    </w:p>
    <w:bookmarkStart w:id="138" w:name="page139"/>
    <w:bookmarkEnd w:id="13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used in financing activities during the three months ended March 31, 2020 was $2.6 million, primarily as a result of financing payments of deferred consideration of $24.0 million, payments to repurchase outstanding member equity of $5.5 million, distributions to equity partners of $5.0 million, and principal payments on long-term debt of $2.2 million, largely offset by proceeds from a draw down on our first lien revolving credit facility of $35.0 million.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provided from financing activities during the three months ended March 31, 2019 was $755.0 million, primarily as a result of proceeds from the issuance of new debt of $1.2 billion and the Series A Preferred Unit issuance of $200.2 million, partially offset by payments on long-term debt of $643.3 million.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provided from financing activities during the year ended December 31, 2019 was $725.8 million, primarily as a result of the issuance of new debt of $1.2 billion and the Series A Preferred Unit issuance of $200.2 million, partially offset by payments on long-term debt of $649.8 million, the payment of debt issuance costs of $16.7 million, and distributions to equity partners of $16.5 million.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financing activities during the year ended December 31, 2018 was $29.9 million, primarily as a result of distributions to equity partners of $93.4 million, partially offset by the issuance of new debt of $67.3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7 – Financing Arrangements of our consolidated financial statements included elsewhere in this prospectus for additional information related to each of our borrowings.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connection with the Zoom Information Acquisition, we repaid our previously outstanding $631.8 million of debt on February 1, 2019 and entered into a new first lien credit agreement and a new second lien credit agreement. Our borrowings under the first lien credit agreement consist of $865.0 million aggregate principal amount of term loans, maturing February 1, 2026, and a $100.0 million revolving credit facility, maturing February 1, 2024. The revolving credit facility was undrawn on February 1, 2019. The second lien credit agreement provides for $370.0 million aggregate principal amount of term loans that mature on February 1, 2027. As of March 31, 2020, we had $856.4 million aggregate principal amount of term loans outstanding under our first lien credit agreement, $370.0 million aggregate principal amount outstanding under our second lien credit agreement, and $35.0 million outstanding under our first lien revolving credit facility. We used a portion of the net proceeds to us from the IPO to repay our second lien term loans, including related prepayment penalties, accrued interest, and fees and expenses, and to repay the outstanding borrowings under our first lien revolving credit facility.</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first lien term loans bear interest, at our election, at either 3.00% over a “base rate” (as defined below) or 4.00% over an adjusted London Interbank Offered Rate (“adjusted LIBOR rate”). Upon the consummation of a “qualified IPO,” the applicable margin for the first lien term loans and revolving credit facility will each be reduced by 0.25%. The second lien term loans bear interest, at our election, at either 7.50% over the base rate or 8.50% over an adjusted LIBOR rate. In both the first lien and second lien credit agreements, the base rate is determined by reference to the highest of (i)</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0.50% above the federal funds effective rate, (ii) the rate of interest established by the administrative agent as its “prime rate,” (iii) 1.00% above the adjusted LIBOR rate for dollar deposits with a one-month term commencing that date, and (iv) 1.00% per annum.</w:t>
      </w:r>
    </w:p>
    <w:p>
      <w:pPr>
        <w:spacing w:after="0" w:line="1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first lien credit agreement is payable in equal installments of $2.2 million on the last business day of each of our fiscal quarters. Commencing in 2020, we are required to prepay an amount equal to 50% of the preceding fiscal year’s excess cash flow, as defined in the first lien credit agreement. The required prepayment is reduced to 25% of the preceding year’s excess cash flow if our consolidated first lien net leverage ratio is less than or equal to 4.40 to 1.00. No prepayment is required if such ratio is less than or equal to 3.90 to 1.00. We have not been required to make a prepayment related to our current first lien credit agreement. Our consolidated first lien net leverage ratio is defined in our first lien credit agreement, and the EBITDA used for that ratio (“Credit Agreement EBITDA”), differs from Adjusted EBITDA due to certain defined add-backs, including pro forma cost savings from synergies and cash generated from changes in unearned revenue. Credit Agreement EBITDA for the 12 months ended March 31, 2020 was $244.8 million. Our consolidated first lien net leverage ratio as of March 31, 2020 was 3.4x.</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21" w:right="339" w:bottom="1440" w:gutter="0" w:footer="0" w:header="0"/>
        </w:sectPr>
      </w:pPr>
    </w:p>
    <w:bookmarkStart w:id="139" w:name="page140"/>
    <w:bookmarkEnd w:id="13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Amounts borrowed under the revolving credit facility bear interest, at our election, at either 3.0% over the base rate or 4.0% over adjusted LIBOR. These interest rate spreads will decline to 2.75% and 3.75%, respectively, if our consolidated first lien net leverage ratio declines to 4.40 to 1.00 or less. As of March 31, 2020, we had drawn down $35.0 million under our first lien revolving credit facility and $65.0 million remained available. Our first lien credit agreement also provides that, if aggregate borrowings under our revolving credit facility exceed 35% of the total revolving commitment, our consolidated first lien net leverage ratio may not, on the last day of the applicable measurement period, exceed 7.65 to 1.00.</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 For a further description of our credit agreements, see “Description of Certain Indebtedness.”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Capital expenditures increased by $1.3 million, or 46%, to $4.1 million in the three months ended March 31, 2020 compared to the three months ended March 31, 2019. The increase reflects increased capital expenditures to support the larger company and greater capitalization of internal development costs.</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Capital expenditures increased by $9.0 million, or 196%, to $13.6 million in the year ended December 31, 2019 compared to year ended December 31, 2018. The increase reflects increased capital expenditures to support the larger company and greater capitalization of internal development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will be computed by comparing the actual income tax liability of the ZoomInfo Tax Group (calculated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21" w:right="339" w:bottom="1440" w:gutter="0" w:footer="0" w:header="0"/>
        </w:sectPr>
      </w:pPr>
    </w:p>
    <w:bookmarkStart w:id="140" w:name="page141"/>
    <w:bookmarkEnd w:id="14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continues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13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expect that as a result of the size of the ZoomInfo Tax Group’s allocable share of existing tax basis acquired in the IPO,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for shares of Class A common stock on the date of</w:t>
      </w:r>
    </w:p>
    <w:p>
      <w:pPr>
        <w:spacing w:after="0" w:line="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this offering) is approximately $ million (assuming a public offering price of $ per share of Class A common stock, which is the last reported sale price of our Class A common stock on the Nasdaq on , 2020). The payments under the tax receivable agreements are not conditioned upon continued</w:t>
      </w:r>
    </w:p>
    <w:p>
      <w:pPr>
        <w:spacing w:after="0"/>
        <w:rPr>
          <w:sz w:val="20"/>
          <w:szCs w:val="20"/>
          <w:color w:val="auto"/>
        </w:rPr>
      </w:pPr>
      <w:r>
        <w:rPr>
          <w:rFonts w:ascii="Arial" w:cs="Arial" w:eastAsia="Arial" w:hAnsi="Arial"/>
          <w:sz w:val="16"/>
          <w:szCs w:val="16"/>
          <w:color w:val="auto"/>
        </w:rPr>
        <w:t>ownership of us by the exchanging holders of OpCo Units. See “Certain Relationships and Related Person Transactions—Tax Receivable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material contractual obligations as of December 31, 2019 and the years in which these obligations are due:</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Payments due by Period</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282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Total</w:t>
            </w:r>
          </w:p>
        </w:tc>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9"/>
              </w:rPr>
              <w:t>Less than one year</w:t>
            </w:r>
          </w:p>
        </w:tc>
        <w:tc>
          <w:tcPr>
            <w:tcW w:w="14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One to three years</w:t>
            </w:r>
          </w:p>
        </w:tc>
        <w:tc>
          <w:tcPr>
            <w:tcW w:w="14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Three to five years</w:t>
            </w: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Greater than five</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indebtedness</w:t>
            </w:r>
            <w:r>
              <w:rPr>
                <w:rFonts w:ascii="Arial" w:cs="Arial" w:eastAsia="Arial" w:hAnsi="Arial"/>
                <w:sz w:val="23"/>
                <w:szCs w:val="23"/>
                <w:color w:val="auto"/>
                <w:vertAlign w:val="superscript"/>
              </w:rPr>
              <w:t>(1)</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1,228.3</w:t>
            </w: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1,185.0</w:t>
            </w:r>
          </w:p>
        </w:tc>
        <w:tc>
          <w:tcPr>
            <w:tcW w:w="0" w:type="dxa"/>
            <w:vAlign w:val="bottom"/>
          </w:tcPr>
          <w:p>
            <w:pPr>
              <w:spacing w:after="0"/>
              <w:rPr>
                <w:sz w:val="1"/>
                <w:szCs w:val="1"/>
                <w:color w:val="auto"/>
              </w:rPr>
            </w:pP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(2)</w:t>
            </w:r>
          </w:p>
        </w:tc>
        <w:tc>
          <w:tcPr>
            <w:tcW w:w="3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or contingent consideration</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16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1,322.7</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1,207.7</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1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32"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future principal payments on long-term indebtedness through the scheduled maturity dates thereof. Indebtedness is discussed in Note 7 – Financing Arrangements to our consolidated financial statements included elsewhere in this prospectus.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Represents future payments on existing operating leases through the scheduled expiration dates thereof.</w:t>
      </w:r>
    </w:p>
    <w:p>
      <w:pPr>
        <w:spacing w:after="0" w:line="1" w:lineRule="exact"/>
        <w:rPr>
          <w:rFonts w:ascii="Arial" w:cs="Arial" w:eastAsia="Arial" w:hAnsi="Arial"/>
          <w:sz w:val="14"/>
          <w:szCs w:val="14"/>
          <w:color w:val="auto"/>
        </w:rPr>
      </w:pPr>
    </w:p>
    <w:p>
      <w:pPr>
        <w:jc w:val="both"/>
        <w:ind w:left="340" w:hanging="332"/>
        <w:spacing w:after="0" w:line="276" w:lineRule="auto"/>
        <w:tabs>
          <w:tab w:leader="none" w:pos="332"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deferred consideration related to the Zoom Information Acquisition and contingent consideration related to the NeverBounce and Komiko acquisitions at non-discounted, currently estimated payout amounts. Acquisitions and related deferred or contingent consideration are discussed in Note 4 – Business Combinations to our consolidated financial statements included elsewhere in this prospectus. Estimated contingent consideration is subject to change depending on results of factors each is based 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21" w:right="339" w:bottom="1440" w:gutter="0" w:footer="0" w:header="0"/>
        </w:sectPr>
      </w:pPr>
    </w:p>
    <w:bookmarkStart w:id="141" w:name="page142"/>
    <w:bookmarkEnd w:id="14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amounts included in the table above represent agreements that are enforceable and legally binding; any obligations under contracts that we can cancel without significant penalty are not included here.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payments that we may be required to make under the tax receivable agreements that we entered into may be significant and are not reflected in the contractual obligations tables set forth above, as we are currently unable to estimate the amounts and timing of the payments that may be due thereunder.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there were “no off-balance sheet arrangements,” as defined in Item 303(a)(4)(ii)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prepare our financial statements in accordance with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GAAP with no need for the application of judgment.</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certain circumstances, however, the preparation of consolidated financial statements in conformity with GAAP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our significant accounting policies are more fully described in Note 2 – Basis of Presentation and Summary of Significant Accounting Policies of our consolidated financial statements included elsewhere in this prospectus, we believe the following topics reflect our critical accounting policies and our more significant judgment and estimates used in the preparation of our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number of datasets that can be accessed. Our subscriptions contracts typically have a term of one to three years and are non-cancellable. We typically bill for services annually in advance or quarterly installment periods.</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analyze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the timing of satisfaction of the performance obligation(s).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generally recognize revenue for subscription contracts on a ratable basis over the contract term, beginning on the date that our service is made available to the customer. Unearned revenue results from amounts billed to customers in advance or cash received from customers in advance of the satisfaction of performance obligations.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January 1, 2018, we adopted the requirements of Topic 606 using the full retrospective method of adoption.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21" w:right="339" w:bottom="1440" w:gutter="0" w:footer="0" w:header="0"/>
        </w:sectPr>
      </w:pPr>
    </w:p>
    <w:bookmarkStart w:id="142" w:name="page143"/>
    <w:bookmarkEnd w:id="14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instruments issued in exchange for services performed by officers, employees, and directors of the Company are accounted for using a fair-value based method, and the fair value of such equity instruments are recognized as expense in the consolidated statements of operations. Typically, the Company issues profits interests to employees and officers with a return threshold that is set based on the fair value of the Company, as determined by the board of directors.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Equity-based compensation expense is measured at the grant date of the equity-based awards that vest over set time periods. Compensation expense is recognized on a straight-line basis over the requisite services period. For profits interests, fair value is estimated using the Black-Scholes option-pricing model. We determine the assumptions for the option-pricing model as follows:</w:t>
      </w:r>
    </w:p>
    <w:p>
      <w:pPr>
        <w:spacing w:after="0" w:line="130" w:lineRule="exact"/>
        <w:rPr>
          <w:sz w:val="20"/>
          <w:szCs w:val="20"/>
          <w:color w:val="auto"/>
        </w:rPr>
      </w:pPr>
    </w:p>
    <w:p>
      <w:pPr>
        <w:ind w:left="66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curve in effect at the date closest to the grant date for zero-coupon U.S. Treasury notes with maturities approximately equal to the expected life of the equity grants.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Expected life - The expected life represents the period of time that the equity-based awards are expected to remain outstanding, giving consideration to vesting schedules and forfeiture patterns.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Volatility - The volatility is based on the historical volatility of the stock prices for comparable companies with a look-back period consistent with the expected life.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Dividend yield - The dividend yield is assumed to be zero.</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Equity-based compensation that vests based on a performance event, such as a liquidity event, begins to be recognized at the date that the performance event becomes probable, and compensation expense is recognized on a straight-line basis over any remaining service period. As of January 1, 2019, the Company adopted ASU 2018-07 and upon the adoption, the Company determined the fair value of outstanding non-vested, non-employee awards and will recognize expense in the same periods and in the same manner as if the Company were to pay cash to the recipient in lieu of the non-employee award. Performance vesting programs are primarily payable in cash from an upper-tier holder of Company equity units based on the appreciation of such units. These awards were modified in December 2019 to add an alternative performance and time vesting condition and to also permit settlement through exchange into the Company’s shares in addition to the existing cash-settlement option. The Company re-determined the fair value of these outstanding non-vested, non-employee awards at the time of the modification in December 2019. The modified fair value of these incentive units is based on the Company’s underlying common unit equivalent.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Business Combinations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for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estimates are inherently uncertain and subject to refinement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21" w:right="339" w:bottom="1440" w:gutter="0" w:footer="0" w:header="0"/>
        </w:sectPr>
      </w:pPr>
    </w:p>
    <w:bookmarkStart w:id="143" w:name="page144"/>
    <w:bookmarkEnd w:id="14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adjustments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but instead is assigned to each of the Company’s reporting units and is tested for impairment at least annually or when events and circumstances indicate that fair value of a reporting unit may be below its carrying value. ZoomInfo OpCo has one reporting unit.</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Acquired intangible assets determined to have definite lives are amortized on a straight-line basis over the estimated period over which we expect to realize economic value related to the intangible asset. The amortization periods range from two years to 15 years. Acquired intangible assets determined to have indefinite lives are not amortized, but rather tested for impairment annually, or more often if and when events or circumstances indicate that the carrying value may not be recoverable.</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most recent impairment assessment in 2018 determined that our goodwill and intangible assets were not impaired as the estimated fair value of our reporting unit substantially exceeded the carrying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ZoomInfo OpCo is comprised of two limited liability companies that are treated as partnerships for federal U.S. tax purposes, 10 limited liability companies that are treated as disregarded entities for federal U.S. tax purposes, two corporations that are C corporations, and two foreign entities.</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ZoomInfo OpCo is responsible for making payments directly to the relevant tax authority.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other assets and deferred tax liabilities on the consolidated balance sheets. A deferred tax asset is recognized if it is more likely than not that a tax benefit will be accepted by a taxing authority.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required to identify, evaluate, and measure all uncertain tax positions taken or to be taken on tax returns and to record liabilities for the amount of these positions that may not be sustained, or may only partially be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21" w:right="339" w:bottom="1440" w:gutter="0" w:footer="0" w:header="0"/>
        </w:sectPr>
      </w:pPr>
    </w:p>
    <w:bookmarkStart w:id="144" w:name="page145"/>
    <w:bookmarkEnd w:id="14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the tax benefit from entity-level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After consummation of the IPO we became subject to U.S. federal income taxes with respect to our allocable share of any U.S. taxable income of ZoomInfo OpCo and are taxed at the prevailing U.S. corporate tax rates. We are treated as a U.S. corporation and a regarded entity for U.S. federal, state, and local income taxes. Accordingly, a provision will be recorded for the anticipated tax consequences of our reported results of operations for U.S. federal, state, and foreign income taxes.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Refer to Note 2 – Basis of Presentation and Summary of Significant Accounting Policies of our consolidated financial statements included elsewhere in this prospectus regarding recently issued accounting pronouncements which we adopted and have not yet adopted and the impact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had significant debt commitments outstanding as of December 31, 2019. These on-balance sheet financial instruments, to the extent they accrue interest at variable interest rates, expose us to interest rate risk. We seek to manage interest rate risk by entering into interest rate swap and interest rate cap agreements with financial institutions. A hypothetical 1.0% increase or decrease in the interest rate associated with our secured credit facilities would have resulted in a $9.4 million impact to interest expense for the year ended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date, our sales contracts have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21" w:right="339" w:bottom="1440" w:gutter="0" w:footer="0" w:header="0"/>
        </w:sectPr>
      </w:pPr>
    </w:p>
    <w:bookmarkStart w:id="145" w:name="page146"/>
    <w:bookmarkEnd w:id="14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21" w:right="339" w:bottom="1440" w:gutter="0" w:footer="0" w:header="0"/>
        </w:sectPr>
      </w:pPr>
    </w:p>
    <w:bookmarkStart w:id="146" w:name="page147"/>
    <w:bookmarkEnd w:id="14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Today, approximately 202,000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To enable this, our go-to-market intelligence platform delivers comprehensive and high-quality intelligence and analytics on approximately 14 million companies and over 120 million professionals. We combine that breadth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&amp; marketing automation systems. Our intelligence is kept up to date in real time.</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By leveraging AI and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software, insights, and data enable over 15,000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21" w:right="339" w:bottom="1440" w:gutter="0" w:footer="0" w:header="0"/>
        </w:sectPr>
      </w:pPr>
    </w:p>
    <w:bookmarkStart w:id="147" w:name="page148"/>
    <w:bookmarkEnd w:id="14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as prioritizing accounts, automating workflows and campaigns, crafting nuanced pitches, and monitoring deal momentum. Our robust suite of software and insights supports every step along that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29317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4924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Independent of size or industry, we believe our platform can make almost any sales and marketing team more effective and more efficient. This broad applicability drives our TAM of approximately $24 billion, according to our estimates. Using the ZoomInfo platform, we have identified over 740,000 global businesses that sell to other businesses and have more than ten employees, which represent our potential customers. Our current customer base of over 15,000 implies penetration of approximately 2%.</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March 31, 2020, our median new business sales cycle from opportunity creation to close was less than 30 days, and our average LTV compared to our average CAC was over 10x. Our focus on customer adoption, success, and expansion helps us to deliver continued value and creates opportunities for increased usage. Today, over 630 of our customers spend more than $100,000 in ACV, with 15 customers spending over $1,000,000 in ACV.</w:t>
      </w:r>
    </w:p>
    <w:p>
      <w:pPr>
        <w:spacing w:after="0" w:line="11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$54.6 million and $102.2 million for the three months ended March 31, 2019 and March 31, 2020, respectively. We and Pre-Acquisition ZI generated net income (loss) of $(28.6) million and $(27.5) million in 2018, respectively, and $(78.0) million in 2019 and $0.8 million for the one month ended January 31, 2019, respectively. We generated net income (loss) of $(40.2) million and $(5.9) million for the three months ended March 31, 2019 and March 31, 2020, respectively. We generated Adjusted Operating Income of $83.7 million and $167.1 million in 2018 and 2019, respectively. We generated Adjusted Operating Income of $31.7 million and $49.1 million for the three months ended March 31, 2019 and March 31, 2020,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21" w:right="339" w:bottom="1440" w:gutter="0" w:footer="0" w:header="0"/>
        </w:sectPr>
      </w:pPr>
    </w:p>
    <w:bookmarkStart w:id="148" w:name="page149"/>
    <w:bookmarkEnd w:id="14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is Fundamental to Every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every company, sales and marketing is a fundamental function that defines its success. As a result, businesses—from the largest enterprises to the smallest companies—typically spend significantly on sales and marketing activities. For example, Forbes Global 2000 companies collectively spent over $2 trillion on sales and marketing activities alone in 2018 according to Capital IQ. These sales and marketing activities span numerous teams, including demand generation, sales development, account executives, sales engineers, sales operations, sales enablement, product marketing, account management, customer success, customer marketing, managers, and executives. Alignment of these teams, combined with platforms and content to execute effective strategies, is critical to their success.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Business-to-Business (“B2B”) Sales and Marketing has Changed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advent of sales and marketing technologies, businesses that sold to other businesses operated in an analog world, relying on field sales representatives to gather customer information and navigate sales processes. Sales representatives gathered data through in-person meetings and stored this information in their rolodexes. This process was manual, expensive, and inefficient. The data gathered was limited in depth, breadth, and accuracy, and began decaying as soon as it was captured. As a result, many sales representatives focused on existing customers, without effective methods to identify new accounts to target in a scalable, repeatable way. Additionally, information was often trapped inside the heads or spreadsheets of individual sales representatives and was often not shared with others in their organization. When sales representatives departed for another organization, they took their rolodexes and customer intelligence with them. Businesses lacked scalable systems to capture, disseminate, and leverage data and insights across their organizations.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address these problems, businesses invested in new technologies to digitally transform the way they sell and market. They adopted CRM systems, primarily to manage the sales process. These CRM systems also provided functionality to digitize sales representatives’ rolodexes and centralize information to be made available throughout an organization. Businesses also invested in marketing automation systems and new forms of customer engagement to automate different go-to-market tasks. As the recession hit in 2008, the focus on efficiency accelerated. The CRM market grew from $12 billion in 2009 to $42 billion in 2018, representing a nearly 250% increase, according to a 2019 Global Industry Analysts, Inc. report. In addition, the average percentage of full time sales employees allocated to inside sales representatives, the primary users of these CRM technologies, grew from 9% in 2014 to 16% in 2019 for B2B mid-sized organizations, and, for larger organizations, inside sales becomes a bigger component of the overall sales organization, according to SiriusDecisions.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 making these systems and their impact on the businesses suboptimal and less valuable.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is Still Inefficient</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92" w:lineRule="exact"/>
        <w:rPr>
          <w:sz w:val="20"/>
          <w:szCs w:val="20"/>
          <w:color w:val="auto"/>
        </w:rPr>
      </w:pPr>
    </w:p>
    <w:p>
      <w:pPr>
        <w:jc w:val="both"/>
        <w:ind w:left="660" w:hanging="328"/>
        <w:spacing w:after="0" w:line="255" w:lineRule="auto"/>
        <w:tabs>
          <w:tab w:leader="none" w:pos="648"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It’s hard to find and engage with decision makers. </w:t>
      </w:r>
      <w:r>
        <w:rPr>
          <w:rFonts w:ascii="Arial" w:cs="Arial" w:eastAsia="Arial" w:hAnsi="Arial"/>
          <w:sz w:val="18"/>
          <w:szCs w:val="18"/>
          <w:color w:val="auto"/>
        </w:rPr>
        <w:t>Inaccurate or missing contact information plagues efforts to engage with a broad set of targets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quickly and efficiently. 30% to 50% of data in customers’ CRM and enterprise resource planning systems is incorrect at any given time. A Forrester survey we commissioned in August 2019 reinforces these findings—only 8% of sales and marketing professionals said that their sales and marketing data is sufficiently accurate (greater than 90% accuracy). As a result, sales and marketing professionals find it difficult to connect with the right person in a specific organization, leading to countless manual one-off efforts to reach prospects, such as guessing email addresses or blindly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21" w:right="339" w:bottom="1440" w:gutter="0" w:footer="0" w:header="0"/>
        </w:sectPr>
      </w:pPr>
    </w:p>
    <w:bookmarkStart w:id="149" w:name="page150"/>
    <w:bookmarkEnd w:id="14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calling mainline telephone numbers, which often get blocked. Ultimately, once they find the correct information, the data immediately begins to decay.</w:t>
      </w:r>
    </w:p>
    <w:p>
      <w:pPr>
        <w:spacing w:after="0" w:line="116" w:lineRule="exact"/>
        <w:rPr>
          <w:sz w:val="20"/>
          <w:szCs w:val="20"/>
          <w:color w:val="auto"/>
        </w:rPr>
      </w:pPr>
    </w:p>
    <w:p>
      <w:pPr>
        <w:jc w:val="both"/>
        <w:ind w:left="660" w:hanging="328"/>
        <w:spacing w:after="0" w:line="301" w:lineRule="auto"/>
        <w:tabs>
          <w:tab w:leader="none" w:pos="648"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It’s hard to know when to engage. </w:t>
      </w:r>
      <w:r>
        <w:rPr>
          <w:rFonts w:ascii="Arial" w:cs="Arial" w:eastAsia="Arial" w:hAnsi="Arial"/>
          <w:sz w:val="16"/>
          <w:szCs w:val="16"/>
          <w:color w:val="auto"/>
        </w:rPr>
        <w:t>Sales and marketing professionals are much better positioned to land a sale when they have insights into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customer intends to make a purchase. The earlier they know this, the better. Intent can be signaled by job postings, recent hires, press releases, technology usage, web activity, and buying behaviors. Manually gathering this information across a broad universe of prospects is not feasible, as it requires significant ongoing technology investment and innovation to gather the information at scale and ensure accuracy.</w:t>
      </w:r>
    </w:p>
    <w:p>
      <w:pPr>
        <w:spacing w:after="0" w:line="103" w:lineRule="exact"/>
        <w:rPr>
          <w:rFonts w:ascii="Arial" w:cs="Arial" w:eastAsia="Arial" w:hAnsi="Arial"/>
          <w:sz w:val="16"/>
          <w:szCs w:val="16"/>
          <w:color w:val="auto"/>
        </w:rPr>
      </w:pPr>
    </w:p>
    <w:p>
      <w:pPr>
        <w:jc w:val="both"/>
        <w:ind w:left="660" w:hanging="328"/>
        <w:spacing w:after="0" w:line="275" w:lineRule="auto"/>
        <w:tabs>
          <w:tab w:leader="none" w:pos="648"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data-driven way to prioritize targets. </w:t>
      </w:r>
      <w:r>
        <w:rPr>
          <w:rFonts w:ascii="Arial" w:cs="Arial" w:eastAsia="Arial" w:hAnsi="Arial"/>
          <w:sz w:val="17"/>
          <w:szCs w:val="17"/>
          <w:color w:val="auto"/>
        </w:rPr>
        <w:t>Prioritization decisions for sales and marketing resources are often made based on intuition, random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knowledge gathering, and instinct, instead of data. When companies do use data, it tends to be static and siloed, and does not reflect changes that happen in businesses every day. In order to properly prioritize accounts, companies need data-driven models to define what an attractive customer looks like and real-time intelligence to assess these targets. High-quality intelligence needs to be programmatically ingested, merged, and evaluated each day to make the sales and marketing process effective.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Need for a Comprehensive Go-to-Market Intelligence Solution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systems—the systems nearly every company uses to manage its sales and marketing processes. This 360-degree view enables sales and marketing professionals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Today, point solutions exist to aid in go-to-market intelligence efforts, but they only address a fraction of the 360-degree view of the customer, and often lack the accuracy required to be effective. These solutions may include contact lists, company databases, technology surveillance providers, buying intent monitors, and news aggregators.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Companies that have implemented some B2B intelligence practices and technology, even at limited levels of maturity, have realized 35% more leads and 45% higher-quality leads, leading to higher revenue and faster growth, according to a Forrester survey we commissioned. The same report found that only 1.2% of companies have mature B2B intelligence practices and technology, indicating that today the market is still in the very early days for adoption of these solutions.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ZoomInfo Platform</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ZoomInfo is the go-to-market intelligence platform for over 15,000 sales and marketing teams worldwide as of March 31, 2020. Our cloud-based platform gives sales and marketing professionals highly accurate and comprehensive information and insights on the organizations and professionals they target. This 360-degree view provides detailed understanding, and coupled with our analytics, shortens sales cycles and increases win rates by enabling sellers and marketers to deliver the right message, to the right person, at the right time, to hit their number.</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had approximately 202,000 paid users using our paid platform as of March 31, 2020 with additional free users on our Community Edition product.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users work in our platform on a daily basis. Our insights are also integrated into their workflows and CRM and sales &amp; marketing automation systems, including Salesforce, Marketo, HubSpot, Microsoft Dynamics, Oracle Sales Cloud, Bullhorn, Act-On, and a variety of other commonly used tools.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21" w:right="339" w:bottom="1440" w:gutter="0" w:footer="0" w:header="0"/>
        </w:sectPr>
      </w:pPr>
    </w:p>
    <w:bookmarkStart w:id="150" w:name="page151"/>
    <w:bookmarkEnd w:id="15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360-Degree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8803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4924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2020, our go-to-market platform delivered comprehensive intelligence and analytics on approximately 14 million companies and over 120 million professionals. We enhance these records with curated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intelligence is kept up to date in real time. This enables us to provide our customers with a contractual guarantee that at least 95% of the employment information they access will be current. This is accomplished through a combination of robust systems and processes leveraging AI, ML and our proprietary human-in-the-loop approach.</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Furthermore, we also integrate our customer’s first-party data with our platform to deliver unique insights. As an example, customers can upload their historic win/loss data into our platform and determine which of our 50,000+ attributes best predicts success for future opportunities. Our go-to-market intelligence platform then identifies the highest-ranked targets across the 14 million companies in our platform.</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ZoomInfo, the sales and marketing process becomes more streamlined and efficient, as demonstrated through the following examples:</w:t>
      </w:r>
    </w:p>
    <w:p>
      <w:pPr>
        <w:spacing w:after="0" w:line="183" w:lineRule="exact"/>
        <w:rPr>
          <w:sz w:val="20"/>
          <w:szCs w:val="20"/>
          <w:color w:val="auto"/>
        </w:rPr>
      </w:pPr>
    </w:p>
    <w:p>
      <w:pPr>
        <w:ind w:left="660" w:hanging="328"/>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One of the world’s largest banks uses ZoomInfo to provide their newly hired financial advisors a global network of senior professionals to target from which they can build their books of business.</w:t>
      </w:r>
    </w:p>
    <w:p>
      <w:pPr>
        <w:spacing w:after="0" w:line="112"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telecom giant</w:t>
      </w:r>
      <w:r>
        <w:rPr>
          <w:rFonts w:ascii="Arial" w:cs="Arial" w:eastAsia="Arial" w:hAnsi="Arial"/>
          <w:sz w:val="18"/>
          <w:szCs w:val="18"/>
          <w:color w:val="auto"/>
        </w:rPr>
        <w:t xml:space="preserve"> uses the ZoomInfo application programming interface (“API”) to import all of our intelligence into its data lake—combining insights, such as tenants at a particular location and competitor technologies installed, with first-party insights, such as buildings with fiber—to enable their team of thousands of sellers.</w:t>
      </w:r>
    </w:p>
    <w:p>
      <w:pPr>
        <w:spacing w:after="0" w:line="121" w:lineRule="exact"/>
        <w:rPr>
          <w:rFonts w:ascii="Arial" w:cs="Arial" w:eastAsia="Arial" w:hAnsi="Arial"/>
          <w:sz w:val="18"/>
          <w:szCs w:val="18"/>
          <w:color w:val="auto"/>
        </w:rPr>
      </w:pPr>
    </w:p>
    <w:p>
      <w:pPr>
        <w:ind w:left="660" w:hanging="328"/>
        <w:spacing w:after="0" w:line="347" w:lineRule="auto"/>
        <w:tabs>
          <w:tab w:leader="none" w:pos="65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enterprise software</w:t>
      </w:r>
      <w:r>
        <w:rPr>
          <w:rFonts w:ascii="Arial" w:cs="Arial" w:eastAsia="Arial" w:hAnsi="Arial"/>
          <w:sz w:val="16"/>
          <w:szCs w:val="16"/>
          <w:color w:val="auto"/>
        </w:rPr>
        <w:t xml:space="preserve"> company uses ZoomInfo insights, such as the number of cyber security professionals employed and security technologies used at an organization, to conduct third-party vendor risk assessments for its customers, enabling them to make informed selection decisions.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21" w:right="339" w:bottom="1440" w:gutter="0" w:footer="0" w:header="0"/>
        </w:sectPr>
      </w:pPr>
    </w:p>
    <w:bookmarkStart w:id="151" w:name="page152"/>
    <w:bookmarkEnd w:id="15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20" w:hanging="328"/>
        <w:spacing w:after="0" w:line="282"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 Fortune 500 </w:t>
      </w:r>
      <w:r>
        <w:rPr>
          <w:rFonts w:ascii="Arial" w:cs="Arial" w:eastAsia="Arial" w:hAnsi="Arial"/>
          <w:sz w:val="18"/>
          <w:szCs w:val="18"/>
          <w:b w:val="1"/>
          <w:bCs w:val="1"/>
          <w:color w:val="auto"/>
        </w:rPr>
        <w:t>transportation and logistics</w:t>
      </w:r>
      <w:r>
        <w:rPr>
          <w:rFonts w:ascii="Arial" w:cs="Arial" w:eastAsia="Arial" w:hAnsi="Arial"/>
          <w:sz w:val="18"/>
          <w:szCs w:val="18"/>
          <w:color w:val="auto"/>
        </w:rPr>
        <w:t xml:space="preserve"> company uses ZoomInfo predictive intent data to identify potential prospects who are conducting online research on “high-volume printing” and “commercial printing solutions.”</w:t>
      </w:r>
    </w:p>
    <w:p>
      <w:pPr>
        <w:spacing w:after="0" w:line="10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healthcare company</w:t>
      </w:r>
      <w:r>
        <w:rPr>
          <w:rFonts w:ascii="Arial" w:cs="Arial" w:eastAsia="Arial" w:hAnsi="Arial"/>
          <w:sz w:val="18"/>
          <w:szCs w:val="18"/>
          <w:color w:val="auto"/>
        </w:rPr>
        <w:t xml:space="preserve"> combats diabetes, hypertension, and high cholesterol by using ZoomInfo organizational charts to identify the top human resources contacts at large employers able to roll out programs companywide and better lives quickly and efficiently.</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One of the largest </w:t>
      </w:r>
      <w:r>
        <w:rPr>
          <w:rFonts w:ascii="Arial" w:cs="Arial" w:eastAsia="Arial" w:hAnsi="Arial"/>
          <w:sz w:val="18"/>
          <w:szCs w:val="18"/>
          <w:b w:val="1"/>
          <w:bCs w:val="1"/>
          <w:color w:val="auto"/>
        </w:rPr>
        <w:t>management consulting</w:t>
      </w:r>
      <w:r>
        <w:rPr>
          <w:rFonts w:ascii="Arial" w:cs="Arial" w:eastAsia="Arial" w:hAnsi="Arial"/>
          <w:sz w:val="18"/>
          <w:szCs w:val="18"/>
          <w:color w:val="auto"/>
        </w:rPr>
        <w:t xml:space="preserve"> firms uses ZoomInfo to conduct targeted market research on behalf of its clients.</w:t>
      </w:r>
    </w:p>
    <w:p>
      <w:pPr>
        <w:spacing w:after="0" w:line="17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 championship-winning </w:t>
      </w:r>
      <w:r>
        <w:rPr>
          <w:rFonts w:ascii="Arial" w:cs="Arial" w:eastAsia="Arial" w:hAnsi="Arial"/>
          <w:sz w:val="18"/>
          <w:szCs w:val="18"/>
          <w:b w:val="1"/>
          <w:bCs w:val="1"/>
          <w:color w:val="auto"/>
        </w:rPr>
        <w:t>professional basketball franchise</w:t>
      </w:r>
      <w:r>
        <w:rPr>
          <w:rFonts w:ascii="Arial" w:cs="Arial" w:eastAsia="Arial" w:hAnsi="Arial"/>
          <w:sz w:val="18"/>
          <w:szCs w:val="18"/>
          <w:color w:val="auto"/>
        </w:rPr>
        <w:t xml:space="preserve"> uses ZoomInfo to identify local businesses to purchase suites and human resources executives to develop employee engagement and perks programs.</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HVAC and electrical company</w:t>
      </w:r>
      <w:r>
        <w:rPr>
          <w:rFonts w:ascii="Arial" w:cs="Arial" w:eastAsia="Arial" w:hAnsi="Arial"/>
          <w:sz w:val="18"/>
          <w:szCs w:val="18"/>
          <w:color w:val="auto"/>
        </w:rPr>
        <w:t xml:space="preserve"> uses ZoomInfo for address and location data so its sellers no longer have to drive around downtown areas looking for potential customers.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One of the world’s largest </w:t>
      </w:r>
      <w:r>
        <w:rPr>
          <w:rFonts w:ascii="Arial" w:cs="Arial" w:eastAsia="Arial" w:hAnsi="Arial"/>
          <w:sz w:val="18"/>
          <w:szCs w:val="18"/>
          <w:b w:val="1"/>
          <w:bCs w:val="1"/>
          <w:color w:val="auto"/>
        </w:rPr>
        <w:t>beauty product retailers</w:t>
      </w:r>
      <w:r>
        <w:rPr>
          <w:rFonts w:ascii="Arial" w:cs="Arial" w:eastAsia="Arial" w:hAnsi="Arial"/>
          <w:sz w:val="18"/>
          <w:szCs w:val="18"/>
          <w:color w:val="auto"/>
        </w:rPr>
        <w:t xml:space="preserve"> uses ZoomInfo to power its recruiting efforts by identifying and sourcing talent.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Engine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Machine Learning and Artificial Intelligence Technologies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able to deliver high-quality intelligence at scale by leveraging an AI- and ML-powered engine that gathers data from millions of sources and standardizes, matches to entities, verifies, cleans, and applies the processed data to companies and people at scale to generate insights. To do this, we aggregate and extract distinct types of data, such as revenue, locations, technologies, keywords, contact information, including email addresses, titles, and phone numbers, and many others, from millions of public and proprietary sources, as detailed below. Our evidence-based ML algorithm scores, ranks, and makes determinations about these billions of data points each day. To help train our AI and ML technologies and augment our contributory network, we have a team of 300 research analysts and 40 data scientists with deep expertise in cleaning B2B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Examples of how the data engine works include:</w:t>
      </w:r>
    </w:p>
    <w:p>
      <w:pPr>
        <w:spacing w:after="0" w:line="171" w:lineRule="exact"/>
        <w:rPr>
          <w:sz w:val="20"/>
          <w:szCs w:val="20"/>
          <w:color w:val="auto"/>
        </w:rPr>
      </w:pPr>
    </w:p>
    <w:p>
      <w:pPr>
        <w:jc w:val="both"/>
        <w:ind w:left="660" w:hanging="328"/>
        <w:spacing w:after="0" w:line="263"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collected 72 pieces of data related to a professional’s contact information over a three-year period, including seven unique email addresses and four unique phone numbers. Our algorithm factors in source count, source reliability, recency, and other attributes to accurately identify the professional’s contact information and publish that information in our platform.</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receive an email signature from Jane Doe through the contributory network, indicating her role is VP of Application Security at Alpha Corp., we compare that to prior data indicating her job title was Senior Director, and we publish her promotion to our platform.</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VP of Marketing at a retail company responds to one of our automated surveys, indicating he plans to hire a new digital advertising agency within the next 12 months, which is published as a scoop on our platform.</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AI technology reads an agenda for a software company’s conference and identifies that the CEO of Omega Corp. is a keynote speaker at the conference, creating a piece of evidence that Omega Corp. is likely a customer.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21" w:right="339" w:bottom="1440" w:gutter="0" w:footer="0" w:header="0"/>
        </w:sectPr>
      </w:pPr>
    </w:p>
    <w:bookmarkStart w:id="152" w:name="page153"/>
    <w:bookmarkEnd w:id="15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60" w:right="20" w:hanging="328"/>
        <w:spacing w:after="0" w:line="342" w:lineRule="auto"/>
        <w:tabs>
          <w:tab w:leader="none" w:pos="65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Our human-in-the-loop AI system detects potentially new C-Level hires and surfaces them to research analysts for acceptance or rejection in a review queue. The aggregated feedback from human researchers is used to make decisions about automatically rejecting or accepting future cases.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 number of data sources, including proprietary sources, that enrich our platform as detailed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Contributory Network</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free users and many of our paying customers contribute data that enhances our platform. Many of our paying customers participate in our contributory network to improve the quality of the data within their CRM and sales &amp; marketing automation systems. Similarly, all of our free Community Edition users participate in our contributory network to get access to data. Our contributory network captures data on approximately 50 million email signatures, email deliverability and contact update records daily. We obtain email signatures, which are rich sources of data, through integrations with email systems, and also obtain unattributed data through integrations with our customers’ CRM and sales &amp; marketing automation systems. This gives us visibility into hundreds of millions of confirmatory and disqualifying signals each month, allowing us to keep our data and our customers’ data cleaned in real time and create accuracy scores for the content. In addition to enriching our existing data, these types of records often provide us with additional data and actionable insights, such as professionals getting promoted, changing jobs or leaving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Unstructured Public Information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patented and proprietary technologies extract and parse unstructured information found on webpages, newsfeeds, blogs, and other public sources, and then match that information with entities that we have previously identified. The conversion of unstructured data to actionable insights at massive scale is highly valuable to our customers. We monitor over 45 million web domains.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Training Lab</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developed hundreds of processes, largely automated, to gather information from sources, such as PBX directories, website traffic and source code, and proprietary surveys. Our researchers develop proprietary libraries that map raw data points to additional information to generate useful insights. For example, we enhance technology to gather a telephone number extension at a particular company and location by leveraging our library to generate a full direct dial phone number, by appending the correct area code and prefix. Combining these libraries with the wealth of information we gather from our contributory network and unstructured public and generally available information allows us to provide proprietary data points for customers.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Generally Available Information</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purchase a limited amount of data from third-party vendors (</w:t>
      </w:r>
      <w:r>
        <w:rPr>
          <w:rFonts w:ascii="Arial" w:cs="Arial" w:eastAsia="Arial" w:hAnsi="Arial"/>
          <w:sz w:val="16"/>
          <w:szCs w:val="16"/>
          <w:i w:val="1"/>
          <w:iCs w:val="1"/>
          <w:color w:val="auto"/>
        </w:rPr>
        <w:t>e.g.</w:t>
      </w:r>
      <w:r>
        <w:rPr>
          <w:rFonts w:ascii="Arial" w:cs="Arial" w:eastAsia="Arial" w:hAnsi="Arial"/>
          <w:sz w:val="16"/>
          <w:szCs w:val="16"/>
          <w:color w:val="auto"/>
        </w:rPr>
        <w:t>, other data brokers) to be used in our platform. Our technology typically adds value to this data by combining it with our proprietary insights. In 2019, we spent less than $3 million on such data, with spend decreasing year over year.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Platform</w:t>
      </w:r>
    </w:p>
    <w:p>
      <w:pPr>
        <w:spacing w:after="0" w:line="175" w:lineRule="exact"/>
        <w:rPr>
          <w:sz w:val="20"/>
          <w:szCs w:val="20"/>
          <w:color w:val="auto"/>
        </w:rPr>
      </w:pPr>
    </w:p>
    <w:p>
      <w:pPr>
        <w:jc w:val="both"/>
        <w:ind w:left="660" w:hanging="328"/>
        <w:spacing w:after="0" w:line="271" w:lineRule="auto"/>
        <w:tabs>
          <w:tab w:leader="none" w:pos="655"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Measurable Revenue Improvement. </w:t>
      </w:r>
      <w:r>
        <w:rPr>
          <w:rFonts w:ascii="Arial" w:cs="Arial" w:eastAsia="Arial" w:hAnsi="Arial"/>
          <w:sz w:val="17"/>
          <w:szCs w:val="17"/>
          <w:color w:val="auto"/>
        </w:rPr>
        <w:t>The highly accurate and deep intelligence on existing and prospective customers, coupled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analytics and prioritization engines that we provide, increases revenue for our customers. Proving this to our customers is easy, because we integrate with the systems that they use to attribute revenue at the end of each month, quarter, and year. In some cases, the ROI that we generate can exceed 100 times the annual spend on the ZoomInfo platform. For example, a tier 1 global bank with initial spend of approximately $17,000 in 2006, expanded to approximately 1,000 licenses and increased spend to approximately $1.4 million annually as of March 31, 2020 after thirteen of their top users generated approximately $46 million in net new money in the first 12 months of use. Similarly, a telecom giant that uses the ZoomInfo platform to empower its salesforce with attribute insights had initial spend of approximately $6,000 in 2017, grew to spend of approximately $1.1 million as of March 31, 2020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21" w:right="339" w:bottom="1440" w:gutter="0" w:footer="0" w:header="0"/>
        </w:sectPr>
      </w:pPr>
    </w:p>
    <w:bookmarkStart w:id="153" w:name="page154"/>
    <w:bookmarkEnd w:id="15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used the ZoomInfo platform to drive approximately $43 million in closed business attributable to ZoomInfo in 24 months.</w:t>
      </w:r>
    </w:p>
    <w:p>
      <w:pPr>
        <w:spacing w:after="0" w:line="171" w:lineRule="exact"/>
        <w:rPr>
          <w:sz w:val="20"/>
          <w:szCs w:val="20"/>
          <w:color w:val="auto"/>
        </w:rPr>
      </w:pPr>
    </w:p>
    <w:p>
      <w:pPr>
        <w:jc w:val="both"/>
        <w:ind w:left="660" w:hanging="328"/>
        <w:spacing w:after="0" w:line="25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Unmatched Accuracy, Depth, and Coverage of Data. </w:t>
      </w:r>
      <w:r>
        <w:rPr>
          <w:rFonts w:ascii="Arial" w:cs="Arial" w:eastAsia="Arial" w:hAnsi="Arial"/>
          <w:sz w:val="18"/>
          <w:szCs w:val="18"/>
          <w:color w:val="auto"/>
        </w:rPr>
        <w:t>We gather data from millions of sources to power our AI- and ML-driven platform.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able to provide a guarantee of 95%+ accuracy as a result of our focus on quality, coupled with proprietary methods to extract, parse, match, and clean data. Our data accuracy also allows sales and marketing professionals to realize the value promised by their CRM and sales &amp; marketing automation systems. We do not believe that any other solution provides the depth and breadth of data that we provide on approximately 14 million companies and over 120 million professionals.</w:t>
      </w:r>
    </w:p>
    <w:p>
      <w:pPr>
        <w:spacing w:after="0" w:line="13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Data Points Drive Valuable Insights. </w:t>
      </w:r>
      <w:r>
        <w:rPr>
          <w:rFonts w:ascii="Arial" w:cs="Arial" w:eastAsia="Arial" w:hAnsi="Arial"/>
          <w:sz w:val="17"/>
          <w:szCs w:val="17"/>
          <w:color w:val="auto"/>
        </w:rPr>
        <w:t>Leveraging our unique data asset, we are able to provide sales and marketing professionals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360-degree view of their target customers. We integrate unique data points that are proprietary to ZoomInfo with our customers’ data to enrich their information and develop unique insights. An example of this is our ability to shorten online inbound marketing forms to increase the probability of their completion. We do this by taking only a single data point provided by a prospect, such as an email address, and we enrich the record with additional relevant information that we have such as title, job function, size of organization and more.</w:t>
      </w:r>
    </w:p>
    <w:p>
      <w:pPr>
        <w:spacing w:after="0" w:line="118" w:lineRule="exact"/>
        <w:rPr>
          <w:rFonts w:ascii="Arial" w:cs="Arial" w:eastAsia="Arial" w:hAnsi="Arial"/>
          <w:sz w:val="17"/>
          <w:szCs w:val="17"/>
          <w:color w:val="auto"/>
        </w:rPr>
      </w:pPr>
    </w:p>
    <w:p>
      <w:pPr>
        <w:jc w:val="both"/>
        <w:ind w:left="660" w:hanging="328"/>
        <w:spacing w:after="0" w:line="258"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Integrated and Automated Platform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cloud-based platform is available to our customers wherever needed and can be accessed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 anywhere in the world, in a secure manner. Our insights can also be delivered directly into our customers’ workflows and supporting infrastructure, including Salesforce, Marketo, HubSpot, Microsoft Dynamics, Oracle Sales Cloud, and a variety of other commonly used platforms. The vast majority of our customers integrate ZoomInfo with their most-used CRM or sales &amp; marketing automation system. We make all of these systems better because of the accurate data and insights that we provide.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jc w:val="both"/>
        <w:ind w:left="660" w:hanging="328"/>
        <w:spacing w:after="0" w:line="293" w:lineRule="auto"/>
        <w:tabs>
          <w:tab w:leader="none" w:pos="655"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Leader with a Comprehensive Go-to-Market Intelligence Platform. </w:t>
      </w:r>
      <w:r>
        <w:rPr>
          <w:rFonts w:ascii="Arial" w:cs="Arial" w:eastAsia="Arial" w:hAnsi="Arial"/>
          <w:sz w:val="16"/>
          <w:szCs w:val="16"/>
          <w:color w:val="auto"/>
        </w:rPr>
        <w:t>We provide the most accurate and comprehensive go-to-market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intelligence platform available. Customers leverage our complete view of their target customers and prospects to drive effectiveness and efficiency. Our platform covered 4.6 million U.S. companies with at least one employee (compared to 5.28 million U.S. companies with at least one employee identified by the U.S. Bureau of Labor Statistics) with a contractual guarantee that at least 95% of the employment information they access will be current. We do all these things at scale and in real time, and integrate into our customers’ workflows and systems. Our market leadership enables us to drive greater customer adoption based on our leading reputation, users that move among companies, and word of mouth.</w:t>
      </w:r>
    </w:p>
    <w:p>
      <w:pPr>
        <w:spacing w:after="0" w:line="110" w:lineRule="exact"/>
        <w:rPr>
          <w:rFonts w:ascii="Arial" w:cs="Arial" w:eastAsia="Arial" w:hAnsi="Arial"/>
          <w:sz w:val="16"/>
          <w:szCs w:val="16"/>
          <w:color w:val="auto"/>
        </w:rPr>
      </w:pPr>
    </w:p>
    <w:p>
      <w:pPr>
        <w:jc w:val="both"/>
        <w:ind w:left="660" w:hanging="328"/>
        <w:spacing w:after="0" w:line="296" w:lineRule="auto"/>
        <w:tabs>
          <w:tab w:leader="none" w:pos="655"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Finely Tuned Go-to-Market Model. </w:t>
      </w:r>
      <w:r>
        <w:rPr>
          <w:rFonts w:ascii="Arial" w:cs="Arial" w:eastAsia="Arial" w:hAnsi="Arial"/>
          <w:sz w:val="16"/>
          <w:szCs w:val="16"/>
          <w:color w:val="auto"/>
        </w:rPr>
        <w:t>We utilize the ZoomInfo platform to power our efficient go-to-market motion. Our median new business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cycle from opportunity creation to close was less than 30 days for the year ended December 31, 2019. For the same period, our average LTV to average CAC was over 10x. We achieve this efficiency while sourcing 40% of our sales from our outbound sales motions, meaning that we generate sales from customers that did not proactively ask for a demo or fill out a form on our website. The ZoomInfo platform, with its accurate insights combined with a predominantly inside-sales model that is efficient and scalable, has capacity to sell additional products and services.</w:t>
      </w:r>
    </w:p>
    <w:p>
      <w:pPr>
        <w:spacing w:after="0" w:line="107"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High-Velocity Software Development. </w:t>
      </w:r>
      <w:r>
        <w:rPr>
          <w:rFonts w:ascii="Arial" w:cs="Arial" w:eastAsia="Arial" w:hAnsi="Arial"/>
          <w:sz w:val="18"/>
          <w:szCs w:val="18"/>
          <w:color w:val="auto"/>
        </w:rPr>
        <w:t>We foster an innovative, fast-paced engineering culture that enabled the development, launch, and adoption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112 product features and services in 2019, including a new platform bringing together the best features and intelligence of DiscoverOrg and Pre-Acquisition ZI into a single offering. Our own go-to-market engine relies on our platform and serves as a laboratory environment to continually experiment and test new approaches to drive sales effectiveness, and innovate our product. Our team delivers new features in less than two weeks and fixes many deficiencies in our platform in under an hour. We deliver this speed by relentlessly focusing on the visibility, efficiency and predictability of our engineering team.</w:t>
      </w:r>
    </w:p>
    <w:p>
      <w:pPr>
        <w:spacing w:after="0" w:line="13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Enthusiasm Driven by Our Base of “Fanatic Users.” </w:t>
      </w:r>
      <w:r>
        <w:rPr>
          <w:rFonts w:ascii="Arial" w:cs="Arial" w:eastAsia="Arial" w:hAnsi="Arial"/>
          <w:sz w:val="18"/>
          <w:szCs w:val="18"/>
          <w:color w:val="auto"/>
        </w:rPr>
        <w:t>We have approximately 82,000 “Fanatic Users,” which we define as users with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activities, such as searches, exports, record views, and list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21" w:right="339" w:bottom="1440" w:gutter="0" w:footer="0" w:header="0"/>
        </w:sectPr>
      </w:pPr>
    </w:p>
    <w:bookmarkStart w:id="154" w:name="page155"/>
    <w:bookmarkEnd w:id="15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match requests, among others, on the platform per month, which represents approximately 41% of our paid user base. We believe our Fanatic Users drive viral adoption of our platform through word of mouth amongst the influencer community within sales and marketing and within their organizations. Additionally, we have won new customers through former users that joined a new company and encouraged their new company to become a customer.</w:t>
      </w:r>
    </w:p>
    <w:p>
      <w:pPr>
        <w:spacing w:after="0" w:line="133" w:lineRule="exact"/>
        <w:rPr>
          <w:sz w:val="20"/>
          <w:szCs w:val="20"/>
          <w:color w:val="auto"/>
        </w:rPr>
      </w:pPr>
    </w:p>
    <w:p>
      <w:pPr>
        <w:jc w:val="both"/>
        <w:ind w:left="660" w:hanging="328"/>
        <w:spacing w:after="0" w:line="259"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and Significant Network Effects. </w:t>
      </w:r>
      <w:r>
        <w:rPr>
          <w:rFonts w:ascii="Arial" w:cs="Arial" w:eastAsia="Arial" w:hAnsi="Arial"/>
          <w:sz w:val="18"/>
          <w:szCs w:val="18"/>
          <w:color w:val="auto"/>
        </w:rPr>
        <w:t>Driven by growth in our contributory network, the number of records we receive from our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grown to approximately 50 million per day. As our contributory network grows, so does the data we receive, which drives the accuracy and coverage of the intelligence we provide. This growth in data, and thus go-to-market intelligence, provides greater value to our customers, who benefit with the addition of each incremental user.</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t>
      </w:r>
      <w:r>
        <w:rPr>
          <w:rFonts w:ascii="Arial" w:cs="Arial" w:eastAsia="Arial" w:hAnsi="Arial"/>
          <w:sz w:val="17"/>
          <w:szCs w:val="17"/>
          <w:color w:val="auto"/>
        </w:rPr>
        <w:t>Our co-founder and CEO, Henry Schuck, pioneered the category of go-to-market intelligence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driving force behind our vision, mission, and culture. Our highly talented, customer-centric senior leadership enables us to rapidly develop new products, move more quickly than our competition, and build our fast-paced, execution-oriented culture.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that companies of all sizes and across all industries will invest in go-to-market intelligence systems given the critical role sales and marketing play for all companies, the high ROI that successful adoption can bring, and the requirement for all businesses to keep up with their competitors. As such, we estimate the TAM for our platform to be approximately $24 billion, based on data as of March 31, 2020.</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The aggregate calculated value represents our estimated TAM. Data for numbers of companies by employee count is from our ZoomInfo platform that we have identified as relevant prospects for our platform.</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ACV applied to the specifically identified number of companies by employee size is calculated by leveraging internal company data on current customer spend, which is concentrated on sales and marketing use cases today. For our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drive the growth of our business through the following strategies:</w:t>
      </w:r>
    </w:p>
    <w:p>
      <w:pPr>
        <w:spacing w:after="0" w:line="171" w:lineRule="exact"/>
        <w:rPr>
          <w:sz w:val="20"/>
          <w:szCs w:val="20"/>
          <w:color w:val="auto"/>
        </w:rPr>
      </w:pPr>
    </w:p>
    <w:p>
      <w:pPr>
        <w:jc w:val="both"/>
        <w:ind w:left="660" w:hanging="328"/>
        <w:spacing w:after="0" w:line="279" w:lineRule="auto"/>
        <w:tabs>
          <w:tab w:leader="none" w:pos="655" w:val="left"/>
        </w:tabs>
        <w:numPr>
          <w:ilvl w:val="0"/>
          <w:numId w:val="1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Acquire New Customers. </w:t>
      </w:r>
      <w:r>
        <w:rPr>
          <w:rFonts w:ascii="Arial" w:cs="Arial" w:eastAsia="Arial" w:hAnsi="Arial"/>
          <w:sz w:val="17"/>
          <w:szCs w:val="17"/>
          <w:color w:val="auto"/>
        </w:rPr>
        <w:t>Using the ZoomInfo platform, we have identified over 740,000 global businesses that sell to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and have more than 10 employees, which represent our potential customers. Our current customer base of over 15,000 implies penetration of approximately 2%. We won approximately $101 million of ACV across approximately 5,500 new customers in the year ended December 31, 2019. We plan to continue to acquire new customers with our efficient and scalable go-to-market engine.</w:t>
      </w:r>
    </w:p>
    <w:p>
      <w:pPr>
        <w:spacing w:after="0" w:line="117"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1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Additional High-Value Solutions to Our Existing Customers. </w:t>
      </w:r>
      <w:r>
        <w:rPr>
          <w:rFonts w:ascii="Arial" w:cs="Arial" w:eastAsia="Arial" w:hAnsi="Arial"/>
          <w:sz w:val="16"/>
          <w:szCs w:val="16"/>
          <w:color w:val="auto"/>
        </w:rPr>
        <w:t>We often expand within existing customers as they realize the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our platform and identify opportunities to drive more sales in two ways: customers upgrade their platform or purchase additional services. In the year ended December 31, 2019, customers upgraded their platform or purchased additional services almost 6,000 times.</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Incremental Penetration Within Enterprises. </w:t>
      </w:r>
      <w:r>
        <w:rPr>
          <w:rFonts w:ascii="Arial" w:cs="Arial" w:eastAsia="Arial" w:hAnsi="Arial"/>
          <w:sz w:val="18"/>
          <w:szCs w:val="18"/>
          <w:color w:val="auto"/>
        </w:rPr>
        <w:t>We believe we are underpenetrated in the enterprise market and that, within many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enterprise customers, we have significant room to expand use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21" w:right="339" w:bottom="1440" w:gutter="0" w:footer="0" w:header="0"/>
        </w:sectPr>
      </w:pPr>
    </w:p>
    <w:bookmarkStart w:id="155" w:name="page156"/>
    <w:bookmarkEnd w:id="15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cases and users. We will expand our dedicated enterprise-focused inside sales team to focus our efforts on this opportunity. We already have traction expanding within our larger accounts: our segment of customers with over $100,000 of ACV as of December 31, 2019 experienced 65% ACV growth during the prior 12 months.</w:t>
      </w:r>
    </w:p>
    <w:p>
      <w:pPr>
        <w:spacing w:after="0" w:line="130" w:lineRule="exact"/>
        <w:rPr>
          <w:sz w:val="20"/>
          <w:szCs w:val="20"/>
          <w:color w:val="auto"/>
        </w:rPr>
      </w:pPr>
    </w:p>
    <w:p>
      <w:pPr>
        <w:jc w:val="both"/>
        <w:ind w:left="660" w:hanging="328"/>
        <w:spacing w:after="0" w:line="301" w:lineRule="auto"/>
        <w:tabs>
          <w:tab w:leader="none" w:pos="655" w:val="left"/>
        </w:tabs>
        <w:numPr>
          <w:ilvl w:val="0"/>
          <w:numId w:val="1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Platform for Adjacent Use Cases such as Recruiting. </w:t>
      </w:r>
      <w:r>
        <w:rPr>
          <w:rFonts w:ascii="Arial" w:cs="Arial" w:eastAsia="Arial" w:hAnsi="Arial"/>
          <w:sz w:val="16"/>
          <w:szCs w:val="16"/>
          <w:color w:val="auto"/>
        </w:rPr>
        <w:t>Customers are organically adopting our existing platform for new use cases,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recruiting, investing, market research, compliance and collections. We have a significant opportunity to tune the front end of our platform to create new offerings that squarely meet the needs of these new use cases and expand our TAM. For example, we intend to build our recruiting offering by developing recruiting-specific features, analytics and front-end tools that leverage our existing data, insights and platform.</w:t>
      </w:r>
    </w:p>
    <w:p>
      <w:pPr>
        <w:spacing w:after="0" w:line="103" w:lineRule="exact"/>
        <w:rPr>
          <w:rFonts w:ascii="Arial" w:cs="Arial" w:eastAsia="Arial" w:hAnsi="Arial"/>
          <w:sz w:val="16"/>
          <w:szCs w:val="16"/>
          <w:color w:val="auto"/>
        </w:rPr>
      </w:pPr>
    </w:p>
    <w:p>
      <w:pPr>
        <w:jc w:val="both"/>
        <w:ind w:left="660" w:hanging="328"/>
        <w:spacing w:after="0" w:line="301" w:lineRule="auto"/>
        <w:tabs>
          <w:tab w:leader="none" w:pos="655" w:val="left"/>
        </w:tabs>
        <w:numPr>
          <w:ilvl w:val="0"/>
          <w:numId w:val="1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to International Markets. </w:t>
      </w:r>
      <w:r>
        <w:rPr>
          <w:rFonts w:ascii="Arial" w:cs="Arial" w:eastAsia="Arial" w:hAnsi="Arial"/>
          <w:sz w:val="16"/>
          <w:szCs w:val="16"/>
          <w:color w:val="auto"/>
        </w:rPr>
        <w:t>We believe adoption of sales and marketing intelligence in international markets is still nascent. Our go-to-market efforts are currently focused on the U.S. market with less than 10% of our revenue generated from international customers. We currently profile international businesses; approximately half of the 14 million companies on our platform are headquartered outside the United States. We believe there is a compelling opportunity to bring our offering to more English-speaking countries with minimal platform investment.</w:t>
      </w:r>
    </w:p>
    <w:p>
      <w:pPr>
        <w:spacing w:after="0" w:line="103" w:lineRule="exact"/>
        <w:rPr>
          <w:rFonts w:ascii="Arial" w:cs="Arial" w:eastAsia="Arial" w:hAnsi="Arial"/>
          <w:sz w:val="16"/>
          <w:szCs w:val="16"/>
          <w:color w:val="auto"/>
        </w:rPr>
      </w:pPr>
    </w:p>
    <w:p>
      <w:pPr>
        <w:jc w:val="both"/>
        <w:ind w:left="660" w:hanging="328"/>
        <w:spacing w:after="0" w:line="291" w:lineRule="auto"/>
        <w:tabs>
          <w:tab w:leader="none" w:pos="655" w:val="left"/>
        </w:tabs>
        <w:numPr>
          <w:ilvl w:val="0"/>
          <w:numId w:val="1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 Acquisitions to Complement Our Platform. </w:t>
      </w:r>
      <w:r>
        <w:rPr>
          <w:rFonts w:ascii="Arial" w:cs="Arial" w:eastAsia="Arial" w:hAnsi="Arial"/>
          <w:sz w:val="16"/>
          <w:szCs w:val="16"/>
          <w:color w:val="auto"/>
        </w:rPr>
        <w:t>We will continue to evaluate opportunities to make acquisitions that expand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solve new use cases for customers. We believe we can add significant value to businesses we acquire in three ways: integrating our high-quality data, leveraging our go-to-market infrastructure and selling into our large customer base, which is hungry to further improve their go-to-market motions with additional data-driven technologies. Our management team has deep experience successfully integrating acquisitions, having successfully acquired and integrated six acquisitions, including technology tuck-ins like NeverBounce, which provides email delivery confirmation technology, and Komiko, which provides a unique relationship mapping technology, as well as executing larger-scale transactions, such as DiscoverOrg’s acquisition of RainKing in August 2017 and Pre-Acquisition ZI in February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Today, we sell our ZoomInfo platform. We developed this new platform by combining the best features from the original DiscoverOrg platform and the acquired Pre-Acquisition ZI platform. Certain existing customers continue to renew their subscriptions to the original Pre-Acquisition ZI or DiscoverOrg platform, which we continue to support.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original DiscoverOrg platform provides depth on a limited number of companies, while the Pre-Acquisition ZI platform provides more limited information on a broader set of companies. The combined platform capitalizes on a greater depth of data across a broader set of companies, complemented by additional features and insights not available on the prior platforms.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Functionality</w:t>
      </w:r>
    </w:p>
    <w:p>
      <w:pPr>
        <w:spacing w:after="0" w:line="171"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and Contact Profiles. </w:t>
      </w:r>
      <w:r>
        <w:rPr>
          <w:rFonts w:ascii="Arial" w:cs="Arial" w:eastAsia="Arial" w:hAnsi="Arial"/>
          <w:sz w:val="18"/>
          <w:szCs w:val="18"/>
          <w:color w:val="auto"/>
        </w:rPr>
        <w:t>View consolidated go-to-market intelligence available on companies and contacts.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Dashboard. </w:t>
      </w:r>
      <w:r>
        <w:rPr>
          <w:rFonts w:ascii="Arial" w:cs="Arial" w:eastAsia="Arial" w:hAnsi="Arial"/>
          <w:sz w:val="18"/>
          <w:szCs w:val="18"/>
          <w:color w:val="auto"/>
        </w:rPr>
        <w:t>Customizable landing pages to help users organize workflow around actionable insights.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Search. </w:t>
      </w:r>
      <w:r>
        <w:rPr>
          <w:rFonts w:ascii="Arial" w:cs="Arial" w:eastAsia="Arial" w:hAnsi="Arial"/>
          <w:sz w:val="18"/>
          <w:szCs w:val="18"/>
          <w:color w:val="auto"/>
        </w:rPr>
        <w:t>Use 60+ filters and thousands of keywords and attributes to build hyper-targeted lists of companies, contacts, scoops and intent, or to 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 a single record.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w:t>
      </w:r>
      <w:r>
        <w:rPr>
          <w:rFonts w:ascii="Arial" w:cs="Arial" w:eastAsia="Arial" w:hAnsi="Arial"/>
          <w:sz w:val="18"/>
          <w:szCs w:val="18"/>
          <w:color w:val="auto"/>
        </w:rPr>
        <w:t>Upload first-party company and contact lists, match to our records and fill in data gaps.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Alerts. </w:t>
      </w:r>
      <w:r>
        <w:rPr>
          <w:rFonts w:ascii="Arial" w:cs="Arial" w:eastAsia="Arial" w:hAnsi="Arial"/>
          <w:sz w:val="18"/>
          <w:szCs w:val="18"/>
          <w:color w:val="auto"/>
        </w:rPr>
        <w:t>Get notifications when actionable intel surfaces on a company or contact that a user follows.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Prioritize. </w:t>
      </w:r>
      <w:r>
        <w:rPr>
          <w:rFonts w:ascii="Arial" w:cs="Arial" w:eastAsia="Arial" w:hAnsi="Arial"/>
          <w:sz w:val="18"/>
          <w:szCs w:val="18"/>
          <w:color w:val="auto"/>
        </w:rPr>
        <w:t>Score records on fit, context, and actionable intel based on target profiles.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21" w:right="339" w:bottom="1440" w:gutter="0" w:footer="0" w:header="0"/>
        </w:sectPr>
      </w:pPr>
    </w:p>
    <w:bookmarkStart w:id="156" w:name="page157"/>
    <w:bookmarkEnd w:id="15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Orchestrate. </w:t>
      </w:r>
      <w:r>
        <w:rPr>
          <w:rFonts w:ascii="Arial" w:cs="Arial" w:eastAsia="Arial" w:hAnsi="Arial"/>
          <w:sz w:val="18"/>
          <w:szCs w:val="18"/>
          <w:color w:val="auto"/>
        </w:rPr>
        <w:t>Create custom rules driven by intelligence to automate workflows.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 </w:t>
      </w:r>
      <w:r>
        <w:rPr>
          <w:rFonts w:ascii="Arial" w:cs="Arial" w:eastAsia="Arial" w:hAnsi="Arial"/>
          <w:sz w:val="18"/>
          <w:szCs w:val="18"/>
          <w:color w:val="auto"/>
        </w:rPr>
        <w:t>Connect and export directly to CRM and sales &amp; marketing automation systems and continually update exported records on an ongoing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Identity Resolution. </w:t>
      </w:r>
      <w:r>
        <w:rPr>
          <w:rFonts w:ascii="Arial" w:cs="Arial" w:eastAsia="Arial" w:hAnsi="Arial"/>
          <w:sz w:val="18"/>
          <w:szCs w:val="18"/>
          <w:color w:val="auto"/>
        </w:rPr>
        <w:t>Identify the companies represented by anonymous website visitors.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Email Verification. </w:t>
      </w:r>
      <w:r>
        <w:rPr>
          <w:rFonts w:ascii="Arial" w:cs="Arial" w:eastAsia="Arial" w:hAnsi="Arial"/>
          <w:sz w:val="18"/>
          <w:szCs w:val="18"/>
          <w:color w:val="auto"/>
        </w:rPr>
        <w:t>Verify email addresses before running a campaign to lower bounce rates.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Browser Intelligence. </w:t>
      </w:r>
      <w:r>
        <w:rPr>
          <w:rFonts w:ascii="Arial" w:cs="Arial" w:eastAsia="Arial" w:hAnsi="Arial"/>
          <w:sz w:val="18"/>
          <w:szCs w:val="18"/>
          <w:color w:val="auto"/>
        </w:rPr>
        <w:t>ZoomInfo’s Google Chrome Extension, ReachOut, delivers company and contact intelligence on screen as users 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websites and LinkedIn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82550</wp:posOffset>
            </wp:positionV>
            <wp:extent cx="5349240" cy="27432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4924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Go-to-Market Intelligence</w:t>
      </w:r>
    </w:p>
    <w:p>
      <w:pPr>
        <w:spacing w:after="0" w:line="171"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14 Million Companies. </w:t>
      </w:r>
      <w:r>
        <w:rPr>
          <w:rFonts w:ascii="Arial" w:cs="Arial" w:eastAsia="Arial" w:hAnsi="Arial"/>
          <w:sz w:val="18"/>
          <w:szCs w:val="18"/>
          <w:color w:val="auto"/>
        </w:rPr>
        <w:t>Includes description, location, industry, revenue and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Over 120 Million Contacts. </w:t>
      </w:r>
      <w:r>
        <w:rPr>
          <w:rFonts w:ascii="Arial" w:cs="Arial" w:eastAsia="Arial" w:hAnsi="Arial"/>
          <w:sz w:val="18"/>
          <w:szCs w:val="18"/>
          <w:color w:val="auto"/>
        </w:rPr>
        <w:t>Includes role, location, verified email and direct dial phone numbers.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Scoops. </w:t>
      </w:r>
      <w:r>
        <w:rPr>
          <w:rFonts w:ascii="Arial" w:cs="Arial" w:eastAsia="Arial" w:hAnsi="Arial"/>
          <w:sz w:val="18"/>
          <w:szCs w:val="18"/>
          <w:color w:val="auto"/>
        </w:rPr>
        <w:t>Curated insights, such as personnel moves, pain points or planned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Technologies. </w:t>
      </w:r>
      <w:r>
        <w:rPr>
          <w:rFonts w:ascii="Arial" w:cs="Arial" w:eastAsia="Arial" w:hAnsi="Arial"/>
          <w:sz w:val="18"/>
          <w:szCs w:val="18"/>
          <w:color w:val="auto"/>
        </w:rPr>
        <w:t>The stack of technologies used by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Intent. </w:t>
      </w:r>
      <w:r>
        <w:rPr>
          <w:rFonts w:ascii="Arial" w:cs="Arial" w:eastAsia="Arial" w:hAnsi="Arial"/>
          <w:sz w:val="18"/>
          <w:szCs w:val="18"/>
          <w:color w:val="auto"/>
        </w:rPr>
        <w:t>Reveals companies signaling intent to buy through research on products or related topics.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Attributes. </w:t>
      </w:r>
      <w:r>
        <w:rPr>
          <w:rFonts w:ascii="Arial" w:cs="Arial" w:eastAsia="Arial" w:hAnsi="Arial"/>
          <w:sz w:val="18"/>
          <w:szCs w:val="18"/>
          <w:color w:val="auto"/>
        </w:rPr>
        <w:t>Enables granular targeting on categories of attributes, such as location, job function and company rankings. Examples include: “Has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call center,” “Has a mobile application,” “Has 100+ locations,” and “Has a data scientist.”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Organizational Charts. </w:t>
      </w:r>
      <w:r>
        <w:rPr>
          <w:rFonts w:ascii="Arial" w:cs="Arial" w:eastAsia="Arial" w:hAnsi="Arial"/>
          <w:sz w:val="18"/>
          <w:szCs w:val="18"/>
          <w:color w:val="auto"/>
        </w:rPr>
        <w:t>Displays the organizational hierarchy of a company and helps identify decision makers.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News &amp; Events. </w:t>
      </w:r>
      <w:r>
        <w:rPr>
          <w:rFonts w:ascii="Arial" w:cs="Arial" w:eastAsia="Arial" w:hAnsi="Arial"/>
          <w:sz w:val="18"/>
          <w:szCs w:val="18"/>
          <w:color w:val="auto"/>
        </w:rPr>
        <w:t>Links to relevant news articles and events including press releases.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Corporate Structure and Hierarchy. </w:t>
      </w:r>
      <w:r>
        <w:rPr>
          <w:rFonts w:ascii="Arial" w:cs="Arial" w:eastAsia="Arial" w:hAnsi="Arial"/>
          <w:sz w:val="18"/>
          <w:szCs w:val="18"/>
          <w:color w:val="auto"/>
        </w:rPr>
        <w:t>Illustrates the relationships between parent companies, subsidiaries, and acquisitions.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21" w:right="339" w:bottom="1440" w:gutter="0" w:footer="0" w:header="0"/>
        </w:sectPr>
      </w:pPr>
    </w:p>
    <w:bookmarkStart w:id="157" w:name="page158"/>
    <w:bookmarkEnd w:id="15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Locations. </w:t>
      </w:r>
      <w:r>
        <w:rPr>
          <w:rFonts w:ascii="Arial" w:cs="Arial" w:eastAsia="Arial" w:hAnsi="Arial"/>
          <w:sz w:val="18"/>
          <w:szCs w:val="18"/>
          <w:color w:val="auto"/>
        </w:rPr>
        <w:t>Identifies all known company sites and contacts located at each location.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Funding and Acquisition Announcements. </w:t>
      </w:r>
      <w:r>
        <w:rPr>
          <w:rFonts w:ascii="Arial" w:cs="Arial" w:eastAsia="Arial" w:hAnsi="Arial"/>
          <w:sz w:val="18"/>
          <w:szCs w:val="18"/>
          <w:color w:val="auto"/>
        </w:rPr>
        <w:t>Timely alerts on funding rounds and merger and acquisition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four editions: Elite, Advance, Professional, and Community, ranging from the most complete functionality to the least.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Incremental to these editions, customers can benefit from additional functionality through add-ons or standalone products that serve a specific business need. Select examples of these include:</w:t>
      </w:r>
    </w:p>
    <w:p>
      <w:pPr>
        <w:spacing w:after="0" w:line="116" w:lineRule="exact"/>
        <w:rPr>
          <w:sz w:val="20"/>
          <w:szCs w:val="20"/>
          <w:color w:val="auto"/>
        </w:rPr>
      </w:pPr>
    </w:p>
    <w:p>
      <w:pPr>
        <w:jc w:val="both"/>
        <w:ind w:left="660" w:hanging="328"/>
        <w:spacing w:after="0" w:line="311" w:lineRule="auto"/>
        <w:tabs>
          <w:tab w:leader="none" w:pos="655" w:val="left"/>
        </w:tabs>
        <w:numPr>
          <w:ilvl w:val="0"/>
          <w:numId w:val="1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Record Subscriptions. </w:t>
      </w:r>
      <w:r>
        <w:rPr>
          <w:rFonts w:ascii="Arial" w:cs="Arial" w:eastAsia="Arial" w:hAnsi="Arial"/>
          <w:sz w:val="16"/>
          <w:szCs w:val="16"/>
          <w:color w:val="auto"/>
        </w:rPr>
        <w:t>Each product edition comes with an allowable number of records per user sufficient for typical sales use cases.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Records are contact or company information that is exported from the ZoomInfo platform via an integration or to Excel. When a customer is using the platform for more data-intensive use cases, the customer can purchase additional record subscriptions typically sold on a 12-month term.</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European Dataset. </w:t>
      </w:r>
      <w:r>
        <w:rPr>
          <w:rFonts w:ascii="Arial" w:cs="Arial" w:eastAsia="Arial" w:hAnsi="Arial"/>
          <w:sz w:val="18"/>
          <w:szCs w:val="18"/>
          <w:color w:val="auto"/>
        </w:rPr>
        <w:t>Gain access to contact and other data for businesses throughout Europe.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Enrich. </w:t>
      </w:r>
      <w:r>
        <w:rPr>
          <w:rFonts w:ascii="Arial" w:cs="Arial" w:eastAsia="Arial" w:hAnsi="Arial"/>
          <w:sz w:val="18"/>
          <w:szCs w:val="18"/>
          <w:color w:val="auto"/>
        </w:rPr>
        <w:t>Fills in data gaps and maintains the accuracy and completeness of data in customers’ go-to-market systems. Automatically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cleans and appends new records generated in these go-to-market systems, in real time.</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Engage. </w:t>
      </w:r>
      <w:r>
        <w:rPr>
          <w:rFonts w:ascii="Arial" w:cs="Arial" w:eastAsia="Arial" w:hAnsi="Arial"/>
          <w:sz w:val="17"/>
          <w:szCs w:val="17"/>
          <w:color w:val="auto"/>
        </w:rPr>
        <w:t>A sales engagement solution that enables direct outreach to prospects and customers. Functionality includes a dialer, email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orchestration and templates, chat, custom multi-touch engagement sequences and activity syncing with go-to-market systems.</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InboxAI. </w:t>
      </w:r>
      <w:r>
        <w:rPr>
          <w:rFonts w:ascii="Arial" w:cs="Arial" w:eastAsia="Arial" w:hAnsi="Arial"/>
          <w:sz w:val="18"/>
          <w:szCs w:val="18"/>
          <w:color w:val="auto"/>
        </w:rPr>
        <w:t>Mines email and calendar systems for contacts and activity, automatically synchronizing them with Salesforce. It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generates AI-powered insights and recommendations to help teams manage opportunities and renewals.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Compliance </w:t>
      </w:r>
      <w:r>
        <w:rPr>
          <w:rFonts w:ascii="Arial" w:cs="Arial" w:eastAsia="Arial" w:hAnsi="Arial"/>
          <w:sz w:val="18"/>
          <w:szCs w:val="18"/>
          <w:color w:val="auto"/>
        </w:rPr>
        <w:t>API. Helps customers identify pertinent information, such as physical locations and other known aliases, for opt-out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pricing is based on the edition, number of users and add-on functionality of our platform that is purchased.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platform is architected and built to be innovative, scalable, reliable and secure. Our platform is a multi-tenant, single code-based, globally available SaaS delivered through web browsers or mobile applications. The architecture, design, deployment and management of our platform are centered on the following areas:</w:t>
      </w:r>
    </w:p>
    <w:p>
      <w:pPr>
        <w:spacing w:after="0" w:line="130" w:lineRule="exact"/>
        <w:rPr>
          <w:sz w:val="20"/>
          <w:szCs w:val="20"/>
          <w:color w:val="auto"/>
        </w:rPr>
      </w:pPr>
    </w:p>
    <w:p>
      <w:pPr>
        <w:jc w:val="both"/>
        <w:ind w:left="660" w:hanging="328"/>
        <w:spacing w:after="0" w:line="259"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Innovation. </w:t>
      </w:r>
      <w:r>
        <w:rPr>
          <w:rFonts w:ascii="Arial" w:cs="Arial" w:eastAsia="Arial" w:hAnsi="Arial"/>
          <w:sz w:val="18"/>
          <w:szCs w:val="18"/>
          <w:color w:val="auto"/>
        </w:rPr>
        <w:t>We foster an innovative, fast-paced engineering culture that enabled the release of 112 product features and services in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 new platform bringing together the best features and intelligence of DiscoverOrg and Pre-Acquisition ZI into a single offering. Our team often delivers new features in less than two weeks and fixes many deficiencies in our platform in under an hour. We deliver this speed by relentlessly focusing on the visibility, efficiency and predictability of our engineering team.</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By leveraging leading cloud infrastructure providers, including the Google Cloud Platform, Amazon Web Services and Microsoft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Azure, along with our automated technology stack, we are able to scale workloads of varying sizes at any time. This allows us to process billions of data points each day from millions of data sources in our proprietary data engine.</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Reliability. </w:t>
      </w:r>
      <w:r>
        <w:rPr>
          <w:rFonts w:ascii="Arial" w:cs="Arial" w:eastAsia="Arial" w:hAnsi="Arial"/>
          <w:sz w:val="16"/>
          <w:szCs w:val="16"/>
          <w:color w:val="auto"/>
        </w:rPr>
        <w:t>Each of our application components is deployed redundantly across multiple data centers, and most of our software today runs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leading cloud infrastructure platform that provides automatic recovery from failures and auto-scaling to handle load spikes. We have also taken the first steps toward providing redundancy for cloud provider failures across our most critical applications. Employing these and many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21" w:right="339" w:bottom="1440" w:gutter="0" w:footer="0" w:header="0"/>
        </w:sectPr>
      </w:pPr>
    </w:p>
    <w:bookmarkStart w:id="158" w:name="page159"/>
    <w:bookmarkEnd w:id="15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strategies, we have achieved 99.99% uptime for the ZoomInfo platform from its launch to March 31, 2020.</w:t>
      </w:r>
    </w:p>
    <w:p>
      <w:pPr>
        <w:spacing w:after="0" w:line="171" w:lineRule="exact"/>
        <w:rPr>
          <w:sz w:val="20"/>
          <w:szCs w:val="20"/>
          <w:color w:val="auto"/>
        </w:rPr>
      </w:pPr>
    </w:p>
    <w:p>
      <w:pPr>
        <w:ind w:left="660" w:hanging="328"/>
        <w:spacing w:after="0" w:line="277"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w:t>
      </w:r>
      <w:r>
        <w:rPr>
          <w:rFonts w:ascii="Arial" w:cs="Arial" w:eastAsia="Arial" w:hAnsi="Arial"/>
          <w:sz w:val="18"/>
          <w:szCs w:val="18"/>
          <w:color w:val="auto"/>
        </w:rPr>
        <w:t>We encrypt all traffic, employ Zero Trust authentication wherever feasible, scan our code and dependencies for vulnerabilities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undergo regular pen-testing. In addition, all user passwords are centrally managed.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our integrations with our customers’ CRM and sales &amp; marketing automation systems are enabled by 11 out-of-the-box integrations, along with webhooks and custom code-run so any customer can build their own export functionality. In addition, customers can use the ZoomInfo API to build customized solutions within their existing workflows. The combination of the out-of-the-box features and integrations, enterprise-level API and webhooks give our customers the ability to build any logic, in any place.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large and diversified customer base consists of over 15,000 customers spanning a wide variety of industry verticals, including software, business services, manufacturing, telecommunications, financial services, media and internet, transportation, education, hospitality, and real estate. Our customers range from the largest global enterprises, to mid-market companies, down to small businesses. As of March 31, 2020, we had over 630 customers with more than $100,000 of ACV, with 15 customers spend over $1,000,000 in ACV annually. No single customer contributed more than 1% of revenue.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case studies below illustrate the results our customers have achieved by using our platform.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(1,000 or more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DocuSign</w:t>
      </w:r>
    </w:p>
    <w:p>
      <w:pPr>
        <w:spacing w:after="0" w:line="171" w:lineRule="exact"/>
        <w:rPr>
          <w:sz w:val="20"/>
          <w:szCs w:val="20"/>
          <w:color w:val="auto"/>
        </w:rPr>
      </w:pPr>
    </w:p>
    <w:p>
      <w:pPr>
        <w:jc w:val="both"/>
        <w:ind w:left="660" w:hanging="328"/>
        <w:spacing w:after="0" w:line="259"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Description. </w:t>
      </w:r>
      <w:r>
        <w:rPr>
          <w:rFonts w:ascii="Arial" w:cs="Arial" w:eastAsia="Arial" w:hAnsi="Arial"/>
          <w:sz w:val="18"/>
          <w:szCs w:val="18"/>
          <w:color w:val="auto"/>
        </w:rPr>
        <w:t>DocuSign helps organizations connect and automate how they prepare, sign, act on, and manage agreements. As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DocuSign Agreement Cloud, DocuSign offers eSignature: the world’s number one way to sign electronically on practically any device, from almost anywhere, at any time. Today, more than 500,000 customers and hundreds of millions of users in over 180 countries use DocuSign to accelerate the process of doing business and to simplify people’s lives.</w:t>
      </w:r>
    </w:p>
    <w:p>
      <w:pPr>
        <w:spacing w:after="0" w:line="132"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DocuSign was seeking to increase the efficiency and effectiveness of its inbound and outbound pipeline generation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selling activities. DocuSign saw process improvement opportunities in the following three areas: (1) market development representatives (“MDRs”) were spending a significant amount of time each week searching for contacts and manually entering them into their CRM system; (2) sellers needed information and insights on buyers (including leaders from other departments and business units); and (3) inbound leads from web forms often contained incomplete or inaccurate information making follow-ups challenging and unproductive.</w:t>
      </w:r>
    </w:p>
    <w:p>
      <w:pPr>
        <w:spacing w:after="0" w:line="12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Since implementing ZoomInfo, DocuSign can automatically find and add contacts to target accounts in Salesforce, gain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 insight on buyers across departments and functions, and access phone and email contact information easily. DocuSign can also enrich inbound leads with additional intelligence, giving its sales team a more complete profile of the lead before they engage.</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Impact. </w:t>
      </w:r>
      <w:r>
        <w:rPr>
          <w:rFonts w:ascii="Arial" w:cs="Arial" w:eastAsia="Arial" w:hAnsi="Arial"/>
          <w:sz w:val="18"/>
          <w:szCs w:val="18"/>
          <w:color w:val="auto"/>
        </w:rPr>
        <w:t>With ZoomInfo, DocuSign MDRs spend less time on research and data entry, and the marketing email bounce rate has dropped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over 10%. The Data Ops team has delivered more contacts to the sales team, leading to more closed deals across a broader product portfolio. Overall, ZoomInfo has made DocuSign’s sales and marketing teams more productive and effective, and it has become a foundational element in the outbound sales motion.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SAP</w:t>
      </w:r>
    </w:p>
    <w:p>
      <w:pPr>
        <w:spacing w:after="0" w:line="171"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Description. </w:t>
      </w:r>
      <w:r>
        <w:rPr>
          <w:rFonts w:ascii="Arial" w:cs="Arial" w:eastAsia="Arial" w:hAnsi="Arial"/>
          <w:sz w:val="18"/>
          <w:szCs w:val="18"/>
          <w:color w:val="auto"/>
        </w:rPr>
        <w:t>SAP is a leading provider of enterprise application software, analytics, and business intelligence.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153</w:t>
      </w:r>
    </w:p>
    <w:p>
      <w:pPr>
        <w:sectPr>
          <w:pgSz w:w="11900" w:h="16838" w:orient="portrait"/>
          <w:cols w:equalWidth="0" w:num="1">
            <w:col w:w="11240"/>
          </w:cols>
          <w:pgMar w:left="320" w:top="121" w:right="339" w:bottom="1440" w:gutter="0" w:footer="0" w:header="0"/>
        </w:sectPr>
      </w:pPr>
    </w:p>
    <w:bookmarkStart w:id="159" w:name="page160"/>
    <w:bookmarkEnd w:id="15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60" w:hanging="328"/>
        <w:spacing w:after="0" w:line="263"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Problem. </w:t>
      </w:r>
      <w:r>
        <w:rPr>
          <w:rFonts w:ascii="Arial" w:cs="Arial" w:eastAsia="Arial" w:hAnsi="Arial"/>
          <w:sz w:val="18"/>
          <w:szCs w:val="18"/>
          <w:color w:val="auto"/>
        </w:rPr>
        <w:t>SAP has increased focus on growing its cloud business, which has led to an increased focus on selling to medium-sized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For SAP to accelerate its cloud go-to-market, the sales team needed an intelligence platform with reliable business contact information to identify and connect with prospects.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Solution. </w:t>
      </w:r>
      <w:r>
        <w:rPr>
          <w:rFonts w:ascii="Arial" w:cs="Arial" w:eastAsia="Arial" w:hAnsi="Arial"/>
          <w:sz w:val="18"/>
          <w:szCs w:val="18"/>
          <w:color w:val="auto"/>
        </w:rPr>
        <w:t>SAP adopted the ZoomInfo platform to help its sales team grow the cloud business. The sales team uses the ZoomInfo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help manage sales territories, organize and route leads using ZoomInfo’s advanced filtering capabilities, and enable its sales representatives to conduct outreach with a sophisticated level of personalization.</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Impact. </w:t>
      </w:r>
      <w:r>
        <w:rPr>
          <w:rFonts w:ascii="Arial" w:cs="Arial" w:eastAsia="Arial" w:hAnsi="Arial"/>
          <w:sz w:val="18"/>
          <w:szCs w:val="18"/>
          <w:color w:val="auto"/>
        </w:rPr>
        <w:t>The ZoomInfo platform enabled SAP to expedite and streamline its outbound sales process, provide the right leads to the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representatives, and continue growing the cloud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Zoom Video Communications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Description. </w:t>
      </w:r>
      <w:r>
        <w:rPr>
          <w:rFonts w:ascii="Arial" w:cs="Arial" w:eastAsia="Arial" w:hAnsi="Arial"/>
          <w:sz w:val="18"/>
          <w:szCs w:val="18"/>
          <w:color w:val="auto"/>
        </w:rPr>
        <w:t>Zoom Video Communications (“Zoom Video”) is the leader in enterprise video communications with a reliable, easy-to-use, cloud-based platform for video and audio conferencing, voice, chat, and content-sharing across mobile devices, desktops, telephones, and room systems.</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Problem. </w:t>
      </w:r>
      <w:r>
        <w:rPr>
          <w:rFonts w:ascii="Arial" w:cs="Arial" w:eastAsia="Arial" w:hAnsi="Arial"/>
          <w:sz w:val="18"/>
          <w:szCs w:val="18"/>
          <w:color w:val="auto"/>
        </w:rPr>
        <w:t>Tasked with aggressive revenue growth targets, the Zoom Video sales team tried to increase penetration of target accounts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their influence within these accounts. This was challenging to do without key details on decision-makers, organizational hierarchy, and information on real-time needs of the target accounts. Zoom Video looked for a solution that would help them identify the right people in the right departments with technology needs to increase penetration and expansion.</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Solution. </w:t>
      </w:r>
      <w:r>
        <w:rPr>
          <w:rFonts w:ascii="Arial" w:cs="Arial" w:eastAsia="Arial" w:hAnsi="Arial"/>
          <w:sz w:val="18"/>
          <w:szCs w:val="18"/>
          <w:color w:val="auto"/>
        </w:rPr>
        <w:t>Zoom Video chose the ZoomInfo platform for the level of depth and granularity of the data as well as real time insights.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the ZoomInfo platform, Zoom Video is able to identify the right people in the right department with minimal effort, build a strong pipeline, get real-time insights, and close deals more quickly.</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Impact. </w:t>
      </w:r>
      <w:r>
        <w:rPr>
          <w:rFonts w:ascii="Arial" w:cs="Arial" w:eastAsia="Arial" w:hAnsi="Arial"/>
          <w:sz w:val="18"/>
          <w:szCs w:val="18"/>
          <w:color w:val="auto"/>
        </w:rPr>
        <w:t>Within the first year that Zoom Video deployed ZoomInfo, Zoom Video’s revenue grew by 300%. ZoomInfo has become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essential tool for Zoom Video’s sales representatives to penetrate new and international markets, and today 90% of the Zoom Video sales team uses the ZoomInfo platform. Within the first year of deployment, Zoom Video increased its number of ZoomInfo licenses by 1,050%, and today licenses are up by 5,900% since the first deployment.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Mid-Market (100 to 999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Brainshark</w:t>
      </w:r>
    </w:p>
    <w:p>
      <w:pPr>
        <w:spacing w:after="0" w:line="171" w:lineRule="exact"/>
        <w:rPr>
          <w:sz w:val="20"/>
          <w:szCs w:val="20"/>
          <w:color w:val="auto"/>
        </w:rPr>
      </w:pPr>
    </w:p>
    <w:p>
      <w:pPr>
        <w:ind w:left="66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Description. </w:t>
      </w:r>
      <w:r>
        <w:rPr>
          <w:rFonts w:ascii="Arial" w:cs="Arial" w:eastAsia="Arial" w:hAnsi="Arial"/>
          <w:sz w:val="18"/>
          <w:szCs w:val="18"/>
          <w:color w:val="auto"/>
        </w:rPr>
        <w:t>Founded in 1999, Brainshark provides a data-driven sales readiness platform that helps companies improve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with solutions for content authoring, training, coaching, scorecards, and more.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The Brainshark marketing team spent a lot of time and effort on generating leads for the sales team, but the leads came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incomplete and inaccurate information. As a result, the sales team needed to spend a lot of time researching contact and background information. Since the sales team did not have access to direct dial phone numbers, its connect rates suffered. Furthermore, the marketing team did not have a full picture of prospects to allow it to effectively fuel the sales funnel with new, targeted contacts.</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Solution. </w:t>
      </w:r>
      <w:r>
        <w:rPr>
          <w:rFonts w:ascii="Arial" w:cs="Arial" w:eastAsia="Arial" w:hAnsi="Arial"/>
          <w:sz w:val="18"/>
          <w:szCs w:val="18"/>
          <w:color w:val="auto"/>
        </w:rPr>
        <w:t>The ZoomInfo platform provided a self-service portal and CRM and marketing automation integration which became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integral part of Brainshark’s strategy. Using ZoomInfo, the Brainshark marketing team was able to append the missing pieces of data onto the leads before passing them to sales. Brainshark is also able to build out targeted campaigns based on its buyer personas and refresh contacts, as well as fuel its funnel with new targeted contacts on a regular basis.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21" w:right="339" w:bottom="1440" w:gutter="0" w:footer="0" w:header="0"/>
        </w:sectPr>
      </w:pPr>
    </w:p>
    <w:bookmarkStart w:id="160" w:name="page161"/>
    <w:bookmarkEnd w:id="16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60" w:hanging="328"/>
        <w:spacing w:after="0" w:line="311" w:lineRule="auto"/>
        <w:tabs>
          <w:tab w:leader="none" w:pos="655" w:val="left"/>
        </w:tabs>
        <w:numPr>
          <w:ilvl w:val="0"/>
          <w:numId w:val="1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Customer Impact. </w:t>
      </w:r>
      <w:r>
        <w:rPr>
          <w:rFonts w:ascii="Arial" w:cs="Arial" w:eastAsia="Arial" w:hAnsi="Arial"/>
          <w:sz w:val="16"/>
          <w:szCs w:val="16"/>
          <w:color w:val="auto"/>
        </w:rPr>
        <w:t>Since partnering with ZoomInfo, Brainshark’s revenue generation process evolved into a robust and dynamic system where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is constantly being refreshed, allowing the sales force to go after the right prospects with the most accurate information at their disposal. As a result, Brainshark has been able to shorten lead follow-up, reaching decision makers four times faster and boosting connect rates by 30%.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Novo Group</w:t>
      </w:r>
    </w:p>
    <w:p>
      <w:pPr>
        <w:spacing w:after="0" w:line="171" w:lineRule="exact"/>
        <w:rPr>
          <w:sz w:val="20"/>
          <w:szCs w:val="20"/>
          <w:color w:val="auto"/>
        </w:rPr>
      </w:pPr>
    </w:p>
    <w:p>
      <w:pPr>
        <w:jc w:val="both"/>
        <w:ind w:left="660" w:hanging="328"/>
        <w:spacing w:after="0" w:line="263"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Description. </w:t>
      </w:r>
      <w:r>
        <w:rPr>
          <w:rFonts w:ascii="Arial" w:cs="Arial" w:eastAsia="Arial" w:hAnsi="Arial"/>
          <w:sz w:val="18"/>
          <w:szCs w:val="18"/>
          <w:color w:val="auto"/>
        </w:rPr>
        <w:t>Novo Group (“Novo”) offers talent acquisition solutions such as candidate pipelining and sourcing, recruiting project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and fully outsourced recruitment programs. Novo also offers assessment tools, coaching, talent development, and organizational effectiveness consulting.</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Problem. </w:t>
      </w:r>
      <w:r>
        <w:rPr>
          <w:rFonts w:ascii="Arial" w:cs="Arial" w:eastAsia="Arial" w:hAnsi="Arial"/>
          <w:sz w:val="18"/>
          <w:szCs w:val="18"/>
          <w:color w:val="auto"/>
        </w:rPr>
        <w:t>Novo’s recruiters spent large amounts of time looking through countless sources in order to identify passive candidates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 contact information and market intelligence that was up-to-date and reliable. Novo had difficulty efficiently finding the information that it needed to maintain its industry leading passive candidate fill rate. In an effort to maximize operational efficiencies, Novo sought to find a partner that would help streamline its candidate sourcing and market research efforts.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Solution. </w:t>
      </w:r>
      <w:r>
        <w:rPr>
          <w:rFonts w:ascii="Arial" w:cs="Arial" w:eastAsia="Arial" w:hAnsi="Arial"/>
          <w:sz w:val="18"/>
          <w:szCs w:val="18"/>
          <w:color w:val="auto"/>
        </w:rPr>
        <w:t>Novo uses the ZoomInfo platform to continuously identify passive candidates and obtain contact information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career data, and market intelligence. Novo chose ZoomInfo to allow it to better leverage its existing resources to maintain its reputation and passive candidate fill rate across all the industries and clients it serves.</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Impact. </w:t>
      </w:r>
      <w:r>
        <w:rPr>
          <w:rFonts w:ascii="Arial" w:cs="Arial" w:eastAsia="Arial" w:hAnsi="Arial"/>
          <w:sz w:val="18"/>
          <w:szCs w:val="18"/>
          <w:color w:val="auto"/>
        </w:rPr>
        <w:t>Novo saw almost immediate improved efficiencies since partnering with ZoomInfo. ZoomInfo’s industry information,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and contact information is readily available and more accurate and up-to-date than what other sources provide. Novo bolstered its talent pipeline with over 2,000 new candidates identified in only four months. A portion of the new candidates filled positions within months of being identified, as well.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Businesses (10 to 99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Deal IQ</w:t>
      </w:r>
    </w:p>
    <w:p>
      <w:pPr>
        <w:spacing w:after="0" w:line="171" w:lineRule="exact"/>
        <w:rPr>
          <w:sz w:val="20"/>
          <w:szCs w:val="20"/>
          <w:color w:val="auto"/>
        </w:rPr>
      </w:pPr>
    </w:p>
    <w:p>
      <w:pPr>
        <w:jc w:val="both"/>
        <w:ind w:left="660" w:hanging="328"/>
        <w:spacing w:after="0" w:line="263"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Description. </w:t>
      </w:r>
      <w:r>
        <w:rPr>
          <w:rFonts w:ascii="Arial" w:cs="Arial" w:eastAsia="Arial" w:hAnsi="Arial"/>
          <w:sz w:val="18"/>
          <w:szCs w:val="18"/>
          <w:color w:val="auto"/>
        </w:rPr>
        <w:t>Deal IQ is a Toronto-based purchase process consultation company that delivers cost savings and visibility into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pricing negotiations for businesses of all sizes. Leveraging process knowledge and negotiation skills, Deal IQ conducts high-profile negotiations for technology purchases on behalf of its clients including the world’s leading brands.</w:t>
      </w:r>
    </w:p>
    <w:p>
      <w:pPr>
        <w:spacing w:after="0" w:line="129"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Because Deal IQ offers solution for purchase and pricing negotiations, the ability to correctly identify potential new clients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right time - just as they prepare to acquire new technology—was absolutely crucial to its success—so was the ability to engage key decision makers. With its sales representatives spending hours to manually identify opportunities and losing out on countless other deals in the process, Deal IQ was looking for ways to identify target customers at the right time, and pinpoint the right decision makers.</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Solution. </w:t>
      </w:r>
      <w:r>
        <w:rPr>
          <w:rFonts w:ascii="Arial" w:cs="Arial" w:eastAsia="Arial" w:hAnsi="Arial"/>
          <w:sz w:val="18"/>
          <w:szCs w:val="18"/>
          <w:color w:val="auto"/>
        </w:rPr>
        <w:t>Deal IQ uses the ZoomInfo platform to gain access to a suite of powerful search and targeting tools and up-to-date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prospecting data. Through alerts and scoops, Deal IQ monitors buying signals of potential clients such as a request-for-proposal or an increased research time into a particular solution. Leveraging the reliable, accurate contact data and organization charts, Deal IQ pinpoints the right decision makers and engages them at the right time in their buying journey.</w:t>
      </w:r>
    </w:p>
    <w:p>
      <w:pPr>
        <w:spacing w:after="0" w:line="132"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Since partnering with ZoomInfo, Deal IQ saw not only time savings for sales representatives, but also significant improvement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their key performance indicators. With automated search and alerts and scoops, one sales team has saved over 28 hours of productivity each week, which had previously been spent on manual research for potential clients. More importantly, Deal IQ has increased its client portfolio by six times, its number of C-Suite meetings by eight times, and annual revenue by more than 1,900%.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21" w:right="339" w:bottom="1440" w:gutter="0" w:footer="0" w:header="0"/>
        </w:sectPr>
      </w:pPr>
    </w:p>
    <w:bookmarkStart w:id="161" w:name="page162"/>
    <w:bookmarkEnd w:id="16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TTN Fleet Solutions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Description. </w:t>
      </w:r>
      <w:r>
        <w:rPr>
          <w:rFonts w:ascii="Arial" w:cs="Arial" w:eastAsia="Arial" w:hAnsi="Arial"/>
          <w:sz w:val="18"/>
          <w:szCs w:val="18"/>
          <w:color w:val="auto"/>
        </w:rPr>
        <w:t>TTN Fleet Solutions (“TTN”) offers transportation maintenance solutions in the U.S. and Canada. TTN has managed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million breakdowns for fleets in the trucking industry and has built an over 80,000 vendor network covering North America 24/7, 365 days a year.</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Problem. </w:t>
      </w:r>
      <w:r>
        <w:rPr>
          <w:rFonts w:ascii="Arial" w:cs="Arial" w:eastAsia="Arial" w:hAnsi="Arial"/>
          <w:sz w:val="18"/>
          <w:szCs w:val="18"/>
          <w:color w:val="auto"/>
        </w:rPr>
        <w:t>TTN needed to build a sales and marketing team from the ground up. One major challenge it faced was finding accurate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 and contact information for companies in the trucking industry. TTN had tried multiple data providers, but kept running into the same issue of outdated and unreliable data, causing sales representatives to be bounced from department to department at prospects, asking ‘Who oversees your fleet maintenance?’ The sales team was wasting time and lost confidence.</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Solution. </w:t>
      </w:r>
      <w:r>
        <w:rPr>
          <w:rFonts w:ascii="Arial" w:cs="Arial" w:eastAsia="Arial" w:hAnsi="Arial"/>
          <w:sz w:val="18"/>
          <w:szCs w:val="18"/>
          <w:color w:val="auto"/>
        </w:rPr>
        <w:t>ZoomInfo empowered TTN to easily narrow down its target market, accurately locate key decision makers and contact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at key accounts and gain an understanding of their corporate hierarchies. Beyond direct dials and email addresses, ZoomInfo provides comprehensive information on prospects that allows TTN to be much more confident and personal in outreaches. The solution quickly gained credibility with the marketing and sales teams.</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Impact. </w:t>
      </w:r>
      <w:r>
        <w:rPr>
          <w:rFonts w:ascii="Arial" w:cs="Arial" w:eastAsia="Arial" w:hAnsi="Arial"/>
          <w:sz w:val="18"/>
          <w:szCs w:val="18"/>
          <w:color w:val="auto"/>
        </w:rPr>
        <w:t>ZoomInfo transformed TTN’s cold calls into ‘purposed calls.’ The sales team is able to make connections with the right people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have engaging and valuable conversations. In the first few months of using ZoomInfo, TTN not only increased the number of meetings booked by over 61%, but also shortened its sales cycle from 22 to 13 days. With qualified contact leads fueling its sales team, TTN projected a 35% increase in revenue for 2019, largely in part to ZoomInfo.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Go-to-Market Strategy</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built an extremely efficient go-to-market engine. We have integrated our insights and data into an automated engine with defined processes and specialized roles in order to market and sell our services.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go-to-market motion starts with our high-velocity marketing engine driven by the marketing team. From development to execution and to measurement, we use the ZoomInfo platform as the foundation for our entire marketing strategy, and we utilize data and intelligence from our platform to generate high lead volumes and maximize effectiveness of our marketing programs.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a new lead comes in, it is first passed through our proprietary algorithms and scored before being passed to our inbound team. Only high-quality leads, determined by the fit, the likelihood of a win, and the dollar amount associated with the win are passed onto the sales development representatives (“SDRs”). SDRs typically follow up with inbound leads in three minutes or less to set up a demo.</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Once a prospect agrees to a demo, we use our proprietary algorithms to select the account executive (“AE”), who is most likely to close a deal with that particular prospect based on attributes such as company size, industry, number of sales professionals, and the go-to-market technologies the prospect uses. We empower our AEs with the ZoomInfo platform by giving them a 360-degree view on the prospect so AEs know what and how to pitch.</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our outbound motion, we leverage our AI Ideal Customer Profile feature to identify companies that have similar characteristics to our best customers. We also feed actionable insights into our data lake and use these insights to prioritize targets for outbound team. In 2019, nearly 40% of all attributable new sales were generated from outbound sales motions.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unique hiring strategy and sales development plan support these inbound and outbound sales teams and allow us to achieve high velocity to value. We have dedicated onboarding, role specialization, goal setting and performance tracking systems, and as a result, we empower our employees right out of college to generate value under three weeks, and enable them to grow into more complex, high value roles.</w:t>
      </w:r>
    </w:p>
    <w:p>
      <w:pPr>
        <w:spacing w:after="0" w:line="11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a result of all of our go-to-market processes, we have achieved a median sales cycle of less than 30 days from opportunity creation to close and an average LTV to CAC of over 10x in the year ended December 31, 2019. We are also able to drive same-day close on many opportunities.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21" w:right="339" w:bottom="1440" w:gutter="0" w:footer="0" w:header="0"/>
        </w:sectPr>
      </w:pPr>
    </w:p>
    <w:bookmarkStart w:id="162" w:name="page163"/>
    <w:bookmarkEnd w:id="16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Once an AE closes business, the account gets passed to the learning and development team, who is responsible for onboarding and training new customers. Once on board, the customer success team is responsible for maintaining the account health score, which we define based on the usage of the platform. Finally, our team of account managers is responsible for ACV expansion and renewal. Using our platform, account managers expand their footprint within existing customers that have significant potential to grow their relationship with us. In 2019 our net annual retention rate increased to 109% from 102%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Culture, and Values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mission is to unlock actionable business information and insights to make organizations more successful. The values we live and work by build the foundation for our award-winning culture.</w:t>
      </w:r>
    </w:p>
    <w:p>
      <w:pPr>
        <w:spacing w:after="0" w:line="116"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Winning…Is What Drives Us. </w:t>
      </w:r>
      <w:r>
        <w:rPr>
          <w:rFonts w:ascii="Arial" w:cs="Arial" w:eastAsia="Arial" w:hAnsi="Arial"/>
          <w:sz w:val="16"/>
          <w:szCs w:val="16"/>
          <w:color w:val="auto"/>
        </w:rPr>
        <w:t>We’re focused on stretch goals that we feel good about, and are laser-focused to blow those marks out of the water.</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Rapidly Innovate. </w:t>
      </w:r>
      <w:r>
        <w:rPr>
          <w:rFonts w:ascii="Arial" w:cs="Arial" w:eastAsia="Arial" w:hAnsi="Arial"/>
          <w:sz w:val="18"/>
          <w:szCs w:val="18"/>
          <w:color w:val="auto"/>
        </w:rPr>
        <w:t>We believe in challenging the status quo and refuse to stand by the words “that’s the way it has always been done.” We 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to see what is the most innovative, efficient, and effective way each and every day.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100% Results Driven. </w:t>
      </w:r>
      <w:r>
        <w:rPr>
          <w:rFonts w:ascii="Arial" w:cs="Arial" w:eastAsia="Arial" w:hAnsi="Arial"/>
          <w:sz w:val="18"/>
          <w:szCs w:val="18"/>
          <w:color w:val="auto"/>
        </w:rPr>
        <w:t>We face obstacles head on and collaborate to overcome them.</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Like to Feel Uncomfortable. </w:t>
      </w:r>
      <w:r>
        <w:rPr>
          <w:rFonts w:ascii="Arial" w:cs="Arial" w:eastAsia="Arial" w:hAnsi="Arial"/>
          <w:sz w:val="18"/>
          <w:szCs w:val="18"/>
          <w:color w:val="auto"/>
        </w:rPr>
        <w:t>If we’re not uncomfortable, we’re not getting better. Discomfort is key to change, change is key to progress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progress is the key to winning.</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Define New Possibles. </w:t>
      </w:r>
      <w:r>
        <w:rPr>
          <w:rFonts w:ascii="Arial" w:cs="Arial" w:eastAsia="Arial" w:hAnsi="Arial"/>
          <w:sz w:val="18"/>
          <w:szCs w:val="18"/>
          <w:color w:val="auto"/>
        </w:rPr>
        <w:t>We don’t just meet our goals, we take pride in going above and beyond whatever the goal may be. And we are always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raising the bar.</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wholeheartedly that our employees love working here and like coming to work because they feel that they’re working towards a larger mission. Our employee culture is showcased by the following notable distinctions:</w:t>
      </w:r>
    </w:p>
    <w:p>
      <w:pPr>
        <w:spacing w:after="0" w:line="116" w:lineRule="exact"/>
        <w:rPr>
          <w:sz w:val="20"/>
          <w:szCs w:val="20"/>
          <w:color w:val="auto"/>
        </w:rPr>
      </w:pPr>
    </w:p>
    <w:p>
      <w:pPr>
        <w:ind w:left="660" w:hanging="328"/>
        <w:spacing w:after="0" w:line="308" w:lineRule="auto"/>
        <w:tabs>
          <w:tab w:leader="none" w:pos="655" w:val="left"/>
        </w:tabs>
        <w:numPr>
          <w:ilvl w:val="0"/>
          <w:numId w:val="1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Multiple Workplace Awards. </w:t>
      </w:r>
      <w:r>
        <w:rPr>
          <w:rFonts w:ascii="Arial" w:cs="Arial" w:eastAsia="Arial" w:hAnsi="Arial"/>
          <w:sz w:val="17"/>
          <w:szCs w:val="17"/>
          <w:color w:val="auto"/>
        </w:rPr>
        <w:t>Our strong culture is celebrated by our distinctions in the 2017 Inc. Magazine’s Top Companies to Work for,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Magazine’s Best Workplaces, 2017 Fortune Best Small &amp; Medium Workplaces, and 2019 Fortune 100 Best Medium Workplaces.</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and Recognized Quality Brand. </w:t>
      </w:r>
      <w:r>
        <w:rPr>
          <w:rFonts w:ascii="Arial" w:cs="Arial" w:eastAsia="Arial" w:hAnsi="Arial"/>
          <w:sz w:val="18"/>
          <w:szCs w:val="18"/>
          <w:color w:val="auto"/>
        </w:rPr>
        <w:t>We were awarded the 2018 G2Crowd’s Top 100 best software companies, 2018 Inc. 5000’s Fastest-Growing Private Companies, and 2015, 2016, 2017, and 2018 Deloitte’s Technology Fast 500. Our renowned brand has helped us garner exceptional talent to help us further our mission of revolutionizing the sales and marketing industry.</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March 31, 2020, we had 1,287 employees, consisting of 544 in engineering, product development, research, and customer operations, 513 in sales, 105 in marketing and operations, and 125 in general and administrative.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there are currently no competitors who offer a sales &amp; marketing intelligence platform as comprehensive as ours. Our competitors focus on specific use cases, end markets and/or types of data sets and they can be categorized as follows:</w:t>
      </w:r>
    </w:p>
    <w:p>
      <w:pPr>
        <w:spacing w:after="0" w:line="116" w:lineRule="exact"/>
        <w:rPr>
          <w:sz w:val="20"/>
          <w:szCs w:val="20"/>
          <w:color w:val="auto"/>
        </w:rPr>
      </w:pPr>
    </w:p>
    <w:p>
      <w:pPr>
        <w:ind w:left="660" w:hanging="328"/>
        <w:spacing w:after="0" w:line="27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LinkedIn Sales Navigator, which provides professional information and relationship data but has limited depth of data and limited ability to integrate with customers’ workflow and CRM and sales &amp; marketing automation systems;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legacy data providers, such as D&amp;B Hoovers, which focus on specific types of data sets (e.g., companies, attributes, or intent) but lack the combination of quality, depth, and coverage;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21" w:right="339" w:bottom="1440" w:gutter="0" w:footer="0" w:header="0"/>
        </w:sectPr>
      </w:pPr>
    </w:p>
    <w:bookmarkStart w:id="163" w:name="page164"/>
    <w:bookmarkEnd w:id="16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niche data providers, such as TechTarget, which focus on specific types of data sets but lack scale, quality, and coverage of data;</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list providers, such as Infogroup, which focus on company profile and business contact information, but lack technology attributes and intent coverage;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startups or less mature competitors who lack the investment, expertise, and resources to manage quality at scale and keep up with the pace of technological advancement.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factors that drive competition between vendors in the market include:</w:t>
      </w:r>
    </w:p>
    <w:p>
      <w:pPr>
        <w:spacing w:after="0" w:line="171"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comprehensive platform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quality and accuracy of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breadth and depth of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ease of use and deployment;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tangible benefits and ROI for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ability to integrate with customers’ CRM and sales &amp; marketing automation systems;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sophistication of solutions used to manage, maintain and combine intelligence.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believe we compete favorably across these factors. For additional information, see the section titled “Risk Factors—Risks Related to Our Business and Industry—We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 and “Risk Factors—Risks Related to our Business and Industry—Larger and more well-funded companies with access to significant resources, large amounts of data or data collection methods, and sophisticated technologies may shift their business model to become competitive with 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Protection</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business contact information and other personal data we collect and process are an integral part of our products and services. Our respect for laws and regulations regarding the collection and processing of personal data underlies our strategy to improve our customer experience and build trust.</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Regulators around the world have adopted or proposed requirements regarding the collection, use, transfer, security, storage, destruction, and other processing of personal data. These laws are increasing in number and complexity, resulting in higher risk of enforcement, fines, and other penalties. Our privacy team is devoted to processing and fulfilling any requests regarding access to and deletion of their contact information in our platform. In particular, we have developed a “Privacy Center” on our website as a one-stop-shop for any person to submit access requests, request opt-out, or delete his or her information from our database. We have implemented a program for providing direct notifications to individuals in certain jurisdictions, including the European Union and California, which we plan to expand to our entire database. In addition, we honor opt-out requests across our entire database.</w:t>
      </w:r>
    </w:p>
    <w:p>
      <w:pPr>
        <w:spacing w:after="0" w:line="1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privacy and legal teams are highly focused on any applicable privacy laws and regulations and constantly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21" w:right="339" w:bottom="1440" w:gutter="0" w:footer="0" w:header="0"/>
        </w:sectPr>
      </w:pPr>
    </w:p>
    <w:bookmarkStart w:id="164" w:name="page165"/>
    <w:bookmarkEnd w:id="16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March 31, 2020, we had six issued patents in the United States, 20 registered trademarks in the United States (including ZOOMINFO and DISCOVERORG, among others) and one registered copyright in the United States. We also have a portfolio of 322 registered domain names for websites that we use in our business. In addition, we generally enter into confidentiality agreements and invention or work product assignment agreements with employees and contractors involved in the development of our proprietary intellectual property.</w:t>
      </w:r>
    </w:p>
    <w:p>
      <w:pPr>
        <w:spacing w:after="0" w:line="117" w:lineRule="exact"/>
        <w:rPr>
          <w:sz w:val="20"/>
          <w:szCs w:val="20"/>
          <w:color w:val="auto"/>
        </w:rPr>
      </w:pPr>
    </w:p>
    <w:p>
      <w:pPr>
        <w:ind w:right="1720" w:firstLine="324"/>
        <w:spacing w:after="0" w:line="438" w:lineRule="auto"/>
        <w:rPr>
          <w:sz w:val="20"/>
          <w:szCs w:val="20"/>
          <w:color w:val="auto"/>
        </w:rPr>
      </w:pPr>
      <w:r>
        <w:rPr>
          <w:rFonts w:ascii="Arial" w:cs="Arial" w:eastAsia="Arial" w:hAnsi="Arial"/>
          <w:sz w:val="18"/>
          <w:szCs w:val="18"/>
          <w:color w:val="auto"/>
        </w:rPr>
        <w:t xml:space="preserve">We intend to pursue additional intellectual property protection to the extent we believe it would be beneficial and cost effective. </w:t>
      </w:r>
      <w:r>
        <w:rPr>
          <w:rFonts w:ascii="Arial" w:cs="Arial" w:eastAsia="Arial" w:hAnsi="Arial"/>
          <w:sz w:val="18"/>
          <w:szCs w:val="18"/>
          <w:b w:val="1"/>
          <w:bCs w:val="1"/>
          <w:color w:val="auto"/>
        </w:rPr>
        <w:t>Facilities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corporate headquarters is located in Vancouver, Washington and consists of 57,576 square feet under a lease agreement that expires on August 31, 2025.</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additional offices in the United States, including in Bethesda, Maryland and Waltham, Massachusetts, as well as in Israel.</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lease all of our facilities and do not own any real property. Our infrastructure operates out of third-party data centers hosted by Google and Amazon Web Services.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21" w:right="339" w:bottom="1440" w:gutter="0" w:footer="0" w:header="0"/>
        </w:sectPr>
      </w:pPr>
    </w:p>
    <w:bookmarkStart w:id="165" w:name="page166"/>
    <w:bookmarkEnd w:id="16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names, ages, and positions of the directors and executive officers of ZoomInfo Technologies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656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Henry Schuck</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Cameron Hyzer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Chris Hays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Revenue Officer</w:t>
            </w: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Nir Keren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Todd Crockett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Mitesh Dhruv</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Keith Enright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Ashley Evans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Mader</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Patrick McCarter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Jason Mironov</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D. Randall Winn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Henry Schuck </w:t>
      </w:r>
      <w:r>
        <w:rPr>
          <w:rFonts w:ascii="Arial" w:cs="Arial" w:eastAsia="Arial" w:hAnsi="Arial"/>
          <w:sz w:val="18"/>
          <w:szCs w:val="18"/>
          <w:color w:val="auto"/>
        </w:rPr>
        <w:t>has served as Chief Executive Officer and a director of ZoomInfo Holdings LLC (formerly known as DiscoverOrg Holdings,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since founding it in 2007 and as Chief Executive Officer and a director of ZoomInfo Technologies Inc. since its formation in November 2019. Prior to founding ZoomInfo Holdings LLC, Mr. Schuck was VP of Research &amp; Marketing at iProfile, a sales intelligence firm focused on the IT market. Mr. Schuck is a </w:t>
      </w:r>
      <w:r>
        <w:rPr>
          <w:rFonts w:ascii="Arial" w:cs="Arial" w:eastAsia="Arial" w:hAnsi="Arial"/>
          <w:sz w:val="18"/>
          <w:szCs w:val="18"/>
          <w:i w:val="1"/>
          <w:iCs w:val="1"/>
          <w:color w:val="auto"/>
        </w:rPr>
        <w:t>cum laude</w:t>
      </w:r>
      <w:r>
        <w:rPr>
          <w:rFonts w:ascii="Arial" w:cs="Arial" w:eastAsia="Arial" w:hAnsi="Arial"/>
          <w:sz w:val="18"/>
          <w:szCs w:val="18"/>
          <w:color w:val="auto"/>
        </w:rPr>
        <w:t xml:space="preserve"> graduate of the University of Nevada, Las Vegas with a B.S. in Business Administration and a B.S. in Hospitality Management and holds a J.D., </w:t>
      </w:r>
      <w:r>
        <w:rPr>
          <w:rFonts w:ascii="Arial" w:cs="Arial" w:eastAsia="Arial" w:hAnsi="Arial"/>
          <w:sz w:val="18"/>
          <w:szCs w:val="18"/>
          <w:i w:val="1"/>
          <w:iCs w:val="1"/>
          <w:color w:val="auto"/>
        </w:rPr>
        <w:t>cum laude</w:t>
      </w:r>
      <w:r>
        <w:rPr>
          <w:rFonts w:ascii="Arial" w:cs="Arial" w:eastAsia="Arial" w:hAnsi="Arial"/>
          <w:sz w:val="18"/>
          <w:szCs w:val="18"/>
          <w:color w:val="auto"/>
        </w:rPr>
        <w:t>, from The Ohio State University Moritz College of Law.</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Cameron Hyzer </w:t>
      </w:r>
      <w:r>
        <w:rPr>
          <w:rFonts w:ascii="Arial" w:cs="Arial" w:eastAsia="Arial" w:hAnsi="Arial"/>
          <w:sz w:val="16"/>
          <w:szCs w:val="16"/>
          <w:color w:val="auto"/>
        </w:rPr>
        <w:t>has served as Chief Financial Officer of ZoomInfo Holdings LLC since 2018 and as Chief Financial Officer of ZoomInfo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Inc. since its formation in November 2019. Prior to joining ZoomInfo Holdings LLC, Mr. Hyzer served as the Chief Financial Officer and an Executive Managing Director of Eze Software Group LLC, a global provider of order management and investment technology to hedge funds and asset managers, from 2013 to 2018 through its sale to SS&amp;C Technologies, Inc. Prior to that, Mr. Hyzer served as Managing Director, Controller and Treasurer of ConvergEx Group, a provider of global agency brokerage and investment technology, from 2007 to 2013 and Vice President of Finance at Eze Castle Software from 2005 to 2007. Earlier in his career, Mr. Hyzer served in executive and financial roles at other software and information companies, including Thomson Financial and Cramer Systems, and started his career in investment banking and private equity at Broadview International LLC and Broadview Capital Partners, LLC. Mr. Hyzer holds a B.S. in Economics from the University of Pennsylvania Wharton School and a B.S. in Electrical Engineering from the University of Pennsylvania School of Engineering and Applied Science. Mr. Hyzer is also a CFA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charterholder.</w:t>
      </w:r>
    </w:p>
    <w:p>
      <w:pPr>
        <w:spacing w:after="0" w:line="2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Chris Hays </w:t>
      </w:r>
      <w:r>
        <w:rPr>
          <w:rFonts w:ascii="Arial" w:cs="Arial" w:eastAsia="Arial" w:hAnsi="Arial"/>
          <w:sz w:val="16"/>
          <w:szCs w:val="16"/>
          <w:color w:val="auto"/>
        </w:rPr>
        <w:t>has served as Chief Revenue Officer of ZoomInfo Holdings LLC since February 2019 and as Chief Marketing Officer of ZoomInfo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Inc. since its formation in November 2019. From 2016 to 2019, Mr. Hays served as Senior Director of Sales &amp; Marketing Operations, VP of Sales Operations and Chief Operating Officer of ZoomInfo Holdings LLC. Prior to joining ZoomInfo OpCo, Mr. Hays co-founded Inside Sales Team, a provider of sales software and lead management, in 2008 and served as Head of Revenue Operations from 2008 to 2015. Prior to founding Inside Sales Team, Mr. Hays served as Director of Services Revenue at Avaya, a company specializing in business communications and services, from 2000 to 2008 and as Enterprise Sales representative of Lucent from 1995 to 2000. Mr. Hays holds a B.A. from the State University of New York Albany.</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Nir Keren </w:t>
      </w:r>
      <w:r>
        <w:rPr>
          <w:rFonts w:ascii="Arial" w:cs="Arial" w:eastAsia="Arial" w:hAnsi="Arial"/>
          <w:sz w:val="18"/>
          <w:szCs w:val="18"/>
          <w:color w:val="auto"/>
        </w:rPr>
        <w:t>has served as Chief Technology Officer of ZoomInfo Technologies Inc. since 2020, ZoomInfo Holdings LLC since 2019, and at Pre-Acquisition ZI since 2015. Prior to joining Pre-Acquisition ZI, Mr. Keren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21" w:right="339" w:bottom="1440" w:gutter="0" w:footer="0" w:header="0"/>
        </w:sectPr>
      </w:pPr>
    </w:p>
    <w:bookmarkStart w:id="166" w:name="page167"/>
    <w:bookmarkEnd w:id="16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founded and served as Chief Technology Officer of adSAP, a company specializing in algorithms for Ad Tech, from 2015 to 2016. Prior to founding adSAP, Mr. Keren founded and served as Chief Technology Officer of ONDiGO, a modern-day mobile CRM, from 2012 to 2015. Prior to founding ONDiGO, Mr. Keren was an embedded software engineer for Ceragon Networks in Tel Aviv from 2010 to 2012. Mr. Keren holds a B.Sc. in Electrical and Computer Engineering from Ben-Gurion University.</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Todd Crockett </w:t>
      </w:r>
      <w:r>
        <w:rPr>
          <w:rFonts w:ascii="Arial" w:cs="Arial" w:eastAsia="Arial" w:hAnsi="Arial"/>
          <w:sz w:val="16"/>
          <w:szCs w:val="16"/>
          <w:color w:val="auto"/>
        </w:rPr>
        <w:t>has served as a director of ZoomInfo Holdings LLC since 2014 and as a member of the board of directors of ZoomInfo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since February 2020. Mr. Crockett currently serves as a Managing Director of TA Associates, a private equity firm and an affiliate of the Company, which he joined in 1994, and is a member of TA Associates’ Management Committee and Core Investment Committee. Mr. Crockett also currently serves on the boards of several private companies, including MAO Corporation, Orion Adviser Solutions, Procare Software, LLC, Russell Investments, and Wealth Enhancement Group. Mr. Crockett holds a B.A. from Princeton University and a MBA from Harvard Business School.</w:t>
      </w:r>
    </w:p>
    <w:p>
      <w:pPr>
        <w:spacing w:after="0" w:line="107" w:lineRule="exact"/>
        <w:rPr>
          <w:sz w:val="20"/>
          <w:szCs w:val="20"/>
          <w:color w:val="auto"/>
        </w:rPr>
      </w:pPr>
    </w:p>
    <w:p>
      <w:pPr>
        <w:jc w:val="both"/>
        <w:ind w:firstLine="324"/>
        <w:spacing w:after="0"/>
        <w:rPr>
          <w:sz w:val="20"/>
          <w:szCs w:val="20"/>
          <w:color w:val="auto"/>
        </w:rPr>
      </w:pPr>
      <w:r>
        <w:rPr>
          <w:rFonts w:ascii="Arial" w:cs="Arial" w:eastAsia="Arial" w:hAnsi="Arial"/>
          <w:sz w:val="18"/>
          <w:szCs w:val="18"/>
          <w:b w:val="1"/>
          <w:bCs w:val="1"/>
          <w:i w:val="1"/>
          <w:iCs w:val="1"/>
          <w:color w:val="auto"/>
        </w:rPr>
        <w:t xml:space="preserve">Mitesh Dhruv </w:t>
      </w:r>
      <w:r>
        <w:rPr>
          <w:rFonts w:ascii="Arial" w:cs="Arial" w:eastAsia="Arial" w:hAnsi="Arial"/>
          <w:sz w:val="18"/>
          <w:szCs w:val="18"/>
          <w:color w:val="auto"/>
        </w:rPr>
        <w:t>has served as a director of ZoomInfo Holdings LLC and as a member of the board of directors of ZoomInfo Technologies Inc.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2020. Mr. Dhruv currently serves as Chief Financial Officer of RingCentral, Inc., a cloud-based communications and collaboration solutions provider. Prior to joining RingCentral, Inc. in 2012, Mr. Dhruv worked at Bank of America Merrill Lynch as an equity research analyst and at PricewaterhouseCoopers. Mr. Dhruv is a CPA, Chartered Accountant, and CFA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charterholder, and holds an undergraduate degree in accounting from the University of Mumbai, India.</w:t>
      </w:r>
    </w:p>
    <w:p>
      <w:pPr>
        <w:spacing w:after="0" w:line="15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Keith Enright </w:t>
      </w:r>
      <w:r>
        <w:rPr>
          <w:rFonts w:ascii="Arial" w:cs="Arial" w:eastAsia="Arial" w:hAnsi="Arial"/>
          <w:sz w:val="17"/>
          <w:szCs w:val="17"/>
          <w:color w:val="auto"/>
        </w:rPr>
        <w:t>has served as a director of ZoomInfo Holdings LLC and as a member of the board of directors of ZoomInfo Technologies Inc.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2020. Mr. Enright currently serves as the Chief Privacy Officer of Google LLC, a multinational technology company that specializes in Internet-related services and products, which include online advertising technologies, a search engine, cloud computing, software, and hardware. Prior to joining Google in 2011, Mr. Enright was the Chief Privacy Officer and Vice President, Privacy of Macy’s Inc. Mr. Enright holds a Bachelor of Arts Degree from the University of Massachusetts at Amherst and a Juris Doctor degree from The George Washington University Law School.</w:t>
      </w:r>
    </w:p>
    <w:p>
      <w:pPr>
        <w:spacing w:after="0" w:line="12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b w:val="1"/>
          <w:bCs w:val="1"/>
          <w:i w:val="1"/>
          <w:iCs w:val="1"/>
          <w:color w:val="auto"/>
        </w:rPr>
        <w:t xml:space="preserve">Ashley Evans </w:t>
      </w:r>
      <w:r>
        <w:rPr>
          <w:rFonts w:ascii="Arial" w:cs="Arial" w:eastAsia="Arial" w:hAnsi="Arial"/>
          <w:sz w:val="16"/>
          <w:szCs w:val="16"/>
          <w:color w:val="auto"/>
        </w:rPr>
        <w:t>has served as a director of ZoomInfo Holdings LLC since 2018 and as a member of the board of directors of ZoomInfo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since February 2020. Ms. Evans is a Principal with the U.S. Buyout fund of The Carlyle Group, a private equity firm and an affiliate of the Company, which she joined in 2006. Ms. Evans also currently serves on the board of private companies, including HireVue, Inc. and Veritas Technologies Corporation. Ms. Evans holds an A.B. from Harvard College, a M.Phil from the University of Cambridge, and a MBA from Stanford University.</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Mark Mader </w:t>
      </w:r>
      <w:r>
        <w:rPr>
          <w:rFonts w:ascii="Arial" w:cs="Arial" w:eastAsia="Arial" w:hAnsi="Arial"/>
          <w:sz w:val="18"/>
          <w:szCs w:val="18"/>
          <w:color w:val="auto"/>
        </w:rPr>
        <w:t>has served as a director of ZoomInfo Holdings LLC and as a member of the board of directors of ZoomInfo Technologies Inc.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2020. Mr. Mader currently serves as President, Chief Executive Officer and director of Smartsheet Inc., a SaaS collaboration and work management provider. Prior to joining Smartsheet Inc. in 2006, Mr. Mader served in various leadership positions from 1995 to 2005 at Onyx Software Corporation, a customer relationship management software company acquired by M2M Holdings, including as Senior Vice President of Global Services. From 1993 to 1995, Mr. Mader was a senior associate at Greenwich Associates, a financial consulting firm. Mr. Mader holds a B.A. in Geography from Dartmouth College.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Patrick McCarter </w:t>
      </w:r>
      <w:r>
        <w:rPr>
          <w:rFonts w:ascii="Arial" w:cs="Arial" w:eastAsia="Arial" w:hAnsi="Arial"/>
          <w:sz w:val="18"/>
          <w:szCs w:val="18"/>
          <w:color w:val="auto"/>
        </w:rPr>
        <w:t>has served as a director of ZoomInfo Holdings LLC since 2018 and as a member of the board of directors of ZoomInfo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Inc. since February 2020. Mr. McCarter currently serves as a Managing Director and the head of the Global Technology, Media and Telecommunications group for The Carlyle Group, a private equity firm and an affiliate of the Company, which he joined in 2001. Mr. McCarter serves as a director of CommScope Holding Company, Inc. In addition, Mr. McCarter currently serves on the board of several private companies, including HireVue, Inc., Veritas Technologies Corporation, and Ampere Computing. Mr. McCarter holds a B.S. in Industrial Engineering and Economics from Northwestern University and an MBA from Harvard Business School.</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Jason Mironov </w:t>
      </w:r>
      <w:r>
        <w:rPr>
          <w:rFonts w:ascii="Arial" w:cs="Arial" w:eastAsia="Arial" w:hAnsi="Arial"/>
          <w:sz w:val="18"/>
          <w:szCs w:val="18"/>
          <w:color w:val="auto"/>
        </w:rPr>
        <w:t>has served as a director of ZoomInfo Holdings LLC since 2014 and as a member of the board of directors of ZoomInfo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since February 2020. Mr. Mironov currently serves as a Director at TA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21" w:right="339" w:bottom="1440" w:gutter="0" w:footer="0" w:header="0"/>
        </w:sectPr>
      </w:pPr>
    </w:p>
    <w:bookmarkStart w:id="167" w:name="page168"/>
    <w:bookmarkEnd w:id="16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Associates, a private equity firm and an affiliate of the Company, which he joined in 2012. In addition, Mr. Mironov currently serves on the boards of several private companies, including Procare Software, LLC, and Conservice. Mr. Mironov holds a B.B.A. from the University of Michigan Ross School of Business and a MBA from Harvard Business School.</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D. Randall Winn </w:t>
      </w:r>
      <w:r>
        <w:rPr>
          <w:rFonts w:ascii="Arial" w:cs="Arial" w:eastAsia="Arial" w:hAnsi="Arial"/>
          <w:sz w:val="18"/>
          <w:szCs w:val="18"/>
          <w:color w:val="auto"/>
        </w:rPr>
        <w:t>has served as a director of ZoomInfo Holdings LLC since 2014 and as a member of the board of directors of ZoomInfo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since February 2020. Mr. Winn currently serves as a Managing Member of 22C Capital, a principal investment firm and an affiliate of the Company, which he founded in 2017. In addition to serving on our board, Mr. Winn currently serves on the boards of private companies, including Definitive Healthcare and Canoe Software. Mr. Winn previously was the non-executive chairman of Dealogic and served on the boards of private companies such as Viteos Fund Services, Merit Software, and eMarketer.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business and affairs are managed under the direction of our board of directors. Our board of directors consists of nine directors, of whom Messrs. Dhruv, Enright, Mader, and Winn are independent, including for purposes of committee service. The authorized number of directors may be changed by resolution of our board of directors, subject to the terms of the stockholders agreement described in “Certain Relationships and Related Person Transactions —Stockholders Agreement.” In connection with the IPO, we amended and restated our certificate of incorporation to provide for a classified board of directors consisting of three classes of directors, each serving staggered three-year terms, as follows:</w:t>
      </w:r>
    </w:p>
    <w:p>
      <w:pPr>
        <w:spacing w:after="0" w:line="122" w:lineRule="exact"/>
        <w:rPr>
          <w:sz w:val="20"/>
          <w:szCs w:val="20"/>
          <w:color w:val="auto"/>
        </w:rPr>
      </w:pPr>
    </w:p>
    <w:p>
      <w:pPr>
        <w:ind w:left="66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Our Class I directors are Messrs. Dhruv, Enright, and Schuck with their terms expiring at the first annual meeting of stockholders following the date of this prospectus.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Our Class II directors are Messrs. Mader, McCarter, and Mironov with their terms expiring at the second annual meeting of stockholders following the date of this prospectus.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Our Class III directors are Mr. Crockett, Ms. Evans, and Mr. Winn with their terms expiring at the third annual meeting of stockholders following the date of this prospectus.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Vacancies on our board of directors can be filled by resolution of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Effects of Our Amended and Restated Certificate of Incorporation and Amended and Restated Bylaws and Certain Provisions of Delaware Law— Classified Board of Directors.”</w:t>
      </w:r>
    </w:p>
    <w:p>
      <w:pPr>
        <w:spacing w:after="0" w:line="14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we entered into a stockholders agreement with certain affiliates of TA Associates, Carlyle, and our Founders in connection with the IPO. This agreement granted certain affiliates of TA Associates, Carlyle, and our Founders the right to designate nominees to our board of directors subject to the maintenance of certain ownership requirements in us. Ms. Evans and Mr. McCarter are director nominees of Carlyle, Messrs. Crockett and Mironov are director nominees of TA Associates, and Mr. Schuck is a director nominee of the Founders, in each case pursuant to the stockholders agreement entered into among us and certain affiliates of TA Associates, Carlyle, and our Founders in connection with the IPO. The stockholders agreement provides that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In the event the number of individuals that TA Associates or Carlyle has the right to designate is decreased to one for such stockholder because of the decrease in its combined voting power, the total authorized number of directors shall be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21" w:right="339" w:bottom="1440" w:gutter="0" w:footer="0" w:header="0"/>
        </w:sectPr>
      </w:pPr>
    </w:p>
    <w:bookmarkStart w:id="168" w:name="page169"/>
    <w:bookmarkEnd w:id="16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decreased upon the resignation of the applicable designee. See “Certain Relationships and Related Person Transactions—Stockholders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Experience of Directors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134"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Mr. Schuck – our board of directors considered Mr. Schuck’s perspective and the experience he brings as our co-founder and CEO.</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Mr. Crockett – our board of directors considered Mr. Crockett’s extensive core business and leadership skills, including financial and strategic planning, and his significant management experience, including his involvement with TA Associates.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Mr. Dhruv – our board of directors considered Mr. Dhruv’s extensive financial and accounting experience, including as the Chief Financial Officer of RingCentral and his accounting and financial certifications, his knowledge and experience in our industry and with SaaS companies, and his experience in management of a public company.</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Mr. Enright – our board of directors considered Mr. Enright’s extensive experience with data privacy, including as Chief Privacy Officer for Google LLC, and his significant core business skills.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Ms. Evans – our board of directors considered Ms. Evans’ significant core business skills, including financial and strategic planning, and her extensive management experience, including her involvement with Carlyle.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Mr. McCarter – our board of directors considered Mr. McCarter’s extensive core business skills, including financial and strategic planning, and many years of management experience at portfolio companies through his involvement with Carlyle.</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Mr. Mironov – our board of directors considered Mr. Mironov’s extensive core business skills, including financial and strategic planning, and his extensive management experience with financial services and technology companies, including his involvement with TA Associates.</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Mr. Mader – our board of directors considered Mr. Mader’s extensive knowledge and experience in our industry and with SaaS companies, and his experience leading a public company as President, Chief Executive Officer and Director of Smartsheet.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Mr. Winn – our board of directors considered Mr. Winn’s deep knowledge of our industry, extensive financial and business skills, including strategic planning, and his significant management and leadership experience, including with CapitalIQ.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Exception</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After the completion of this offering, the parties to our stockholders agreement, described in “Certain Relationships and Related Person Transactions— Stockholders Agreement,” will beneficially own approximately % of the combined voting power of our Class A, Class B, and Class C common stock (or % if the underwriters exercise in full their option to purchase additional shares of Class A common stock). As a result, we will continue to be a</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“controlled company” within the meaning of the Nasdaq corporate governance standards. Under these corporate governance standards, a company of which more than 50% of the voting power for the election of directors is held by an individual, group or other company is a “controlled company” and may elect not to comply with certain corporate governance standards, including the requirements (1) that a majority of our board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21" w:right="339" w:bottom="1440" w:gutter="0" w:footer="0" w:header="0"/>
        </w:sectPr>
      </w:pPr>
    </w:p>
    <w:bookmarkStart w:id="169" w:name="page170"/>
    <w:bookmarkEnd w:id="16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of directors consist of independent directors, (2) that our board of directors have a compensation committee that consists entirely of independent directors with a written charter addressing the committee’s purpose and responsibilities, and (3)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 Accordingly, you will not have the same protections afforded to stockholders of companies that are subject to these corporate governance requirements. In the event that we cease to be a “controlled company” and our shares continue to be listed on the Nasdaq, we will be required to comply with these provisions within the applicable transition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has established the following committees: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 Each of TA Associates and Carlyle has the right to designate certain members of the committees so long as it has the right to designate at least one director pursuant to the stockholders agreement, subject to certain exceptions. See “Certain Relationships and Related Person Transactions—Stockholders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audit committee consists of Messrs. Dhruv, Mader, and Winn, with Mr. Dhruv serving as chair. Our audit committee is responsible for, among other things:</w:t>
      </w:r>
    </w:p>
    <w:p>
      <w:pPr>
        <w:spacing w:after="0" w:line="116"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selecting and hiring our independent auditors and approving the audit and non-audit services to be performed by our independent auditors;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assisting the board of directors in evaluating the qualifications, performance, and independence of our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assisting the board of directors in monitoring the quality and integrity of our financial statements and our accounting and financial reporting;</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assisting the board of directors in monitoring our compliance with legal and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 processes;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assisting the board of directors in monitoring the performance of our internal audit 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auditors our annual and quarterly financial statements;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preparing the audit committee report that the rules and regulations of the SEC require to be included in our annual proxy statement.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SEC rules and the Nasdaq rules require us to have one independent audit committee member upon the listing of our Class A common stock on the Nasdaq, a majority of independent directors within 90 days of the effective date of the registration statement, and all independent audit committee members within one year of the effective date of the registration statement. Messrs. Dhruv, Mader, and Winn qualify as independent directors under the Nasdaq listing standards and the independence standards of Rule 10A-3 of the Exchange Act.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21" w:right="339" w:bottom="1440" w:gutter="0" w:footer="0" w:header="0"/>
        </w:sectPr>
      </w:pPr>
    </w:p>
    <w:bookmarkStart w:id="170" w:name="page171"/>
    <w:bookmarkEnd w:id="17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compensation committee consists of Messrs. Crockett, McCarter and Winn, with Mr. Winn serving as chair. Our compensation committee is responsible for, among other things:</w:t>
      </w:r>
    </w:p>
    <w:p>
      <w:pPr>
        <w:spacing w:after="0" w:line="116" w:lineRule="exact"/>
        <w:rPr>
          <w:sz w:val="20"/>
          <w:szCs w:val="20"/>
          <w:color w:val="auto"/>
        </w:rPr>
      </w:pPr>
    </w:p>
    <w:p>
      <w:pPr>
        <w:jc w:val="both"/>
        <w:ind w:left="660" w:hanging="328"/>
        <w:spacing w:after="0" w:line="259"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reviewing and recommending the compensation of our directors;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reviewing and discussing with management our “Compensation Discussion and Analysis” disclosure when such disclosure is required by SEC rules;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preparing the compensation committee report to be included in our annual proxy statement when such report is required by SEC rules;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reviewing and making recommendations with respect to our equity compensation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nominating and corporate governance committee consists of Mr. Crockett and Ms. Evans, with Ms. Evans serving as chair. The nominating and corporate governance committee is responsible for, among other things:</w:t>
      </w:r>
    </w:p>
    <w:p>
      <w:pPr>
        <w:spacing w:after="0" w:line="116"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assisting our board of directors in identifying prospective director nominees and recommending nominees to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reviewing developments in corporate governance practices and developing and recommending a set of corporate governance guidelines;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recommending members for each committee of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None of our executive officers currently serves, or has served during the last completed fiscal year, as a member of the board of directors or compensation committee (or other committee performing equivalent functions) of any entity that has one or more executive officers serving on our board of directors or compensation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prospectus by reference or otherwise.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21" w:right="339" w:bottom="1440" w:gutter="0" w:footer="0" w:header="0"/>
        </w:sectPr>
      </w:pPr>
    </w:p>
    <w:bookmarkStart w:id="171" w:name="page172"/>
    <w:bookmarkEnd w:id="17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provides summary information concerning compensation awarded to, earned by, or paid to our principal executive officer and our two other most highly compensated executive officers as of December 31, 2019 (our “named executive officers” or “NEOs”) for services rendered for the fiscal years indicated below. These individuals are referred to as our named executive officers.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Stock Awards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Non-Equity Incentive</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1"/>
                <w:szCs w:val="11"/>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1"/>
                <w:szCs w:val="11"/>
                <w:color w:val="auto"/>
              </w:rPr>
            </w:pPr>
          </w:p>
        </w:tc>
        <w:tc>
          <w:tcPr>
            <w:tcW w:w="10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9"/>
                <w:szCs w:val="9"/>
                <w:b w:val="1"/>
                <w:bCs w:val="1"/>
                <w:color w:val="auto"/>
              </w:rPr>
              <w:t>(1)</w:t>
            </w:r>
          </w:p>
        </w:tc>
        <w:tc>
          <w:tcPr>
            <w:tcW w:w="120" w:type="dxa"/>
            <w:vAlign w:val="bottom"/>
            <w:vMerge w:val="restart"/>
          </w:tcPr>
          <w:p>
            <w:pPr>
              <w:spacing w:after="0"/>
              <w:rPr>
                <w:sz w:val="11"/>
                <w:szCs w:val="11"/>
                <w:color w:val="auto"/>
              </w:rPr>
            </w:pPr>
          </w:p>
        </w:tc>
        <w:tc>
          <w:tcPr>
            <w:tcW w:w="10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9"/>
                <w:szCs w:val="9"/>
                <w:b w:val="1"/>
                <w:bCs w:val="1"/>
                <w:color w:val="auto"/>
              </w:rPr>
              <w:t>(2)</w:t>
            </w:r>
          </w:p>
        </w:tc>
        <w:tc>
          <w:tcPr>
            <w:tcW w:w="120" w:type="dxa"/>
            <w:vAlign w:val="bottom"/>
            <w:vMerge w:val="restart"/>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Plan Compensation</w:t>
            </w:r>
          </w:p>
        </w:tc>
        <w:tc>
          <w:tcPr>
            <w:tcW w:w="1540" w:type="dxa"/>
            <w:vAlign w:val="bottom"/>
            <w:gridSpan w:val="2"/>
            <w:vMerge w:val="continue"/>
          </w:tcPr>
          <w:p>
            <w:pPr>
              <w:spacing w:after="0"/>
              <w:rPr>
                <w:sz w:val="11"/>
                <w:szCs w:val="11"/>
                <w:color w:val="auto"/>
              </w:rPr>
            </w:pPr>
          </w:p>
        </w:tc>
        <w:tc>
          <w:tcPr>
            <w:tcW w:w="9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8"/>
        </w:trPr>
        <w:tc>
          <w:tcPr>
            <w:tcW w:w="2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9"/>
                <w:szCs w:val="9"/>
                <w:b w:val="1"/>
                <w:bCs w:val="1"/>
                <w:color w:val="auto"/>
                <w:w w:val="99"/>
              </w:rPr>
              <w:t>(3)</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9"/>
                <w:szCs w:val="9"/>
                <w:b w:val="1"/>
                <w:bCs w:val="1"/>
                <w:color w:val="auto"/>
                <w:w w:val="99"/>
              </w:rPr>
              <w:t>(4)</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Compensation ($)</w:t>
            </w:r>
            <w:r>
              <w:rPr>
                <w:rFonts w:ascii="Arial" w:cs="Arial" w:eastAsia="Arial" w:hAnsi="Arial"/>
                <w:sz w:val="9"/>
                <w:szCs w:val="9"/>
                <w:b w:val="1"/>
                <w:bCs w:val="1"/>
                <w:color w:val="auto"/>
                <w:w w:val="92"/>
              </w:rPr>
              <w:t>(5)</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Henry Schuck</w:t>
            </w:r>
          </w:p>
        </w:tc>
        <w:tc>
          <w:tcPr>
            <w:tcW w:w="70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371,539</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350,000</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3,780,583</w:t>
            </w:r>
          </w:p>
        </w:tc>
        <w:tc>
          <w:tcPr>
            <w:tcW w:w="12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65,880</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4,568,002</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360"/>
              <w:spacing w:after="0"/>
              <w:rPr>
                <w:sz w:val="20"/>
                <w:szCs w:val="20"/>
                <w:color w:val="auto"/>
              </w:rPr>
            </w:pPr>
            <w:r>
              <w:rPr>
                <w:rFonts w:ascii="Arial" w:cs="Arial" w:eastAsia="Arial" w:hAnsi="Arial"/>
                <w:sz w:val="14"/>
                <w:szCs w:val="14"/>
                <w:i w:val="1"/>
                <w:iCs w:val="1"/>
                <w:color w:val="auto"/>
              </w:rPr>
              <w:t>Chief Executive Officer</w:t>
            </w:r>
          </w:p>
        </w:tc>
        <w:tc>
          <w:tcPr>
            <w:tcW w:w="7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350,000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175,000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5,775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530,775</w:t>
            </w:r>
          </w:p>
        </w:tc>
        <w:tc>
          <w:tcPr>
            <w:tcW w:w="0" w:type="dxa"/>
            <w:vAlign w:val="bottom"/>
          </w:tcPr>
          <w:p>
            <w:pPr>
              <w:spacing w:after="0"/>
              <w:rPr>
                <w:sz w:val="1"/>
                <w:szCs w:val="1"/>
                <w:color w:val="auto"/>
              </w:rPr>
            </w:pPr>
          </w:p>
        </w:tc>
      </w:tr>
      <w:tr>
        <w:trPr>
          <w:trHeight w:val="135"/>
        </w:trPr>
        <w:tc>
          <w:tcPr>
            <w:tcW w:w="2780" w:type="dxa"/>
            <w:vAlign w:val="bottom"/>
          </w:tcPr>
          <w:p>
            <w:pPr>
              <w:ind w:left="140"/>
              <w:spacing w:after="0" w:line="135" w:lineRule="exact"/>
              <w:rPr>
                <w:sz w:val="20"/>
                <w:szCs w:val="20"/>
                <w:color w:val="auto"/>
              </w:rPr>
            </w:pPr>
            <w:r>
              <w:rPr>
                <w:rFonts w:ascii="Arial" w:cs="Arial" w:eastAsia="Arial" w:hAnsi="Arial"/>
                <w:sz w:val="14"/>
                <w:szCs w:val="14"/>
                <w:color w:val="auto"/>
              </w:rPr>
              <w:t>Cameron Hyzer</w:t>
            </w:r>
          </w:p>
        </w:tc>
        <w:tc>
          <w:tcPr>
            <w:tcW w:w="700" w:type="dxa"/>
            <w:vAlign w:val="bottom"/>
            <w:gridSpan w:val="2"/>
            <w:vMerge w:val="restart"/>
          </w:tcPr>
          <w:p>
            <w:pPr>
              <w:ind w:left="26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0"/>
              </w:rPr>
              <w:t>402,885</w:t>
            </w:r>
          </w:p>
        </w:tc>
        <w:tc>
          <w:tcPr>
            <w:tcW w:w="1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43,750</w:t>
            </w:r>
          </w:p>
        </w:tc>
        <w:tc>
          <w:tcPr>
            <w:tcW w:w="120" w:type="dxa"/>
            <w:vAlign w:val="bottom"/>
          </w:tcPr>
          <w:p>
            <w:pPr>
              <w:spacing w:after="0"/>
              <w:rPr>
                <w:sz w:val="11"/>
                <w:szCs w:val="11"/>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w w:val="94"/>
              </w:rPr>
              <w:t>600,000</w:t>
            </w:r>
          </w:p>
        </w:tc>
        <w:tc>
          <w:tcPr>
            <w:tcW w:w="12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w w:val="93"/>
              </w:rPr>
              <w:t>12,600</w:t>
            </w:r>
          </w:p>
        </w:tc>
        <w:tc>
          <w:tcPr>
            <w:tcW w:w="12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9"/>
              </w:rPr>
              <w:t>1,059,235</w:t>
            </w:r>
          </w:p>
        </w:tc>
        <w:tc>
          <w:tcPr>
            <w:tcW w:w="0" w:type="dxa"/>
            <w:vAlign w:val="bottom"/>
          </w:tcPr>
          <w:p>
            <w:pPr>
              <w:spacing w:after="0"/>
              <w:rPr>
                <w:sz w:val="1"/>
                <w:szCs w:val="1"/>
                <w:color w:val="auto"/>
              </w:rPr>
            </w:pPr>
          </w:p>
        </w:tc>
      </w:tr>
      <w:tr>
        <w:trPr>
          <w:trHeight w:val="182"/>
        </w:trPr>
        <w:tc>
          <w:tcPr>
            <w:tcW w:w="2780" w:type="dxa"/>
            <w:vAlign w:val="bottom"/>
          </w:tcPr>
          <w:p>
            <w:pPr>
              <w:ind w:left="360"/>
              <w:spacing w:after="0"/>
              <w:rPr>
                <w:sz w:val="20"/>
                <w:szCs w:val="20"/>
                <w:color w:val="auto"/>
              </w:rPr>
            </w:pPr>
            <w:r>
              <w:rPr>
                <w:rFonts w:ascii="Arial" w:cs="Arial" w:eastAsia="Arial" w:hAnsi="Arial"/>
                <w:sz w:val="14"/>
                <w:szCs w:val="14"/>
                <w:i w:val="1"/>
                <w:iCs w:val="1"/>
                <w:color w:val="auto"/>
              </w:rPr>
              <w:t>Chief Financial Officer</w:t>
            </w: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50,000</w:t>
            </w:r>
          </w:p>
        </w:tc>
        <w:tc>
          <w:tcPr>
            <w:tcW w:w="12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3,436,894</w:t>
            </w:r>
          </w:p>
        </w:tc>
        <w:tc>
          <w:tcPr>
            <w:tcW w:w="12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center"/>
              <w:spacing w:after="0"/>
              <w:rPr>
                <w:sz w:val="20"/>
                <w:szCs w:val="20"/>
                <w:color w:val="auto"/>
              </w:rPr>
            </w:pPr>
            <w:r>
              <w:rPr>
                <w:rFonts w:ascii="Arial" w:cs="Arial" w:eastAsia="Arial" w:hAnsi="Arial"/>
                <w:sz w:val="14"/>
                <w:szCs w:val="14"/>
                <w:color w:val="auto"/>
                <w:w w:val="93"/>
              </w:rPr>
              <w:t>43,000</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3,529,894</w:t>
            </w:r>
          </w:p>
        </w:tc>
        <w:tc>
          <w:tcPr>
            <w:tcW w:w="0" w:type="dxa"/>
            <w:vAlign w:val="bottom"/>
          </w:tcPr>
          <w:p>
            <w:pPr>
              <w:spacing w:after="0"/>
              <w:rPr>
                <w:sz w:val="1"/>
                <w:szCs w:val="1"/>
                <w:color w:val="auto"/>
              </w:rPr>
            </w:pPr>
          </w:p>
        </w:tc>
      </w:tr>
      <w:tr>
        <w:trPr>
          <w:trHeight w:val="141"/>
        </w:trPr>
        <w:tc>
          <w:tcPr>
            <w:tcW w:w="27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Chris Hays</w:t>
            </w:r>
          </w:p>
        </w:tc>
        <w:tc>
          <w:tcPr>
            <w:tcW w:w="70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362,901</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112,500</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3,958,003</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1,000,000</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1,973</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5,435,377</w:t>
            </w: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360"/>
              <w:spacing w:after="0"/>
              <w:rPr>
                <w:sz w:val="20"/>
                <w:szCs w:val="20"/>
                <w:color w:val="auto"/>
              </w:rPr>
            </w:pPr>
            <w:r>
              <w:rPr>
                <w:rFonts w:ascii="Arial" w:cs="Arial" w:eastAsia="Arial" w:hAnsi="Arial"/>
                <w:sz w:val="14"/>
                <w:szCs w:val="14"/>
                <w:i w:val="1"/>
                <w:iCs w:val="1"/>
                <w:color w:val="auto"/>
              </w:rPr>
              <w:t>Chief Revenue Officer</w:t>
            </w: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197,705</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1,307,937</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3"/>
              </w:rPr>
              <w:t>60,000</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1"/>
              </w:rPr>
              <w:t>2,603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1,568,245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089140" cy="3340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89140" cy="3340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jc w:val="both"/>
        <w:ind w:left="340" w:hanging="332"/>
        <w:spacing w:after="0" w:line="241" w:lineRule="auto"/>
        <w:tabs>
          <w:tab w:leader="none" w:pos="332"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amounts reported represent the named executive officer’s base salary earned during the fiscal year covered. In the case of Mr. Schuck, the amount reported for 2019 includes $21,539 paid in lieu of accrued but unused vacation. In the case of Mr. Hays, the amount reported for 2019 represents an increase in base salary from $305,000 to $360,000, effective May 2019, and the amounts reported for 2018 and 2019 include $11,595 and $27,693 paid in lieu of accrued but unused vacation, respectively. Mr. Hyzer commenced employment as our Chief Financial Officer on November 12, 2018, and the amount reported in this column for Mr. Hyzer for 2018 reflects the portion of his annual base salary earned in 2018 from such date. For Mr. Hyzer, the amount reported for 2019 includes $2,885 paid in lieu of accrued but unused vacation.</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32"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amount reported for 2019 for Mr. Hyzer represents the guaranteed bonus to which he was entitled under his employment agreement. For a description of the terms of Mr. Hyzer’s employment agreement, see “—Narrative Disclosure to Summary Compensation Table—Employment Agreements.” The amount reported for Mr. Hays represents a special discretionary bonus paid to him in 2019. See “—Narrative Disclosure to Summary Compensation Table—Special Bonus.” The amounts reported for Mr. Schuck represent his annual discretionary bonus paid to him in 2018 and 2019. See “—Narrative Disclosure to Summary Compensation Table—Annual Bonus/Non-Equity Incentive Plan Compensation—Annual Bonus—Mr. Schuck.”</w:t>
      </w:r>
    </w:p>
    <w:p>
      <w:pPr>
        <w:jc w:val="both"/>
        <w:ind w:left="340" w:hanging="332"/>
        <w:spacing w:after="0" w:line="241" w:lineRule="auto"/>
        <w:tabs>
          <w:tab w:leader="none" w:pos="332"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amounts reported for 2019 represent the aggregate grant date fair value of the Class P Units awarded to Messrs. Schuck and Hays, the aggregate grant date fair value of the common units of HSKB Funds, LLC awarded to Mr. Hays (the “HSKB Units”) and the aggregate grant date fair value of the HSKB Phantom Units, each representing the economic value of one common unit of ZoomInfo OpCo, awarded to Mr. Hays (the “HSKB Phantom Units”), each calculated in accordance with FASB ASC Topic 718, Compensation—Stock Compensation (“ASC Topic 718”). The assumptions used in calculating the grant date fair value of these Class P Units, HSKB Units and HSKB Phantom Units reported in this column are set forth in Note 15 - Equity-Based Compensation to our audited consolidated financial statements included elsewhere in this prospectus.</w:t>
      </w:r>
    </w:p>
    <w:p>
      <w:pPr>
        <w:spacing w:after="0" w:line="1" w:lineRule="exact"/>
        <w:rPr>
          <w:rFonts w:ascii="Arial" w:cs="Arial" w:eastAsia="Arial" w:hAnsi="Arial"/>
          <w:sz w:val="14"/>
          <w:szCs w:val="14"/>
          <w:color w:val="auto"/>
        </w:rPr>
      </w:pPr>
    </w:p>
    <w:p>
      <w:pPr>
        <w:jc w:val="both"/>
        <w:ind w:left="340"/>
        <w:spacing w:after="0" w:line="260" w:lineRule="auto"/>
        <w:rPr>
          <w:rFonts w:ascii="Arial" w:cs="Arial" w:eastAsia="Arial" w:hAnsi="Arial"/>
          <w:sz w:val="14"/>
          <w:szCs w:val="14"/>
          <w:color w:val="auto"/>
        </w:rPr>
      </w:pPr>
      <w:r>
        <w:rPr>
          <w:rFonts w:ascii="Arial" w:cs="Arial" w:eastAsia="Arial" w:hAnsi="Arial"/>
          <w:sz w:val="13"/>
          <w:szCs w:val="13"/>
          <w:color w:val="auto"/>
        </w:rPr>
        <w:t>The grant date fair values of the HSKB Units and the HSKB Phantom Units were computed based upon the probable outcomes of the performance conditions as of the grant dates in accordance with ASC Topic 718 as non-employee awards. Achievement of the performance conditions for the HSKB Units and HSKB Phantom Units granted to Mr. Hays in 2019 was not deemed probable on the grant date and, accordingly, no value is included in the table for these awards pursuant to the SEC’s disclosure rules. Assuming achievement of the performance conditions, the grant date fair values of the HSKB Units and HSKB Phantom Units that were granted in to Mr. Hays in 2019 were $835,144 and $323,100, respectively.</w:t>
      </w:r>
    </w:p>
    <w:p>
      <w:pPr>
        <w:jc w:val="both"/>
        <w:ind w:left="340"/>
        <w:spacing w:after="0" w:line="260" w:lineRule="auto"/>
        <w:rPr>
          <w:rFonts w:ascii="Arial" w:cs="Arial" w:eastAsia="Arial" w:hAnsi="Arial"/>
          <w:sz w:val="14"/>
          <w:szCs w:val="14"/>
          <w:color w:val="auto"/>
        </w:rPr>
      </w:pPr>
      <w:r>
        <w:rPr>
          <w:rFonts w:ascii="Arial" w:cs="Arial" w:eastAsia="Arial" w:hAnsi="Arial"/>
          <w:sz w:val="13"/>
          <w:szCs w:val="13"/>
          <w:color w:val="auto"/>
        </w:rPr>
        <w:t>The amounts reported for 2018 represent the aggregate grant date fair value of the Class P Units awarded to Messrs. Hyzer and Hays calculated in accordance with ASC Topic 718 and the aggregate estimated fair value of the HSKB Units awarded to Mr. Hays calculated in accordance with FASB ASC Topic 505-50, Equity-Based Payments to Non-Employees (“ASC Topic 505”). In 2019, the HSKB Units and the HSKB Phantom Units are accounted for under ASC Topic 718 as non-employee awards. The assumptions used in calculating the grant date fair value of these Class P Units and the estimated fair value of these HSKB Units reported in this column are set forth in Note 15 - Equity-Based Compensation to our audited consolidated financial statements included elsewhere in this prospectus. The estimated fair value of the HSKB Units was computed based upon the probable outcome of the performance conditions as of the grant date. Achievement of the performance conditions for the HSKB Units granted to Mr. Hays in 2018 was not deemed probable on the grant date and, accordingly, no value is included in the table for these awards pursuant to the SEC’s disclosure rules. Assuming achievement of the performance conditions, the estimated fair value of the HSKB Units that were granted to Mr. Hays in 2018 was $713,044. In addition, the amount reported for 2018 for Mr. Hays includes the incremental fair value of $746,812 associated with the special cash distribution with respect to his outstanding HSKB Units. As described in “Narrative Disclosure to Summary Compensation Table—Equity Awards—Special Distribution on HSKB Units,” this distribution is accounted for as a modification to the HSKB Units with incremental fair value equal to the amount of the distribution.</w:t>
      </w:r>
    </w:p>
    <w:p>
      <w:pPr>
        <w:ind w:left="340" w:hanging="332"/>
        <w:spacing w:after="0" w:line="255" w:lineRule="auto"/>
        <w:tabs>
          <w:tab w:leader="none" w:pos="332"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amounts reported represent the dollar value of the annual cash incentive award earned by Messrs. Hyzer and Hays for 2018 and 2019. See “—Narrative Disclosure to Summary Compensation Table—Annual Bonus/Non-Equity Incentive Plan Compensation.”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21" w:right="339" w:bottom="1440" w:gutter="0" w:footer="0" w:header="0"/>
        </w:sectPr>
      </w:pPr>
    </w:p>
    <w:bookmarkStart w:id="172" w:name="page173"/>
    <w:bookmarkEnd w:id="17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40" w:hanging="332"/>
        <w:spacing w:after="0" w:line="249" w:lineRule="auto"/>
        <w:tabs>
          <w:tab w:leader="none" w:pos="332"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amounts reported for 2019 represent our 401(k) Plan (as defined below) matching contributions on behalf of our NEOs in the following amounts: Mr. Schuck, $5,880; Mr. Hyzer, $2,100; and Mr. Hays, $1,973. The amount reported for Mr. Schuck for 2019 also includes a temporary housing allowance of $60,000. The amounts reported for Mr. Hyzer for 2018 and 2019 also include a temporary housing and commuting allowance in the amounts of $3,000 and $10,500, respectively. The amount reported for Mr. Hyzer for 2018 also includes reimbursement of $40,000 for his relocation expenses. The amounts reported for 2018 represent our 401(k) Plan matching contributions on behalf of Mr. Schuck and Mr. Hays. For a description of our 401(k) Plan, see “—Other Compensation—Retirement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entered into an employment agreement with each of our named executive officers, in each case, that governs the terms of employment of each such named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Schuck’s Employment Agreement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the IPO, and (iv) mutual non-disparagement for the longest period legally enforceable.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Schuck is entitled in the event of a qualifying termination of his employment.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Hyzer’s Employment Agreement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Pursuant to Mr. Hyzer’s employment agreement, effective as of November 12, 2018, he is entitled to a base salary of $400,000, with a scheduled increase to $500,000 as of January 1, 2020. His employment agreement provides that he will be eligible to receive an annual bonus based on metrics determined by the Company, with the amount and terms of any such bonus subject to the discretion of the Company, except that he is entitled to guaranteed bonuses of $43,750 payable on January 1, 2019 and $100,000 payable on January 1, 2020, with an additional formulaic bonus opportunity for 2019 based on the Company’s EBITDA performance for 2019 as compared to its EBITDA performance for 2018. Specifically, if the ratio between the Company’s 2019 EBITDA and the Company’s 2018 EBITDA exceeds 100% by 1% to 15%, 16% or more, or 25% or more, then he is entitled to a bonus of $7,000, $10,000, or $16,000, respectively; in addition, he is entitled to a one-time bonus of an additional $65,000 if the ratio equals or exceeds 118%. Mr. Hyzer’s bonus opportunity for subsequent years will be determined based on performance metrics to be determined by the Company. Mr. Hyzer is also entitled to participate in all employment benefit plans, practices and programs available for the benefit of Company employees generally.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21" w:right="339" w:bottom="1440" w:gutter="0" w:footer="0" w:header="0"/>
        </w:sectPr>
      </w:pPr>
    </w:p>
    <w:bookmarkStart w:id="173" w:name="page174"/>
    <w:bookmarkEnd w:id="17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Mr. Hyzer’s employment agreement provided for a temporary housing and commuting allowance for up to nine months from the effective date of November 12, 2018, including a monthly stipend of $1,500 for housing costs in the Vancouver, Washington area and reimbursement for reasonable out-of-pocket expenses for travel between Vancouver, Washington and Mr. Hyzer’s home in Massachusetts. The agreement also provided for reimbursement to Mr. Hyzer of up to $40,000 in reasonable, out-of-pocket expenses incurred in relocating to Vancouver, Washington, including the cost of airfare for Mr. Hyzer and any member of his immediate family.</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Mr. Hyzer’s employment term began on November 12, 2018 and continues until the two year anniversary thereof, subject to automatic annual successive renewal terms thereafter (unless earlier terminated by either party to the employment agreement on 30 days’ advance written notice).</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Hyzer is subject to the following restrictive covenants: (i) confidentiality during employment and for three years following termination, and (ii) non-solicitation of customers, non-solicitation of employees, and non-competition during employment and for one year following termination. See “— Termination and Change in Control Provisions” for a description of the severance benefits to which Mr. Hyzer is entitled in the event of a qualifying termination of his employment.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Mr. Hays’s employment agreement, dated August 26, 2018, as amended on May 28, 2019, he is entitled to a base salary of $360,000.</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Mr. Hays is an at-will employee with no fixed contractual term of employment; either party to his employment agreement may terminate his employment at any time, with or without cause or prior notice.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Hays is subject to the following restrictive covenants: (i) confidentiality during employment and at all times following termination and (ii) non-solicitation of customers, non-solicitation of employees, and non-competition during employment and for one year following termination of his employment.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Bonus/Non-Equity Incentive Plan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r>
        <w:rPr>
          <w:rFonts w:ascii="Arial" w:cs="Arial" w:eastAsia="Arial" w:hAnsi="Arial"/>
          <w:sz w:val="18"/>
          <w:szCs w:val="18"/>
          <w:color w:val="auto"/>
        </w:rPr>
        <w:t>—</w:t>
      </w:r>
      <w:r>
        <w:rPr>
          <w:rFonts w:ascii="Arial" w:cs="Arial" w:eastAsia="Arial" w:hAnsi="Arial"/>
          <w:sz w:val="18"/>
          <w:szCs w:val="18"/>
          <w:i w:val="1"/>
          <w:iCs w:val="1"/>
          <w:color w:val="auto"/>
        </w:rPr>
        <w:t>Mr. Schuck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2018, Mr. Schuck was eligible to receive a discretionary cash bonus of $175,000. Based on our overall performance in 2018, our board of directors determined to pay Mr. Schuck such discretionary cash bonus. For 2019, Mr. Schuck was eligible to receive a discretionary cash bonus of $350,000. Based on the Company’s achievement of its revenue and profitability goals in 2019, our board of directors determined in its discretion to pay Mr. Schuck a cash bonus of $350,000 for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Bonus</w:t>
      </w:r>
      <w:r>
        <w:rPr>
          <w:rFonts w:ascii="Arial" w:cs="Arial" w:eastAsia="Arial" w:hAnsi="Arial"/>
          <w:sz w:val="18"/>
          <w:szCs w:val="18"/>
          <w:color w:val="auto"/>
        </w:rPr>
        <w:t>—</w:t>
      </w:r>
      <w:r>
        <w:rPr>
          <w:rFonts w:ascii="Arial" w:cs="Arial" w:eastAsia="Arial" w:hAnsi="Arial"/>
          <w:sz w:val="18"/>
          <w:szCs w:val="18"/>
          <w:i w:val="1"/>
          <w:iCs w:val="1"/>
          <w:color w:val="auto"/>
        </w:rPr>
        <w:t>Messrs. Hyzer and Hays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make incentive cash bonus opportunities available to Messrs. Hyzer and Hays to motivate their achievement of performance goals and tie a portion of their cash compensation to performance.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2018, Mr. Hays was eligible to receive a cash incentive bonus of $60,000 if the Company achieved an annual recurring revenue objective. Based on our performance, Mr. Hays was paid a cash incentive bonus of $60,000, which amount is set forth in the Summary Compensation Table in the “Non-Equity Incentive Plan Compensation” column.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21" w:right="339" w:bottom="1440" w:gutter="0" w:footer="0" w:header="0"/>
        </w:sectPr>
      </w:pPr>
    </w:p>
    <w:bookmarkStart w:id="174" w:name="page175"/>
    <w:bookmarkEnd w:id="17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2019, Mr. Hays was eligible to receive a cash incentive bonus of $60,000 if the Company achieved a threshold total contract value during 2019 and an incentive bonus of $1 million if the Company achieved a target total contract value during 2019. The Company achieved the target total contract value during 2019 and our board of directors, accordingly, approved an incentive bonus payout of $1 million to Mr. Hays for 2019.</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described above in “</w:t>
      </w:r>
      <w:r>
        <w:rPr>
          <w:rFonts w:ascii="Arial" w:cs="Arial" w:eastAsia="Arial" w:hAnsi="Arial"/>
          <w:sz w:val="13"/>
          <w:szCs w:val="13"/>
          <w:color w:val="auto"/>
        </w:rPr>
        <w:t>—</w:t>
      </w:r>
      <w:r>
        <w:rPr>
          <w:rFonts w:ascii="Arial" w:cs="Arial" w:eastAsia="Arial" w:hAnsi="Arial"/>
          <w:sz w:val="17"/>
          <w:szCs w:val="17"/>
          <w:color w:val="auto"/>
        </w:rPr>
        <w:t>Narrative Disclosure to Summary Compensation Table—Employment Agreements,” pursuant to the terms of Mr. Hyzer’s employment agreement, if the ratio between the Company’s 2019 EBITDA and the Company’s 2018 EBITDA exceeded 100% by 1% to 15%, 16% or more, or 25% or more, then Mr. Hyzer was entitled to a bonus of $7,000, $10,000, or $16,000, respectively; in addition, he was entitled to a one-time bonus of an additional $65,000 if the ratio between the Company’s 2019 EBITDA and the Company’s 2018 EBITDA equaled or exceeded 118%. Based on the achievement of EBITDA targets by the Company, Mr. Hyzer’s bonus would have exceeded $800,000 due to the company’s strong performance in 2019; however, based on discussions with our board of directors, Mr. Hyzer and management agreed to cap his 2019 bonus at $600,000. Accordingly, our board of directors approved an incentive bonus payout of $600,000 to Mr. Hyzer in 2020, related to 2019 performance.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Bonus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time to time we pay special cash bonuses to reward superior performance. We paid Mr. Hays a special discretionary cash bonus of $112,500 to reward him for his performance in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Unit Agreements (Class P Units of ZoomInfo OpCo)</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ZoomInfo OpCo entered into incentive unit agreements (“Unit Agreements”) with each of Messrs. Schuck, Hyzer, and Hays, pursuant to which each named executive officer was issued Class P Units of ZoomInfo OpCo. The Class P Units are “profits interests” having economic characteristics similar to a stock right and have the right to share in any increase in the equity value of ZoomInfo OpCo above a certain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the strike price). Mr. Schuck was issued 1,928,869.10 units on January 15, 2019. Mr. Hyzer was issued 1,753,517.36 units on December 26, 2018. Mr. Hays was issued 350,703.47 units on July 26, 2018, 876,758.69 units on June 27, 2019, and 70,000.00 units on October 17, 2019.</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Unit Agreement for each named executive officer provides that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 In the event of an involuntary termination of the executive officer’s employment without cause or, in the case of Messrs. Schuck and Hyzer, the executive officer’s resignation for good reason, in each case, during the 12-month period following a “liquidity event” (which includes a change of control or a liquidation of ZoomInfo OpCo, but did not include the IPO), all of the units will be deemed vested in full. Any Class P Units which do not vest on or prior to the date of the holder’s termination of employment will be forfeited for no consideration. Any vested Class P Units are subject to ZoomInfo OpCo’s right to repurchase (at its option) such Class P Units following the holder’s termination of employment for any reason. In the case of a holder’s termination for cause, resignation without good reason or proven participation in any competitive activity, the applicable repurchase price would be the lesser of the original purchase price paid by the holder for such units (</w:t>
      </w:r>
      <w:r>
        <w:rPr>
          <w:rFonts w:ascii="Arial" w:cs="Arial" w:eastAsia="Arial" w:hAnsi="Arial"/>
          <w:sz w:val="16"/>
          <w:szCs w:val="16"/>
          <w:i w:val="1"/>
          <w:iCs w:val="1"/>
          <w:color w:val="auto"/>
        </w:rPr>
        <w:t>i.e.</w:t>
      </w:r>
      <w:r>
        <w:rPr>
          <w:rFonts w:ascii="Arial" w:cs="Arial" w:eastAsia="Arial" w:hAnsi="Arial"/>
          <w:sz w:val="16"/>
          <w:szCs w:val="16"/>
          <w:color w:val="auto"/>
        </w:rPr>
        <w:t>, zero in the case of Class P Units that were awarded without payment) and the fair market value of such Class P Units at the time of termination. In the case of any other termination of employment, the repurchase price would be equal to the fair market value of the Class P Units as determined within 60 days prior to the applicable repurchase date.</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Unit Agreement for each executive officer contains a non-competition covenant during employment and the 24-month period following termination of employment; upon breach of this covenant, all vested units will be forfeited and canceled.</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Holders of Class P Units have the ability to directly or indirectly convert their Class P Units into shares of our Class A common stock pursuant to the terms of the amended and restated limited liability company agreement of ZoomInfo OpCo or ZoomInfo HoldCo, as applicable.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21" w:right="339" w:bottom="1440" w:gutter="0" w:footer="0" w:header="0"/>
        </w:sectPr>
      </w:pPr>
    </w:p>
    <w:bookmarkStart w:id="175" w:name="page176"/>
    <w:bookmarkEnd w:id="17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 (Common Units of HSKB Funds, LLC)</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HSKB is a privately held limited liability company formed on February 9, 2016 for the purpose of issuing equity to certain persons who had performed and would continue to perform services for ZoomInfo OpCo, which was done through the contribution of profits interests in DO Sub-Holdings, LLC held by DO Holdings (WA), LLC to HSKB at the direction of the Founders. HSKB was capitalized through the issuance of common units (profits interests).</w:t>
      </w:r>
    </w:p>
    <w:p>
      <w:pPr>
        <w:spacing w:after="0" w:line="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HSKB entered into subscription agreements (the “Subscription Agreements”) with each of Messrs. Schuck and Hays, pursuant to which each executive officer was issued common units of HSKB. Mr. Schuck was issued 366,345 units, all of which are fully vested and have voting rights, on June 23, 2016. Mr. Hays was issued 4,000 units on June 23, 2016, 1,000 units on August 24, 2017, 2,000 units on September 11, 2017, 5,000 units on October 31, 2018, and 5,000 units on January 7, 2019. All of the units issued to Mr. Hays were unvested and have no voting rights. The numbers of HSKB Units acquired pursuant to the Subscription Agreements as described in this paragraph were subsequently adjusted to reflect the 60.02977736-for-one split of the HSKB Units, which occurred on December 18, 2019 and the four-for-one reverse split of the HSKB Units, which occurred on May 20, 2020. The split-adjusted numbers of HSKB Units held by Mr. Hays are reflected in the table “Outstanding Equity Awards at December 31, 2019” set forth below.</w:t>
      </w:r>
    </w:p>
    <w:p>
      <w:pPr>
        <w:spacing w:after="0" w:line="11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Subscription Agreement for Mr. Hays provides that the units will vest only upon the acquisition (whether by purchase, merger, consolidation, combination or other similar transaction) by any third party or group of third parties acting in concert of beneficial ownership of more than 90% (on a fully diluted basis) of the membership interests in ZoomInfo OpCo, in exchange for cash consideration, or the sale, transfer or other disposition by ZoomInfo OpCo or its subsidiaries of all or substantially all of their assets on a consolidated basis to a third party or a group of third parties acting in concert, in exchange for cash consideration (any such event, a “Sale Event”). However, Mr. Schuck is authorized, under the terms of the LLC Agreement governing HSKB, to accelerate or otherwise vary the vesting terms applicable to Mr. Hays’s HSKB Units. Pursuant to the LLC Agreement governing HSKB,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HSKB Units.</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December 2019, the vesting and forfeiture terms of all grants of HSKB Units (including the grant made to Mr. Hays) were modified to add an additional vesting condition, wherein 50% of a grant of HSKB Units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after the consummation of an IPO. There was no incremental equity compensation expense under ASC Topic 718 associated with the modification of Mr. Hays’ HSKB Units on the date of modification. We will use the modification date fair value to record equity compensation expense related to Mr. Hays’ HSKB Units which and if they become probable of vesting in a future period.</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HSKB Units have the ability to indirectly convert their HSKB Units into shares of our Class A common stock pursuant to the terms of the amended and restated limited liability company agreement of ZoomInfo OpCo or ZoomInfo HoldCo, as applicable.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Distribution on HSKB Units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2018, HSKB Funds, LLC approved a special cash distribution on the unvested HSKB Units. Accordingly, Mr. Hays was entitled to a cash distribution with respect to his HSKB Units in an amount equal to $80.99 per HSKB Unit. 40% of the special cash distribution was vested and paid immediately and the remaining amount vests and is paid in equal installments over three years. The special cash distribution amounts will accelerate and vest upon the vesting of the HSKB Units.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21" w:right="339" w:bottom="1440" w:gutter="0" w:footer="0" w:header="0"/>
        </w:sectPr>
      </w:pPr>
    </w:p>
    <w:bookmarkStart w:id="176" w:name="page177"/>
    <w:bookmarkEnd w:id="17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special distribution was accounted for as a modification. The modification to the unvested HSKB Units resulted in incremental compensation expense, or incremental fair value, equal to the amount of such special distribution. In accordance with the SEC’s disclosure rules, such incremental fair value for Mr. Hays is reflected in the “Stock Awards” column of the Summary Compensation Table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HSKB Phantom Units (Common Units of ZoomInfo OpCo)</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December 2019, HSKB adopted its 2019 Phantom Unit Plan and granted 22,500 HSKB Phantom Units to Mr. Hays pursuant to the terms of such plan. Each of the HSKB Phantom Units represents the economic equivalent of one common unit of ZoomInfo OpCo. The HSKB Phantom Units will vest upon the first to occur of (i) a Sale Event and (ii) the date following the IPO upon which both (a) OpCo Units held directly or indirectly by HSKB may be exchanged for our common stock and (b) the “service vesting condition” applicable to the HSKB Phantom Units has been met. The “service vesting condition” for Mr. Hays’ HSKB Phantom Units will be deemed to have been met with respect to 50% of such HSKB Phantom Units on July 1, 2021, and with respect to the remaining 50% of such HSKB Phantom Units in equal monthly installments over the two year period following July 1, 2021, in each case, subject to Mr. Hays’ continued service relationship through such vesting dates. Vested HSKB Phantom Units may be settled either in cash or in shares of our common stock. HSKB may also accelerate the vesting of Mr. Hays’ HSKB Phantom Units. In the event the vesting date for the HSKB Phantom Units does not occur prior to December 23, 2029, any then-outstanding HSKB Phantom Units will be forfeited.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various employee benefit programs to our named executive officers, including medical, vision, and dental benefits. These benefit programs are generally available to all of our employees with certain variations based on jurisdictions and seniority. 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Perquisites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Executive perquisites are not part of our general compensation philosophy; however, we provide limited perquisites and personal benefits that are not generally available to all employees when necessary to attract top talent. For example, pursuant to the terms of his employment agreement we provided Mr. Hyzer with a temporary housing and commuting allowance as described under “—Narrative Disclosure to Summary Compensation Table—Employment Agreements”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named executive officers are eligible to participate in the defined contribution pension plan (the “401(k) Plan”) we maintain for all full-time U.S. employees with at least four months of service. The 401(k) Plan is intended to qualify as a tax-qualified plan under Section 401(k) of the Code. The 401(k) Plan provides that each participant may contribute up to 90% of such participant’s compensation pursuant to certain restrictions. Participants in 401(k) Plan receive a matching contribution from us equal to 35% of the first 6% of the participant’s eligible compensation deferred under the plan. We may also make discretionary profit-sharing contributions to eligible participants. We do not have a defined benefit plan or any non-qualified deferred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21" w:right="339" w:bottom="1440" w:gutter="0" w:footer="0" w:header="0"/>
        </w:sectPr>
      </w:pPr>
    </w:p>
    <w:bookmarkStart w:id="177" w:name="page178"/>
    <w:bookmarkEnd w:id="17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outstanding equity awards made to our named executive officers as of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4"/>
          </w:tcPr>
          <w:p>
            <w:pPr>
              <w:ind w:left="1360"/>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Equity Incentive Plan Awards:</w:t>
            </w:r>
          </w:p>
        </w:tc>
        <w:tc>
          <w:tcPr>
            <w:tcW w:w="17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8"/>
              </w:rPr>
              <w:t>Equity Incentive Plan Awards:</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Market Value of Shares or</w:t>
            </w:r>
          </w:p>
        </w:tc>
        <w:tc>
          <w:tcPr>
            <w:tcW w:w="19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0"/>
                <w:szCs w:val="10"/>
                <w:color w:val="auto"/>
              </w:rPr>
            </w:pPr>
          </w:p>
        </w:tc>
        <w:tc>
          <w:tcPr>
            <w:tcW w:w="1680" w:type="dxa"/>
            <w:vAlign w:val="bottom"/>
          </w:tcPr>
          <w:p>
            <w:pPr>
              <w:jc w:val="center"/>
              <w:ind w:right="32"/>
              <w:spacing w:after="0" w:line="122" w:lineRule="exact"/>
              <w:rPr>
                <w:sz w:val="20"/>
                <w:szCs w:val="20"/>
                <w:color w:val="auto"/>
              </w:rPr>
            </w:pPr>
            <w:r>
              <w:rPr>
                <w:rFonts w:ascii="Arial" w:cs="Arial" w:eastAsia="Arial" w:hAnsi="Arial"/>
                <w:sz w:val="13"/>
                <w:szCs w:val="13"/>
                <w:b w:val="1"/>
                <w:bCs w:val="1"/>
                <w:color w:val="auto"/>
                <w:w w:val="90"/>
              </w:rPr>
              <w:t>Market or Payout Value</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Number of Shares or Units of</w:t>
            </w:r>
          </w:p>
        </w:tc>
        <w:tc>
          <w:tcPr>
            <w:tcW w:w="10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9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Unearned Shares, Units or</w:t>
            </w:r>
          </w:p>
        </w:tc>
        <w:tc>
          <w:tcPr>
            <w:tcW w:w="100" w:type="dxa"/>
            <w:vAlign w:val="bottom"/>
          </w:tcPr>
          <w:p>
            <w:pPr>
              <w:spacing w:after="0"/>
              <w:rPr>
                <w:sz w:val="10"/>
                <w:szCs w:val="10"/>
                <w:color w:val="auto"/>
              </w:rPr>
            </w:pPr>
          </w:p>
        </w:tc>
        <w:tc>
          <w:tcPr>
            <w:tcW w:w="1680" w:type="dxa"/>
            <w:vAlign w:val="bottom"/>
          </w:tcPr>
          <w:p>
            <w:pPr>
              <w:jc w:val="center"/>
              <w:ind w:right="52"/>
              <w:spacing w:after="0" w:line="122" w:lineRule="exact"/>
              <w:rPr>
                <w:sz w:val="20"/>
                <w:szCs w:val="20"/>
                <w:color w:val="auto"/>
              </w:rPr>
            </w:pPr>
            <w:r>
              <w:rPr>
                <w:rFonts w:ascii="Arial" w:cs="Arial" w:eastAsia="Arial" w:hAnsi="Arial"/>
                <w:sz w:val="13"/>
                <w:szCs w:val="13"/>
                <w:b w:val="1"/>
                <w:bCs w:val="1"/>
                <w:color w:val="auto"/>
                <w:w w:val="87"/>
              </w:rPr>
              <w:t>of Unearned Shares, Units or</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8"/>
              </w:rPr>
              <w:t>Units of Stock That Have Not</w:t>
            </w:r>
          </w:p>
        </w:tc>
        <w:tc>
          <w:tcPr>
            <w:tcW w:w="19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0"/>
              </w:rPr>
              <w:t>Other Rights That Have Not</w:t>
            </w:r>
          </w:p>
        </w:tc>
        <w:tc>
          <w:tcPr>
            <w:tcW w:w="100" w:type="dxa"/>
            <w:vAlign w:val="bottom"/>
          </w:tcPr>
          <w:p>
            <w:pPr>
              <w:spacing w:after="0"/>
              <w:rPr>
                <w:sz w:val="10"/>
                <w:szCs w:val="10"/>
                <w:color w:val="auto"/>
              </w:rPr>
            </w:pPr>
          </w:p>
        </w:tc>
        <w:tc>
          <w:tcPr>
            <w:tcW w:w="1680" w:type="dxa"/>
            <w:vAlign w:val="bottom"/>
          </w:tcPr>
          <w:p>
            <w:pPr>
              <w:jc w:val="center"/>
              <w:ind w:right="52"/>
              <w:spacing w:after="0" w:line="122" w:lineRule="exact"/>
              <w:rPr>
                <w:sz w:val="20"/>
                <w:szCs w:val="20"/>
                <w:color w:val="auto"/>
              </w:rPr>
            </w:pPr>
            <w:r>
              <w:rPr>
                <w:rFonts w:ascii="Arial" w:cs="Arial" w:eastAsia="Arial" w:hAnsi="Arial"/>
                <w:sz w:val="13"/>
                <w:szCs w:val="13"/>
                <w:b w:val="1"/>
                <w:bCs w:val="1"/>
                <w:color w:val="auto"/>
                <w:w w:val="89"/>
              </w:rPr>
              <w:t>Other Rights That Have Not</w:t>
            </w:r>
          </w:p>
        </w:tc>
        <w:tc>
          <w:tcPr>
            <w:tcW w:w="0" w:type="dxa"/>
            <w:vAlign w:val="bottom"/>
          </w:tcPr>
          <w:p>
            <w:pPr>
              <w:spacing w:after="0"/>
              <w:rPr>
                <w:sz w:val="1"/>
                <w:szCs w:val="1"/>
                <w:color w:val="auto"/>
              </w:rPr>
            </w:pPr>
          </w:p>
        </w:tc>
      </w:tr>
      <w:tr>
        <w:trPr>
          <w:trHeight w:val="121"/>
        </w:trPr>
        <w:tc>
          <w:tcPr>
            <w:tcW w:w="1780" w:type="dxa"/>
            <w:vAlign w:val="bottom"/>
            <w:vMerge w:val="restart"/>
          </w:tcPr>
          <w:p>
            <w:pPr>
              <w:ind w:left="740"/>
              <w:spacing w:after="0"/>
              <w:rPr>
                <w:sz w:val="20"/>
                <w:szCs w:val="20"/>
                <w:color w:val="auto"/>
              </w:rPr>
            </w:pPr>
            <w:r>
              <w:rPr>
                <w:rFonts w:ascii="Arial" w:cs="Arial" w:eastAsia="Arial" w:hAnsi="Arial"/>
                <w:sz w:val="13"/>
                <w:szCs w:val="13"/>
                <w:b w:val="1"/>
                <w:bCs w:val="1"/>
                <w:color w:val="auto"/>
              </w:rPr>
              <w:t>Name</w:t>
            </w:r>
          </w:p>
        </w:tc>
        <w:tc>
          <w:tcPr>
            <w:tcW w:w="100" w:type="dxa"/>
            <w:vAlign w:val="bottom"/>
            <w:vMerge w:val="restart"/>
          </w:tcPr>
          <w:p>
            <w:pPr>
              <w:spacing w:after="0"/>
              <w:rPr>
                <w:sz w:val="10"/>
                <w:szCs w:val="10"/>
                <w:color w:val="auto"/>
              </w:rPr>
            </w:pPr>
          </w:p>
        </w:tc>
        <w:tc>
          <w:tcPr>
            <w:tcW w:w="1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Grant Date</w:t>
            </w:r>
          </w:p>
        </w:tc>
        <w:tc>
          <w:tcPr>
            <w:tcW w:w="120" w:type="dxa"/>
            <w:vAlign w:val="bottom"/>
            <w:vMerge w:val="restart"/>
          </w:tcPr>
          <w:p>
            <w:pPr>
              <w:spacing w:after="0"/>
              <w:rPr>
                <w:sz w:val="10"/>
                <w:szCs w:val="10"/>
                <w:color w:val="auto"/>
              </w:rPr>
            </w:pPr>
          </w:p>
        </w:tc>
        <w:tc>
          <w:tcPr>
            <w:tcW w:w="18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Stock That Have Not Vested</w:t>
            </w:r>
          </w:p>
        </w:tc>
        <w:tc>
          <w:tcPr>
            <w:tcW w:w="100" w:type="dxa"/>
            <w:vAlign w:val="bottom"/>
          </w:tcPr>
          <w:p>
            <w:pPr>
              <w:spacing w:after="0"/>
              <w:rPr>
                <w:sz w:val="10"/>
                <w:szCs w:val="10"/>
                <w:color w:val="auto"/>
              </w:rPr>
            </w:pPr>
          </w:p>
        </w:tc>
        <w:tc>
          <w:tcPr>
            <w:tcW w:w="17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79"/>
              </w:rPr>
              <w:t>Vested</w:t>
            </w:r>
          </w:p>
        </w:tc>
        <w:tc>
          <w:tcPr>
            <w:tcW w:w="19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79"/>
              </w:rPr>
              <w:t>Vested</w:t>
            </w:r>
          </w:p>
        </w:tc>
        <w:tc>
          <w:tcPr>
            <w:tcW w:w="100" w:type="dxa"/>
            <w:vAlign w:val="bottom"/>
          </w:tcPr>
          <w:p>
            <w:pPr>
              <w:spacing w:after="0"/>
              <w:rPr>
                <w:sz w:val="10"/>
                <w:szCs w:val="10"/>
                <w:color w:val="auto"/>
              </w:rPr>
            </w:pPr>
          </w:p>
        </w:tc>
        <w:tc>
          <w:tcPr>
            <w:tcW w:w="1680" w:type="dxa"/>
            <w:vAlign w:val="bottom"/>
          </w:tcPr>
          <w:p>
            <w:pPr>
              <w:jc w:val="center"/>
              <w:ind w:right="52"/>
              <w:spacing w:after="0" w:line="122" w:lineRule="exact"/>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70"/>
        </w:trPr>
        <w:tc>
          <w:tcPr>
            <w:tcW w:w="1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8"/>
                <w:szCs w:val="8"/>
                <w:b w:val="1"/>
                <w:bCs w:val="1"/>
                <w:color w:val="auto"/>
                <w:w w:val="93"/>
              </w:rPr>
              <w:t>(1)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8"/>
                <w:szCs w:val="8"/>
                <w:b w:val="1"/>
                <w:bCs w:val="1"/>
                <w:color w:val="auto"/>
                <w:w w:val="93"/>
              </w:rPr>
              <w:t>(2)</w:t>
            </w:r>
          </w:p>
        </w:tc>
        <w:tc>
          <w:tcPr>
            <w:tcW w:w="1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8"/>
                <w:szCs w:val="8"/>
                <w:b w:val="1"/>
                <w:bCs w:val="1"/>
                <w:color w:val="auto"/>
                <w:w w:val="93"/>
              </w:rPr>
              <w:t>(3)</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8"/>
                <w:szCs w:val="8"/>
                <w:b w:val="1"/>
                <w:bCs w:val="1"/>
                <w:color w:val="auto"/>
                <w:w w:val="93"/>
              </w:rPr>
              <w:t>(4)</w:t>
            </w: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Henry Schuck</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01/16/2019</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1,928,869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20,214,548</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Cameron Hyzer</w:t>
            </w: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12/26/2018</w:t>
            </w:r>
          </w:p>
        </w:tc>
        <w:tc>
          <w:tcPr>
            <w:tcW w:w="1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1,753,517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93"/>
              <w:spacing w:after="0"/>
              <w:rPr>
                <w:sz w:val="20"/>
                <w:szCs w:val="20"/>
                <w:color w:val="auto"/>
              </w:rPr>
            </w:pPr>
            <w:r>
              <w:rPr>
                <w:rFonts w:ascii="Arial" w:cs="Arial" w:eastAsia="Arial" w:hAnsi="Arial"/>
                <w:sz w:val="14"/>
                <w:szCs w:val="14"/>
                <w:color w:val="auto"/>
              </w:rPr>
              <w:t>18,376,862</w:t>
            </w:r>
          </w:p>
        </w:tc>
        <w:tc>
          <w:tcPr>
            <w:tcW w:w="100" w:type="dxa"/>
            <w:vAlign w:val="bottom"/>
          </w:tcPr>
          <w:p>
            <w:pPr>
              <w:spacing w:after="0"/>
              <w:rPr>
                <w:sz w:val="17"/>
                <w:szCs w:val="17"/>
                <w:color w:val="auto"/>
              </w:rPr>
            </w:pPr>
          </w:p>
        </w:tc>
        <w:tc>
          <w:tcPr>
            <w:tcW w:w="1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Chris Hays</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06/23/2016</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60,030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862,027</w:t>
            </w:r>
          </w:p>
        </w:tc>
        <w:tc>
          <w:tcPr>
            <w:tcW w:w="0" w:type="dxa"/>
            <w:vAlign w:val="bottom"/>
          </w:tcPr>
          <w:p>
            <w:pPr>
              <w:spacing w:after="0"/>
              <w:rPr>
                <w:sz w:val="1"/>
                <w:szCs w:val="1"/>
                <w:color w:val="auto"/>
              </w:rPr>
            </w:pPr>
          </w:p>
        </w:tc>
      </w:tr>
      <w:tr>
        <w:trPr>
          <w:trHeight w:val="197"/>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08/24/2017</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ind w:right="72"/>
              <w:spacing w:after="0"/>
              <w:rPr>
                <w:sz w:val="20"/>
                <w:szCs w:val="20"/>
                <w:color w:val="auto"/>
              </w:rPr>
            </w:pPr>
            <w:r>
              <w:rPr>
                <w:rFonts w:ascii="Arial" w:cs="Arial" w:eastAsia="Arial" w:hAnsi="Arial"/>
                <w:sz w:val="14"/>
                <w:szCs w:val="14"/>
                <w:color w:val="auto"/>
              </w:rPr>
              <w:t>15,008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92"/>
              <w:spacing w:after="0"/>
              <w:rPr>
                <w:sz w:val="20"/>
                <w:szCs w:val="20"/>
                <w:color w:val="auto"/>
              </w:rPr>
            </w:pPr>
            <w:r>
              <w:rPr>
                <w:rFonts w:ascii="Arial" w:cs="Arial" w:eastAsia="Arial" w:hAnsi="Arial"/>
                <w:sz w:val="14"/>
                <w:szCs w:val="14"/>
                <w:color w:val="auto"/>
              </w:rPr>
              <w:t>215,508</w:t>
            </w:r>
          </w:p>
        </w:tc>
        <w:tc>
          <w:tcPr>
            <w:tcW w:w="0" w:type="dxa"/>
            <w:vAlign w:val="bottom"/>
          </w:tcPr>
          <w:p>
            <w:pPr>
              <w:spacing w:after="0"/>
              <w:rPr>
                <w:sz w:val="1"/>
                <w:szCs w:val="1"/>
                <w:color w:val="auto"/>
              </w:rPr>
            </w:pPr>
          </w:p>
        </w:tc>
      </w:tr>
      <w:tr>
        <w:trPr>
          <w:trHeight w:val="208"/>
        </w:trPr>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09/11/2017</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30,015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431,012</w:t>
            </w:r>
          </w:p>
        </w:tc>
        <w:tc>
          <w:tcPr>
            <w:tcW w:w="0" w:type="dxa"/>
            <w:vAlign w:val="bottom"/>
          </w:tcPr>
          <w:p>
            <w:pPr>
              <w:spacing w:after="0"/>
              <w:rPr>
                <w:sz w:val="1"/>
                <w:szCs w:val="1"/>
                <w:color w:val="auto"/>
              </w:rPr>
            </w:pPr>
          </w:p>
        </w:tc>
      </w:tr>
      <w:tr>
        <w:trPr>
          <w:trHeight w:val="197"/>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10/31/2018</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ind w:right="72"/>
              <w:spacing w:after="0"/>
              <w:rPr>
                <w:sz w:val="20"/>
                <w:szCs w:val="20"/>
                <w:color w:val="auto"/>
              </w:rPr>
            </w:pPr>
            <w:r>
              <w:rPr>
                <w:rFonts w:ascii="Arial" w:cs="Arial" w:eastAsia="Arial" w:hAnsi="Arial"/>
                <w:sz w:val="14"/>
                <w:szCs w:val="14"/>
                <w:color w:val="auto"/>
              </w:rPr>
              <w:t>75,037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92"/>
              <w:spacing w:after="0"/>
              <w:rPr>
                <w:sz w:val="20"/>
                <w:szCs w:val="20"/>
                <w:color w:val="auto"/>
              </w:rPr>
            </w:pPr>
            <w:r>
              <w:rPr>
                <w:rFonts w:ascii="Arial" w:cs="Arial" w:eastAsia="Arial" w:hAnsi="Arial"/>
                <w:sz w:val="14"/>
                <w:szCs w:val="14"/>
                <w:color w:val="auto"/>
              </w:rPr>
              <w:t>1,400,385</w:t>
            </w:r>
          </w:p>
        </w:tc>
        <w:tc>
          <w:tcPr>
            <w:tcW w:w="0" w:type="dxa"/>
            <w:vAlign w:val="bottom"/>
          </w:tcPr>
          <w:p>
            <w:pPr>
              <w:spacing w:after="0"/>
              <w:rPr>
                <w:sz w:val="1"/>
                <w:szCs w:val="1"/>
                <w:color w:val="auto"/>
              </w:rPr>
            </w:pPr>
          </w:p>
        </w:tc>
      </w:tr>
      <w:tr>
        <w:trPr>
          <w:trHeight w:val="208"/>
        </w:trPr>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01/07/2019</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75,037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1,522,485</w:t>
            </w:r>
          </w:p>
        </w:tc>
        <w:tc>
          <w:tcPr>
            <w:tcW w:w="0" w:type="dxa"/>
            <w:vAlign w:val="bottom"/>
          </w:tcPr>
          <w:p>
            <w:pPr>
              <w:spacing w:after="0"/>
              <w:rPr>
                <w:sz w:val="1"/>
                <w:szCs w:val="1"/>
                <w:color w:val="auto"/>
              </w:rPr>
            </w:pPr>
          </w:p>
        </w:tc>
      </w:tr>
      <w:tr>
        <w:trPr>
          <w:trHeight w:val="197"/>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07/26/2018</w:t>
            </w:r>
          </w:p>
        </w:tc>
        <w:tc>
          <w:tcPr>
            <w:tcW w:w="1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350,703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93"/>
              <w:spacing w:after="0"/>
              <w:rPr>
                <w:sz w:val="20"/>
                <w:szCs w:val="20"/>
                <w:color w:val="auto"/>
              </w:rPr>
            </w:pPr>
            <w:r>
              <w:rPr>
                <w:rFonts w:ascii="Arial" w:cs="Arial" w:eastAsia="Arial" w:hAnsi="Arial"/>
                <w:sz w:val="14"/>
                <w:szCs w:val="14"/>
                <w:color w:val="auto"/>
              </w:rPr>
              <w:t>3,675,372</w:t>
            </w: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06/24/2019</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876,759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7,084,210</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10/17/2019</w:t>
            </w:r>
          </w:p>
        </w:tc>
        <w:tc>
          <w:tcPr>
            <w:tcW w:w="1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70,000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93"/>
              <w:spacing w:after="0"/>
              <w:rPr>
                <w:sz w:val="20"/>
                <w:szCs w:val="20"/>
                <w:color w:val="auto"/>
              </w:rPr>
            </w:pPr>
            <w:r>
              <w:rPr>
                <w:rFonts w:ascii="Arial" w:cs="Arial" w:eastAsia="Arial" w:hAnsi="Arial"/>
                <w:sz w:val="14"/>
                <w:szCs w:val="14"/>
                <w:color w:val="auto"/>
              </w:rPr>
              <w:t>565,600</w:t>
            </w: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12/29/2019</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22,500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323,100</w:t>
            </w:r>
          </w:p>
        </w:tc>
        <w:tc>
          <w:tcPr>
            <w:tcW w:w="0" w:type="dxa"/>
            <w:vAlign w:val="bottom"/>
          </w:tcPr>
          <w:p>
            <w:pPr>
              <w:spacing w:after="0"/>
              <w:rPr>
                <w:sz w:val="1"/>
                <w:szCs w:val="1"/>
                <w:color w:val="auto"/>
              </w:rPr>
            </w:pPr>
          </w:p>
        </w:tc>
      </w:tr>
      <w:tr>
        <w:trPr>
          <w:trHeight w:val="155"/>
        </w:trPr>
        <w:tc>
          <w:tcPr>
            <w:tcW w:w="178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Represents Class P Units that vest as follows:</w:t>
      </w:r>
    </w:p>
    <w:p>
      <w:pPr>
        <w:spacing w:after="0" w:line="1" w:lineRule="exact"/>
        <w:rPr>
          <w:rFonts w:ascii="Arial" w:cs="Arial" w:eastAsia="Arial" w:hAnsi="Arial"/>
          <w:sz w:val="14"/>
          <w:szCs w:val="14"/>
          <w:color w:val="auto"/>
        </w:rPr>
      </w:pPr>
    </w:p>
    <w:p>
      <w:pPr>
        <w:ind w:left="340"/>
        <w:spacing w:after="0" w:line="241" w:lineRule="auto"/>
        <w:rPr>
          <w:rFonts w:ascii="Arial" w:cs="Arial" w:eastAsia="Arial" w:hAnsi="Arial"/>
          <w:sz w:val="14"/>
          <w:szCs w:val="14"/>
          <w:color w:val="auto"/>
        </w:rPr>
      </w:pPr>
      <w:r>
        <w:rPr>
          <w:rFonts w:ascii="Arial" w:cs="Arial" w:eastAsia="Arial" w:hAnsi="Arial"/>
          <w:sz w:val="14"/>
          <w:szCs w:val="14"/>
          <w:color w:val="auto"/>
        </w:rPr>
        <w:t>As to Mr. Schuck, 964,435 vested on March 12, 2020 and 964,435 vest in equal monthly installments during the 24 months following March 12, 2020, in each case subject to his continued service on each vesting date.</w:t>
      </w:r>
    </w:p>
    <w:p>
      <w:pPr>
        <w:ind w:left="340"/>
        <w:spacing w:after="0" w:line="241" w:lineRule="auto"/>
        <w:rPr>
          <w:rFonts w:ascii="Arial" w:cs="Arial" w:eastAsia="Arial" w:hAnsi="Arial"/>
          <w:sz w:val="14"/>
          <w:szCs w:val="14"/>
          <w:color w:val="auto"/>
        </w:rPr>
      </w:pPr>
      <w:r>
        <w:rPr>
          <w:rFonts w:ascii="Arial" w:cs="Arial" w:eastAsia="Arial" w:hAnsi="Arial"/>
          <w:sz w:val="14"/>
          <w:szCs w:val="14"/>
          <w:color w:val="auto"/>
        </w:rPr>
        <w:t>As to Mr. Hyzer, 876,759 vest on November 12, 2020 and 876,759 vest in equal monthly installments during the 24 months following November 12, 2020, in each case subject to his continued service on each vesting date.</w:t>
      </w:r>
    </w:p>
    <w:p>
      <w:pPr>
        <w:jc w:val="both"/>
        <w:ind w:left="340"/>
        <w:spacing w:after="0" w:line="260" w:lineRule="auto"/>
        <w:rPr>
          <w:rFonts w:ascii="Arial" w:cs="Arial" w:eastAsia="Arial" w:hAnsi="Arial"/>
          <w:sz w:val="14"/>
          <w:szCs w:val="14"/>
          <w:color w:val="auto"/>
        </w:rPr>
      </w:pPr>
      <w:r>
        <w:rPr>
          <w:rFonts w:ascii="Arial" w:cs="Arial" w:eastAsia="Arial" w:hAnsi="Arial"/>
          <w:sz w:val="13"/>
          <w:szCs w:val="13"/>
          <w:color w:val="auto"/>
        </w:rPr>
        <w:t>As to Mr. Hays, of the 350,703 granted on July 26, 2018, 175,352 vested on July 1, 2020 and 175,352 vest in equal monthly installments during the 24 months following July 1, 2020, in each case subject to his continued service on each vesting date. Of the 876,759 granted on June 24, 2019, 438,379 vest on February 1, 2021 and 438,379 vest in equal monthly installments during the 24 months following February 1, 2021, in each case subject to his continued service on each vesting date. Of the 70,000 granted on October 17, 2019, 35,000 vest on October 1, 2021 and 35,000 vest in equal monthly installments during the 24 months following October 1, 2021, in each case subject to his continued service on each vesting date.</w:t>
      </w:r>
    </w:p>
    <w:p>
      <w:pPr>
        <w:ind w:left="320" w:hanging="312"/>
        <w:spacing w:after="0"/>
        <w:tabs>
          <w:tab w:leader="none" w:pos="3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Based on the appreciation, if any, in the value of our business from and after the date of grant through the date of our most recent valuation prior to December 31, 2019.</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49"/>
        </w:numPr>
        <w:rPr>
          <w:rFonts w:ascii="Arial" w:cs="Arial" w:eastAsia="Arial" w:hAnsi="Arial"/>
          <w:sz w:val="14"/>
          <w:szCs w:val="14"/>
          <w:color w:val="auto"/>
        </w:rPr>
      </w:pPr>
      <w:r>
        <w:rPr>
          <w:rFonts w:ascii="Arial" w:cs="Arial" w:eastAsia="Arial" w:hAnsi="Arial"/>
          <w:sz w:val="14"/>
          <w:szCs w:val="14"/>
          <w:color w:val="auto"/>
        </w:rPr>
        <w:t>Represents HSKB Units and HSKB Phantom Units, as applicable, that vest in full upon the occurrence of certain liquidity events, as described above under “—Narrative to Summary Compensation Table—Equity Awards.” Amounts represented in this column with respect to the HSKB Units reflect the 60.02977736-for-one split of the HSKB Units, which occurred on December 18, 2019 and the four-for-one reverse split of the HSKB Units, which occurred on May 20,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Based on our most recent valuation prior to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Change in Control Provisions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Messrs. Schuck and Hyzer are entitled to potential payments and benefits in connection with a termination of employment and/or a change in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describes the termination and change in control provisions under each executive’s employment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Schuck’s Employment Agreement</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21" w:right="339" w:bottom="1440" w:gutter="0" w:footer="0" w:header="0"/>
        </w:sectPr>
      </w:pPr>
    </w:p>
    <w:bookmarkStart w:id="178" w:name="page179"/>
    <w:bookmarkEnd w:id="17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time-based vesting that he holds as of the termination date and which were scheduled to vest within 12 months following the termination date.</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4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restrictive covenants applicable to Mr. Schuck, see “—Narrative Disclosure to Summary Compensation Table—Employment Agreements”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Hyzer’s Employment Agreement</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Mr. Hyzer’s employment agreement, upon termination of his employment by the Company without cause or his resignation with good reason, he is entitled to a severance payment (subject to his execution of a general release of claims against the Company) equal to one year of his base salary plus the expected amount of his annual performance bonus for the year in which the termination occurs, based on the Company’s projected achievement of performance metrics and prorated through the termination date; provided, that the bonus amount will not be prorated if such termination occurs as a result of an “acquisition” (defined as an acquisition by an unaffiliated party of a majority of the outstanding equity interests or all or substantially all of the assets of the Company or the result of a decision by the Company or its direct or indirect owners that the Company undergo an acquisition). Mr. Hyzer’s employment agreement further provides that upon termination of his employment due to death or disability, he is entitled to a severance payment equal to the expected amount of his annual performance bonus for the year in which the termination occurs, based on the Company’s projected achievement of performance metrics and prorated through the termination date.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restrictive covenants applicable to Mr. Hyzer, see “—Narrative Disclosure to Summary Compensation Table—Employment Agreements”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the named executive officers holds equity awards pursuant to award agreements that provide for accelerated vesting upon certain qualifying terminations of employment. For a description of the accelerated vesting of the equity awards held by the named executive officers, see “—Narrative Disclosure to Summary Compensation Table—Equity Awards”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Adopted in Connection with the IPO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the IPO, our board of directors adopted, and our stockholders approved, the Company’s 2020 Omnibus Incentive Plan (the “2020 Plan”).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2020 Plan is to provide a means through which to attract and retain key personnel and to provide a means whereby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21" w:right="339" w:bottom="1440" w:gutter="0" w:footer="0" w:header="0"/>
        </w:sectPr>
      </w:pPr>
    </w:p>
    <w:bookmarkStart w:id="179" w:name="page180"/>
    <w:bookmarkEnd w:id="17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2020 Plan is administered by the compensation committee of our board of directors or such other committee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which it has properly delegated power, or if no such committee or subcommittee exists, our board of directors. The compensation committee is authorized to interpret, administer, reconcile any inconsistency in, correct any defect in and/or supply any omission in the 2020 Plan and any instrument or agreement relating to, or any award granted under, the 2020 Plan; establish, amend, suspend, or waive any rules and regulations and appoint such agents as the compensation committee deems appropriate for the proper administration of the 2020 Plan; adopt sub-plans; and to make any other determination and take any other action that the compensation committee deems necessary or desirable for the administration of the 2020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Plan. Unless otherwise expressly provided in the 2020 Plan, all designations, determinations, interpretations, and other decisions under or with respect to the 2020 Plan or any award or any documents evidencing awards granted pursuant to the 2020 Plan are within the sole discretion of the compensation committee, may be made at any time and are final, conclusive and binding upon all persons or entities, including, without limitation, us, any participant, any holder or beneficiary of any award, and any of our stockholders. Subject to the provisions of the 2020 Plan, the compensation committee may designate participants, determine the types and sizes of awards to be granted to participants, and determine the terms and conditions of awards, which will be set forth in the applicable award agreement.</w:t>
      </w:r>
    </w:p>
    <w:p>
      <w:pPr>
        <w:spacing w:after="0" w:line="12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Shares Subject to 2020 Plan</w:t>
      </w:r>
      <w:r>
        <w:rPr>
          <w:rFonts w:ascii="Arial" w:cs="Arial" w:eastAsia="Arial" w:hAnsi="Arial"/>
          <w:sz w:val="16"/>
          <w:szCs w:val="16"/>
          <w:color w:val="auto"/>
        </w:rPr>
        <w:t>. The 2020 Plan provides that the total number of shares of common stock that may be issued under the 2020 Plan</w:t>
      </w:r>
      <w:r>
        <w:rPr>
          <w:rFonts w:ascii="Arial" w:cs="Arial" w:eastAsia="Arial" w:hAnsi="Arial"/>
          <w:sz w:val="16"/>
          <w:szCs w:val="16"/>
          <w:i w:val="1"/>
          <w:iCs w:val="1"/>
          <w:color w:val="auto"/>
        </w:rPr>
        <w:t xml:space="preserve"> </w:t>
      </w:r>
      <w:r>
        <w:rPr>
          <w:rFonts w:ascii="Arial" w:cs="Arial" w:eastAsia="Arial" w:hAnsi="Arial"/>
          <w:sz w:val="16"/>
          <w:szCs w:val="16"/>
          <w:color w:val="auto"/>
        </w:rPr>
        <w:t>is 18,650,000 (the “plan share reserve”), provided, however, that the plan share reserve shall be increased on the first day of each fiscal year beginning with the 2021 fiscal year in an amount equal to the lesser of (i) the positive difference between (x) 5% of the outstanding common stock on the last day of the immediately preceding fiscal year (treating certain vested convertible securities as outstanding common stock for this purpose) and (y) the plan share reserve on the last day of the immediately preceding fiscal year and (ii) a lower number of shares of our common stock as determined by our board of directors. No more than the number of shares of common stock equal to the plan share reserve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 $700,000 in total value. Except for substitute awards (as described below), in the event any award expires or is cancelled, forfeited or terminated without issuance to the participant of the full number of shares to which the award related, the unissued shares of common stock underlying such award will be returned to the plan share reserve and may be granted again under the 2020 Plan. Shares of common stock withheld in payment of an option exercise price or taxes relating to an award, and shares equal to the number of shares surrendered in payment of any option exercise price, a stock appreciation right’s base price, or taxes relating to an award will constitute shares issued to a participant and will thus reduce the plan share reserve.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plan share reserve, except that substitute awards intended to qualify as “incentive stock options” will count against the limit on incentive stock options described above. No award may be granted under the 2020 Plan after the tenth anniversary of the effective date (as defined therein), but awards granted before then may extend beyond that date.</w:t>
      </w:r>
    </w:p>
    <w:p>
      <w:pPr>
        <w:spacing w:after="0" w:line="12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The compensation committee may grant non-qualified stock options and incentive stock options, under the 2020 Plan, with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determined by the compensation committee that are not inconsistent with the 2020 Plan. All stock options granted under the 2020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Plan is ten years from the initial date of grant, or with respect to any stock options intended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21" w:right="339" w:bottom="1440" w:gutter="0" w:footer="0" w:header="0"/>
        </w:sectPr>
      </w:pPr>
    </w:p>
    <w:bookmarkStart w:id="180" w:name="page181"/>
    <w:bookmarkEnd w:id="18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w:t>
      </w:r>
    </w:p>
    <w:p>
      <w:pPr>
        <w:spacing w:after="0" w:line="3" w:lineRule="exact"/>
        <w:rPr>
          <w:sz w:val="20"/>
          <w:szCs w:val="20"/>
          <w:color w:val="auto"/>
        </w:rPr>
      </w:pPr>
    </w:p>
    <w:p>
      <w:pPr>
        <w:jc w:val="both"/>
        <w:ind w:firstLine="8"/>
        <w:spacing w:after="0" w:line="270" w:lineRule="auto"/>
        <w:tabs>
          <w:tab w:leader="none" w:pos="29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other property having a fair market value on the date of exercise equal to the purchase price, (B)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and any applicable taxes. Any fractional shares of common stock will be settled in cash. Options will become vested and exercisable in such manner and on such date(s) or event(s) as determined by the compensation committee, provided that the compensation committee may, in its sole discretion, accelerate the vesting of any options at any time for any reason.</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otherwise provided by the compensation committee (whether in an award agreement or otherwise), in the event of (i) a participant’s termination of service for cause, all outstanding options will immediately terminate and expire, (ii) a participant’s termination of service due to death or disability, each outstanding unvested option will immediately terminate and expire, and vested options will remain exercisable for one year following termination of service (or, if earlier, through the last day of the tenth year from the initial date of grant), and (iii) a participant’s termination for any other reason, outstanding unvested options will terminate and expire and vested options remain exercisable for 90 days following termination (or, if earlier, through the last day of the tenth year from the initial date of grant).</w:t>
      </w:r>
    </w:p>
    <w:p>
      <w:pPr>
        <w:spacing w:after="0" w:line="1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Restricted Shares and Restricted Stock Units</w:t>
      </w:r>
      <w:r>
        <w:rPr>
          <w:rFonts w:ascii="Arial" w:cs="Arial" w:eastAsia="Arial" w:hAnsi="Arial"/>
          <w:sz w:val="16"/>
          <w:szCs w:val="16"/>
          <w:color w:val="auto"/>
        </w:rPr>
        <w:t>. The compensation committee may grant restricted shares of our common stock or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 Restricted shares of our common stock and restricted stock units will become vested in such manner and on such date(s) or event(s) as determined by the compensation committee, provided that the compensation committee may, in its sole discretion, accelerate the vesting of any restricted shares of our common stock or restricted stock units at any time for any reason. Unless otherwise provided by the compensation committee, whether in an award agreement or otherwise, in the event of a participant’s termination for any reason prior to vesting of any restricted shares or restricted stock units, as applicable (i) all vesting with respect to the participant’s restricted shares or restricted stock units, as applicable, will cease and (ii) unvested restricted shares and unvested restricted stock units will be forfeited for no consideration on the date of termination.</w:t>
      </w:r>
    </w:p>
    <w:p>
      <w:pPr>
        <w:spacing w:after="0" w:line="1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ZoomInfo OpCo Unit Awards. </w:t>
      </w:r>
      <w:r>
        <w:rPr>
          <w:rFonts w:ascii="Arial" w:cs="Arial" w:eastAsia="Arial" w:hAnsi="Arial"/>
          <w:sz w:val="18"/>
          <w:szCs w:val="18"/>
          <w:color w:val="auto"/>
        </w:rPr>
        <w:t>The compensation committee may issue awards in the form of OpCo Units or other classes of partnership units in</w:t>
      </w:r>
      <w:r>
        <w:rPr>
          <w:rFonts w:ascii="Arial" w:cs="Arial" w:eastAsia="Arial" w:hAnsi="Arial"/>
          <w:sz w:val="18"/>
          <w:szCs w:val="18"/>
          <w:i w:val="1"/>
          <w:iCs w:val="1"/>
          <w:color w:val="auto"/>
        </w:rPr>
        <w:t xml:space="preserve"> </w:t>
      </w:r>
      <w:r>
        <w:rPr>
          <w:rFonts w:ascii="Arial" w:cs="Arial" w:eastAsia="Arial" w:hAnsi="Arial"/>
          <w:sz w:val="18"/>
          <w:szCs w:val="18"/>
          <w:color w:val="auto"/>
        </w:rPr>
        <w:t>ZoomInfo OpCo (including, without limitation, LTIP Units) established pursuant to the amended and restated limited liability company agreement of ZoomInfo OpCo. ZoomInfo OpCo unit awards may be (1) convertible, exchangeable or redeemable for other limited partnership interests in ZoomInfo OpCo or shares of our Class A common stock or (2) valued by reference to the book value, fair value or performance of ZoomInfo OpCo limited partnership interests.</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purposes of calculating the number of shares underlying ZoomInfo OpCo unit awards relative to the total number of shares of our Class A common stock available for issuance under the 2020 Plan, the compensation committee will establish in good faith the maximum number of shares to which a participant receiving such an award may be entitled upon fulfillment of all applicable conditions set forth in the relevant award documentation,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21" w:right="339" w:bottom="1440" w:gutter="0" w:footer="0" w:header="0"/>
        </w:sectPr>
      </w:pPr>
    </w:p>
    <w:bookmarkStart w:id="181" w:name="page182"/>
    <w:bookmarkEnd w:id="18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including vesting conditions, partnership capital account allocations, value accretion factors, conversion ratios, exchange ratios and other similar criteria. If and when any such conditions are no longer capable of being met, in whole or in part, the number of shares of our Class A common stock underlying such award will be reduced accordingly by the compensation committee, and the number of shares available under the 2020 Plan will be increased by one share for each share so reduced. The compensation committee will determine all other terms of ZoomInfo OpCo unit awards. The award documentation in respect of ZoomInfo OpCo unit awards may provide that the recipient will be entitled to receive, currently or on a deferred or contingent basis, dividends or dividend equivalents with respect to the number of shares of our Class A common stock underlying the award or other distributions from ZoomInfo OpCo prior to vesting (whether based on a period of time or based on attainment of specified performance conditions), as determined at the time of grant by the compensation committee, in its sole discretion, and the compensation committee may provide that such amounts (if any) will be deemed to have been reinvested in additional shares of our Class A common stock or ZoomInfo OpCo units.</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Other Equity-Based Awards and Cash-Based Awards. </w:t>
      </w:r>
      <w:r>
        <w:rPr>
          <w:rFonts w:ascii="Arial" w:cs="Arial" w:eastAsia="Arial" w:hAnsi="Arial"/>
          <w:sz w:val="17"/>
          <w:szCs w:val="17"/>
          <w:color w:val="auto"/>
        </w:rPr>
        <w:t>The compensation committee may grant other equity-based or cash-based awards under the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with terms and conditions determined by the compensation committee that are not inconsistent with the 2020 Plan.</w:t>
      </w:r>
    </w:p>
    <w:p>
      <w:pPr>
        <w:spacing w:after="0" w:line="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Effect of Certain Events on 2020 Plan and Awards</w:t>
      </w:r>
      <w:r>
        <w:rPr>
          <w:rFonts w:ascii="Arial" w:cs="Arial" w:eastAsia="Arial" w:hAnsi="Arial"/>
          <w:sz w:val="16"/>
          <w:szCs w:val="16"/>
          <w:color w:val="auto"/>
        </w:rPr>
        <w:t>. Other than with respect to cash-based awards, in the event of (i) any dividend (other than regular</w:t>
      </w:r>
      <w:r>
        <w:rPr>
          <w:rFonts w:ascii="Arial" w:cs="Arial" w:eastAsia="Arial" w:hAnsi="Arial"/>
          <w:sz w:val="16"/>
          <w:szCs w:val="16"/>
          <w:i w:val="1"/>
          <w:iCs w:val="1"/>
          <w:color w:val="auto"/>
        </w:rPr>
        <w:t xml:space="preserve"> </w:t>
      </w:r>
      <w:r>
        <w:rPr>
          <w:rFonts w:ascii="Arial" w:cs="Arial" w:eastAsia="Arial" w:hAnsi="Arial"/>
          <w:sz w:val="16"/>
          <w:szCs w:val="16"/>
          <w:color w:val="auto"/>
        </w:rPr>
        <w:t>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the 2020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an “Adjustment Event”), the compensation committee will, in respect of any such Adjustment Event, make such proportionate substitution or adjustment, if any, as it deems equitable, to any or all of: (A) the plan share reserve, or any other limit applicable under the 2020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 under the 2020 Plan or any sub-plan, and (C) the terms of any outstanding award, including, without limitation, (x) the number of shares of common stock or other securities of the Company (or number and kind of other securities or other property) subject to outstanding awards or to which outstanding awards relate, (y) the exercise price or strike price with respect to any award, or (z) any applicable performance measures; it being understood that, in the case of any “equity restructuring,” the compensation committee will make an equitable or proportionate adjustment to outstanding awards to reflect such equity restructuring.</w:t>
      </w:r>
    </w:p>
    <w:p>
      <w:pPr>
        <w:spacing w:after="0" w:line="11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connection with any change in control, the compensation committee may, in its sole discretion, provide for any one or more of the following: (i) a substitution or assumption of, acceleration of the vesting of, the exercisability of, or lapse of restrictions on, any one or more outstanding awards and</w:t>
      </w:r>
    </w:p>
    <w:p>
      <w:pPr>
        <w:jc w:val="both"/>
        <w:ind w:firstLine="8"/>
        <w:spacing w:after="0" w:line="292" w:lineRule="auto"/>
        <w:tabs>
          <w:tab w:leader="none" w:pos="27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base price thereof.</w:t>
      </w:r>
    </w:p>
    <w:p>
      <w:pPr>
        <w:spacing w:after="0" w:line="1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Nontransferability of Awards</w:t>
      </w:r>
      <w:r>
        <w:rPr>
          <w:rFonts w:ascii="Arial" w:cs="Arial" w:eastAsia="Arial" w:hAnsi="Arial"/>
          <w:sz w:val="17"/>
          <w:szCs w:val="17"/>
          <w:color w:val="auto"/>
        </w:rPr>
        <w:t>. Each award under the 2020 Plan will not be transferable or assignable by a participant other than by will or by the laws</w:t>
      </w:r>
      <w:r>
        <w:rPr>
          <w:rFonts w:ascii="Arial" w:cs="Arial" w:eastAsia="Arial" w:hAnsi="Arial"/>
          <w:sz w:val="17"/>
          <w:szCs w:val="17"/>
          <w:i w:val="1"/>
          <w:iCs w:val="1"/>
          <w:color w:val="auto"/>
        </w:rPr>
        <w:t xml:space="preserve"> </w:t>
      </w:r>
      <w:r>
        <w:rPr>
          <w:rFonts w:ascii="Arial" w:cs="Arial" w:eastAsia="Arial" w:hAnsi="Arial"/>
          <w:sz w:val="17"/>
          <w:szCs w:val="17"/>
          <w:color w:val="auto"/>
        </w:rPr>
        <w:t>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21" w:right="339" w:bottom="1440" w:gutter="0" w:footer="0" w:header="0"/>
        </w:sectPr>
      </w:pPr>
    </w:p>
    <w:bookmarkStart w:id="182" w:name="page183"/>
    <w:bookmarkEnd w:id="18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alter, suspend, discontinue, or terminate the 2020 Plan or any portion thereof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but no such amendment, alteration, suspension, discontinuance or termination may be made without stockholder approval if (i) such approval is necessary to comply with any regulatory requirement applicable to the 2020 Plan or for changes in GAAP to new accounting standards; (ii) it would materially increase the number of securities which may be issued under the 2020 Plan (except for adjustments in connection with certain corporate events); or (iii) it would materially modify the requirements for participation in the 2020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4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the 2020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canceled option or stock appreciation right; and</w:t>
      </w:r>
    </w:p>
    <w:p>
      <w:pPr>
        <w:spacing w:after="0" w:line="1" w:lineRule="exact"/>
        <w:rPr>
          <w:sz w:val="20"/>
          <w:szCs w:val="20"/>
          <w:color w:val="auto"/>
        </w:rPr>
      </w:pPr>
    </w:p>
    <w:p>
      <w:pPr>
        <w:ind w:firstLine="8"/>
        <w:spacing w:after="0" w:line="260" w:lineRule="auto"/>
        <w:tabs>
          <w:tab w:leader="none" w:pos="33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compensation committee may not take any other action which is considered a “repricing” for purposes of the stockholder approval rules of any securities exchange or inter-dealer quotation system on which our securities are listed or quoted.</w:t>
      </w:r>
    </w:p>
    <w:p>
      <w:pPr>
        <w:spacing w:after="0" w:line="13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Dividends and Dividend Equivalents</w:t>
      </w:r>
      <w:r>
        <w:rPr>
          <w:rFonts w:ascii="Arial" w:cs="Arial" w:eastAsia="Arial" w:hAnsi="Arial"/>
          <w:sz w:val="17"/>
          <w:szCs w:val="17"/>
          <w:color w:val="auto"/>
        </w:rPr>
        <w:t>. The compensation committee in its sole discretion may provide that an award under the 2020 Plan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 To the extent provided in an award agreement, the holder of outstanding restricted stock units will be entitled to be credited with dividend equivalents either in cash, or in the sole discretion of the compensation committee, in shares of common stock having a fair market value equal to the amount of the dividends (and interest may be credited, at the discretion of the compensation committee, on the amount of cash dividend equivalents, at a rate and subject to terms determined by the compensation committee), which accumulated dividend equivalents (and any interest) will be payable at the same time as the underlying restricted stock units are settled following the lapse of restrictions (and with any accumulated dividend equivalents forfeited if the underlying restricted stock units are forfeited).</w:t>
      </w:r>
    </w:p>
    <w:p>
      <w:pPr>
        <w:spacing w:after="0" w:line="13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i w:val="1"/>
          <w:iCs w:val="1"/>
          <w:color w:val="auto"/>
        </w:rPr>
        <w:t xml:space="preserve">Clawback/Repayment. </w:t>
      </w:r>
      <w:r>
        <w:rPr>
          <w:rFonts w:ascii="Arial" w:cs="Arial" w:eastAsia="Arial" w:hAnsi="Arial"/>
          <w:sz w:val="17"/>
          <w:szCs w:val="17"/>
          <w:color w:val="auto"/>
        </w:rPr>
        <w:t>All awards are subject to reduction, cancellation, forfeiture or recoupment to the extent necessary to comply with (i) any</w:t>
      </w:r>
      <w:r>
        <w:rPr>
          <w:rFonts w:ascii="Arial" w:cs="Arial" w:eastAsia="Arial" w:hAnsi="Arial"/>
          <w:sz w:val="17"/>
          <w:szCs w:val="17"/>
          <w:i w:val="1"/>
          <w:iCs w:val="1"/>
          <w:color w:val="auto"/>
        </w:rPr>
        <w:t xml:space="preserve"> </w:t>
      </w:r>
      <w:r>
        <w:rPr>
          <w:rFonts w:ascii="Arial" w:cs="Arial" w:eastAsia="Arial" w:hAnsi="Arial"/>
          <w:sz w:val="17"/>
          <w:szCs w:val="17"/>
          <w:color w:val="auto"/>
        </w:rPr>
        <w:t>clawback, forfeiture or other similar policy adopted by our board of directors or the compensation committee and as in effect from time to time and</w:t>
      </w:r>
    </w:p>
    <w:p>
      <w:pPr>
        <w:jc w:val="both"/>
        <w:ind w:firstLine="8"/>
        <w:spacing w:after="0" w:line="281" w:lineRule="auto"/>
        <w:tabs>
          <w:tab w:leader="none" w:pos="27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 If a participant engages in any detrimental activity (as described below), as determined by the compensation committee, the compensation committee may, in its sole discretion, provide for one or more of the following:</w:t>
      </w:r>
    </w:p>
    <w:p>
      <w:pPr>
        <w:spacing w:after="0" w:line="2" w:lineRule="exact"/>
        <w:rPr>
          <w:rFonts w:ascii="Arial" w:cs="Arial" w:eastAsia="Arial" w:hAnsi="Arial"/>
          <w:sz w:val="16"/>
          <w:szCs w:val="16"/>
          <w:color w:val="auto"/>
        </w:rPr>
      </w:pPr>
    </w:p>
    <w:p>
      <w:pPr>
        <w:jc w:val="both"/>
        <w:ind w:firstLine="8"/>
        <w:spacing w:after="0" w:line="253" w:lineRule="auto"/>
        <w:tabs>
          <w:tab w:leader="none" w:pos="23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cancellation of any or all of a participant’s outstanding awards or (ii) forfeiture by the participant of any gain realized on the vesting or exercise of awards, and repayment of any such gain promptly to the Company. For purposes of the 2020 Plan and awards thereunder, “detrimental activity” means: any unauthorized disclosure of confidential or proprietary information of the Company or its subsidiaries; any activity that would be grounds to terminate the participant’s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21" w:right="339" w:bottom="1440" w:gutter="0" w:footer="0" w:header="0"/>
        </w:sectPr>
      </w:pPr>
    </w:p>
    <w:bookmarkStart w:id="183" w:name="page184"/>
    <w:bookmarkEnd w:id="18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employment or service for cause; the participant’s breach of any restrictive covenant (including, but not limited, to any non-competition or non-solicitation covenants); or fraud or conduct contributing to any financial restatements or irregularities, as determined by the compensation committee in its discretion.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board of directors adopted, and our stockholders approved, the Company’s 2020 Employee Stock Purchase Plan (the “ESPP”). The ESPP is intended to give eligible employees an opportunity to acquire shares of our common stock and promote our best interests and enhance our long-term performance.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ESPP is intended to qualify as an “employee stock purchase plan” under Section 423 of the Code. We may also authorize offerings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that are not intended to comply with the requirements of Section 423 of the Code, which may, but are not required to, be made pursuant to any rules, procedures or sub-plans adopted by the compensation committee of our board of directors for such purpose.</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Shares Reserved for the ESPP</w:t>
      </w:r>
      <w:r>
        <w:rPr>
          <w:rFonts w:ascii="Arial" w:cs="Arial" w:eastAsia="Arial" w:hAnsi="Arial"/>
          <w:sz w:val="16"/>
          <w:szCs w:val="16"/>
          <w:color w:val="auto"/>
        </w:rPr>
        <w:t>. The aggregate number of shares of our common stock that may be issued under the ESPP may not exceed 7,500,000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subject to adjustment in accordance with the terms of the ESPP. Notwithstanding the foregoing, the share reserve of the ESPP shall automatically be increased on the first day of each fiscal year following the fiscal year in which the effective date of the ESPP occurred by a number of shares of our common stock equal to the lesser of (i) the positive difference between (x) 1% of the total number of shares of our common stock outstanding on the last day of the immediately preceding fiscal year (treating certain vested convertible securities as outstanding common stock for this purpose), and (y) the share reserve of the ESPP on the last day of the immediately preceding fiscal year, and (ii) a lower number of shares as may be determined by our board of directors.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1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ESPP is administered by the compensation committee of our board of directors unless the board of directors elects to administer</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The compensation committee may appoint one or more agents to assist in the administration of the ESPP and may delegate certain responsibilities or powers subject to ESPP terms and applicable law. Subject to ESPP terms and applicable law, the compensation committee has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 (c) determine the terms and provisions of the purchase rights granted under the ESPP; (d) determine eligibility and adjudicate all disputed claims filed under the ESPP; and (e) construe and interpret the ESPP, purchase rights, the rules and regulations, and the agreements or other written instruments, and to make all other determinations deemed necessary or advisable for the administration of the ESPP. The compensation committee may also adopt sub-plans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w:t>
      </w:r>
    </w:p>
    <w:p>
      <w:pPr>
        <w:spacing w:after="0" w:line="1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Effective Date</w:t>
      </w:r>
      <w:r>
        <w:rPr>
          <w:rFonts w:ascii="Arial" w:cs="Arial" w:eastAsia="Arial" w:hAnsi="Arial"/>
          <w:sz w:val="17"/>
          <w:szCs w:val="17"/>
          <w:color w:val="auto"/>
        </w:rPr>
        <w:t>. The ESPP became effective on the date of the IPO. However, no offering periods will commence under the ESPP until such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such terms and conditions as may be determined by the compensation committee of our board of directors. The term of the ESPP will continue until terminated by our board of directors or until the date on which all shares available for issuance under the ESPP have been issued.</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Subject to the compensation committee’s ability to exclude certain groups of employees on a uniform and nondiscriminatory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basis, 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five months in any calendar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compensation committee may determine prior to any purchase period start date that employees outside of the United States who are participating in a separate offering will be “eligible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21" w:right="339" w:bottom="1440" w:gutter="0" w:footer="0" w:header="0"/>
        </w:sectPr>
      </w:pPr>
    </w:p>
    <w:bookmarkStart w:id="184" w:name="page185"/>
    <w:bookmarkEnd w:id="18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 power or value of our common stock. A “designated company” is any subsidiary or affiliate of ZoomInfo Technologies Inc., whether now existing or existing in the future, that has been designated by the compensation committee from time to time in its sole discretion as eligible to participate in the ESPP. The compensation committee may designate subsidiaries or affiliates of ZoomInfo Technologies Inc. as designated companies in an offering that does not satisfy the requirements of Section 423 of the Code. For offerings that, when taken together with the ESPP, comply with Section 423 of the Code and the regulations thereunder, only ZoomInfo Technologies Inc. and its subsidiaries may be designated companies;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given time, a subsidiary that is a designated company under a Section 423 Code-compliant offering will not be a designated company under an offering that does not comply with Section 423 of the Code.</w:t>
      </w:r>
    </w:p>
    <w:p>
      <w:pPr>
        <w:spacing w:after="0" w:line="11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Contributions</w:t>
      </w:r>
      <w:r>
        <w:rPr>
          <w:rFonts w:ascii="Arial" w:cs="Arial" w:eastAsia="Arial" w:hAnsi="Arial"/>
          <w:sz w:val="16"/>
          <w:szCs w:val="16"/>
          <w:color w:val="auto"/>
        </w:rPr>
        <w:t>. A participant may acquire common stock under the ESPP by authorizing the use of contributions to purchase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 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Offering Periods and Purchase Price</w:t>
      </w:r>
      <w:r>
        <w:rPr>
          <w:rFonts w:ascii="Arial" w:cs="Arial" w:eastAsia="Arial" w:hAnsi="Arial"/>
          <w:sz w:val="18"/>
          <w:szCs w:val="18"/>
          <w:color w:val="auto"/>
        </w:rPr>
        <w:t>. The ESPP generally provides for two six-month offering periods, with one purchase period in each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The compensation committee has the authority to change the duration of a purchase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change is announced a reasonable period of time prior to its effective date and the purchase period is not greater than 27 months.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participant may purchase shares of common stock with a fair market value (as of the date of purchase right grant) in excess of $25,000 per calendar year in the case of offerings intended to comply with Section 423 of the Code; and</w:t>
      </w:r>
    </w:p>
    <w:p>
      <w:pPr>
        <w:spacing w:after="0" w:line="1" w:lineRule="exact"/>
        <w:rPr>
          <w:sz w:val="20"/>
          <w:szCs w:val="20"/>
          <w:color w:val="auto"/>
        </w:rPr>
      </w:pPr>
    </w:p>
    <w:p>
      <w:pPr>
        <w:ind w:right="20" w:firstLine="8"/>
        <w:spacing w:after="0" w:line="323" w:lineRule="auto"/>
        <w:tabs>
          <w:tab w:leader="none" w:pos="26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 no event will the aggregate number of shares subject to purchase rights during a purchase period exceed the number of shares then available under the ESPP or the maximum number of shares available for any single purchase period (as determined by the compensation committee from time to time).</w:t>
      </w:r>
    </w:p>
    <w:p>
      <w:pPr>
        <w:spacing w:after="0" w:line="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purchase price will be 85% (or such greater percentage as may be determined by the compensation committee prior to the start of any purchase period) of the lesser of (i) the fair market value per share of our common stock as determined on the applicable grant date of the purchase right or (ii) the fair market value per share of our common stock as determined on the applicable purchase period end date (provided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21" w:right="339" w:bottom="1440" w:gutter="0" w:footer="0" w:header="0"/>
        </w:sectPr>
      </w:pPr>
    </w:p>
    <w:bookmarkStart w:id="185" w:name="page186"/>
    <w:bookmarkEnd w:id="18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right will generally terminate on the earlier of the date of the participant’s termination of employment or the last day of the applicable purchase period.</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Rights as Stockholder</w:t>
      </w:r>
      <w:r>
        <w:rPr>
          <w:rFonts w:ascii="Arial" w:cs="Arial" w:eastAsia="Arial" w:hAnsi="Arial"/>
          <w:sz w:val="18"/>
          <w:szCs w:val="18"/>
          <w:color w:val="auto"/>
        </w:rPr>
        <w:t>. A participant will have no rights as a stockholder with respect to our shares that the participant has a purchase right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in any offering until those shares are issued to the participant.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Rights Not Transferable</w:t>
      </w:r>
      <w:r>
        <w:rPr>
          <w:rFonts w:ascii="Arial" w:cs="Arial" w:eastAsia="Arial" w:hAnsi="Arial"/>
          <w:sz w:val="18"/>
          <w:szCs w:val="18"/>
          <w:color w:val="auto"/>
        </w:rPr>
        <w:t>. A participant’s rights under the ESPP will be exercisable only by the participant and are not transferable other than by will or</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descent or distribution.</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Effect of a Change in Control; Adjustments</w:t>
      </w:r>
      <w:r>
        <w:rPr>
          <w:rFonts w:ascii="Arial" w:cs="Arial" w:eastAsia="Arial" w:hAnsi="Arial"/>
          <w:sz w:val="16"/>
          <w:szCs w:val="16"/>
          <w:color w:val="auto"/>
        </w:rPr>
        <w:t>. If there is any change in the outstanding shares of our common stock because of a merger,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(as defined in the 2020 Plan), consolidation, recapitalization or reorganization involving ZoomInfo Technologies Inc., or if our board of directors declares a stock dividend, stock split distributable in shares of common stock or reverse stock split, other distribution or combination or reclassification of our common stock, or if there is a similar change in the capital stock structure of ZoomInfo Technologies Inc. affecting our common stock, then the number and type of shares of our common stock reserved for issuance under the ESPP will be correspondingly adjusted and, subject to applicable law, the compensation committee will make such adjustments to purchase rights or to any ESPP provision as the compensation committee deems equitable to prevent dilution or enlargement of purchase rights or as may otherwise be advisable. In addition, in the event of a change in control, the compensation committee’s discretion includes, but is not limited to, the authority to provide for any of, or a combination of any of, the following:</w:t>
      </w:r>
    </w:p>
    <w:p>
      <w:pPr>
        <w:spacing w:after="0" w:line="111"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assumption or substitution of purchase rights by a successor entity (or parent or subsidiary of such successor);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selection of a date on which all outstanding purchase rights will be exercised on or before the consummation date of the change in control;</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termination of outstanding purchase rights and refund of accumulated contributions to each participant prior to the change in control; or</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continuation of outstanding purchase rights unchanged.</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ESPP may be amended, altered, suspended and/or terminated at any time by our board of directors;</w:t>
      </w:r>
      <w:r>
        <w:rPr>
          <w:rFonts w:ascii="Arial" w:cs="Arial" w:eastAsia="Arial" w:hAnsi="Arial"/>
          <w:sz w:val="17"/>
          <w:szCs w:val="17"/>
          <w:i w:val="1"/>
          <w:iCs w:val="1"/>
          <w:color w:val="auto"/>
        </w:rPr>
        <w:t xml:space="preserve"> provided</w:t>
      </w:r>
      <w:r>
        <w:rPr>
          <w:rFonts w:ascii="Arial" w:cs="Arial" w:eastAsia="Arial" w:hAnsi="Arial"/>
          <w:sz w:val="17"/>
          <w:szCs w:val="17"/>
          <w:color w:val="auto"/>
        </w:rPr>
        <w:t>, that</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of an amendment to the ESPP by our stockholders will be required to the extent, if any, that stockholder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adversely affect the rights of the participant with respect to the purchase right. In addition, the compensation committee has unilateral authority to (a) subject to the provisions of Section 423 of the Code, amend the ESPP and any purchase right (without participant consent) to the extent necessary to comply with applicable law or changes in applicable law and (b) 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P Units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the Reclassification, all vested and unvested Class P Units (other than Class P Units held by Continuing Class P Unitholders) were converted into vested and unvested Employee Units. “Employee Units” refers to the portion of HoldCo Units into which certain Class P Units (including, without limitation, certain indirectly held Class P Units) were converted in the Reorganization Transactions. The number of Employee Units delivered in respect of each Class P Unit was determined based the amount of proceeds that would be distributed to such Class 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21" w:right="339" w:bottom="1440" w:gutter="0" w:footer="0" w:header="0"/>
        </w:sectPr>
      </w:pPr>
    </w:p>
    <w:bookmarkStart w:id="186" w:name="page187"/>
    <w:bookmarkEnd w:id="18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 if the Company were to be sold at a value derived from the initial public offering price in the IPO, and the intrinsic value of the Employee Units issued in respect of each Class P Unit had an intrinsic value equal to the hypothetical proceeds such Class P Unit would have received. Vested Class P Units were generally converted into fully vested Employee Units and unvested Class P Units were generally converted into unvested Employee Units, which are subject to vesting terms (as described below) that are substantially similar to those applicable to the unvested Class P Units immediately prior to the Reclassification, as described above. The aggregate number of vested and unvested Employee Units issued to holders of Class P Units was 1,329,950. The total number of unvested Employee Units issued was 1,294,883, or approximately 97.4% of the total of 1,329,950 Employee Units issued and outstanding following the IPO and the consummation of the transactions contemplated by the Reclassification. The vesting conditions applicable to these unvested Employee Units are generally as follows: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w:t>
      </w:r>
    </w:p>
    <w:p>
      <w:pPr>
        <w:spacing w:after="0" w:line="1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the Reclassification, we granted options to purchase shares of Class A common stock under the 2020 Plan to all holders of Class P Units whose interests were converted in the Reclassification, in substitution for part of the economic benefit of the Class P Units that was not reflected in the conversion of Class P Units to Employee Units. We refer to these stock options as “leverage restoration options.” The leverage restoration options have an exercise price per share that is equal to the initial public offering price per share in the IPO and vest according to the same vesting schedule as the corresponding Class P Units in respect of which they were granted. The aggregate number of leverage restoration options granted to holders of Class P Units whose interests were converted into Employee Units in the Reclassification was 577,879.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None of our directors received compensation for their service on the board of directors for 2018 or 2019. However, all directors are reimbursed for their reasonable out-of-pocket expenses related to their board service.</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2020, each of our outside directors (Messrs. Dhruv, Enright, and Mader) is entitled to receive $50,000 annually as a cash retainer for their board service, with additional annual cash retainers of (i) $20,000 for Mr. Dhruv for his service as a member and the chair of the audit committee and (ii) $10,000 for Mr. Mader for his service as a member of the audit committee. Additionally, each of the outside directors received sign-on equity grants of restricted stock units that were awarded and valued upon the completion of the IPO with the following values, and with each such initial grant to vest in three equal installments on each of the three succeeding anniversaries of the date on which the applicable director commenced serving on our board of directors: (i) in the case of Mr. Dhruv, a $200,000 restricted stock unit award; (ii) in the case of Mr. Enright, a $100,000 restricted stock unit award; and (iii) in the case of Mr. Mader, a $100,000 restricted stock unit award. At the time of the IPO, each director received, and will continue to receive each year following the IPO, an annual restricted stock unit grant with a value of $200,000, with each such annual grant to vest in full on the earlier of (x) the first anniversary of the vesting commencement date and (y) the date of the Company’s first regular annual meeting of stockholders held after the grant date.</w:t>
      </w:r>
    </w:p>
    <w:p>
      <w:pPr>
        <w:spacing w:after="0" w:line="112" w:lineRule="exact"/>
        <w:rPr>
          <w:sz w:val="20"/>
          <w:szCs w:val="20"/>
          <w:color w:val="auto"/>
        </w:rPr>
      </w:pPr>
    </w:p>
    <w:p>
      <w:pPr>
        <w:ind w:right="1040" w:firstLine="324"/>
        <w:spacing w:after="0" w:line="438" w:lineRule="auto"/>
        <w:rPr>
          <w:sz w:val="20"/>
          <w:szCs w:val="20"/>
          <w:color w:val="auto"/>
        </w:rPr>
      </w:pPr>
      <w:r>
        <w:rPr>
          <w:rFonts w:ascii="Arial" w:cs="Arial" w:eastAsia="Arial" w:hAnsi="Arial"/>
          <w:sz w:val="18"/>
          <w:szCs w:val="18"/>
          <w:color w:val="auto"/>
        </w:rPr>
        <w:t xml:space="preserve">Additionally, all of our directors will continue to be reimbursed for their reasonable out-of-pocket expenses related to their board service. </w:t>
      </w:r>
      <w:r>
        <w:rPr>
          <w:rFonts w:ascii="Arial" w:cs="Arial" w:eastAsia="Arial" w:hAnsi="Arial"/>
          <w:sz w:val="18"/>
          <w:szCs w:val="18"/>
          <w:b w:val="1"/>
          <w:bCs w:val="1"/>
          <w:color w:val="auto"/>
        </w:rPr>
        <w:t>IPO Employee Equity Grants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IPO and in order to incentivize future employee performance and retention, we made grants to certain employees at the time of the IPO of Class P Units in ZoomInfo OpCo, LTIP Units in ZoomInfo OpCo, and additional grants of restricted stock units covering shares of Class A common stock under the Omnibus Incentive Plan (not including the leverage restoration option grants described under “Conversion of Class P Units” above) as follows: 630,000 Class P Units with a participation threshold (</w:t>
      </w:r>
      <w:r>
        <w:rPr>
          <w:rFonts w:ascii="Arial" w:cs="Arial" w:eastAsia="Arial" w:hAnsi="Arial"/>
          <w:sz w:val="18"/>
          <w:szCs w:val="18"/>
          <w:i w:val="1"/>
          <w:iCs w:val="1"/>
          <w:color w:val="auto"/>
        </w:rPr>
        <w:t>i.e.</w:t>
      </w:r>
      <w:r>
        <w:rPr>
          <w:rFonts w:ascii="Arial" w:cs="Arial" w:eastAsia="Arial" w:hAnsi="Arial"/>
          <w:sz w:val="18"/>
          <w:szCs w:val="18"/>
          <w:color w:val="auto"/>
        </w:rPr>
        <w:t>, strike price) equal to the initial public offering price per share in the IPO, 47,620 LTIP Units and 513,440 restricted stock units. Such Class P Units, LTIP Units and restricted stock units will generally vest in varying installments over three to four and a half years.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21" w:right="339" w:bottom="1440" w:gutter="0" w:footer="0" w:header="0"/>
        </w:sectPr>
      </w:pPr>
    </w:p>
    <w:bookmarkStart w:id="187" w:name="page188"/>
    <w:bookmarkEnd w:id="18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Class P Unit and LTIP Unit grants to our named executive officers in connection with the IPO were in the following amounts and with the following vesting terms: (i) Mr. Schuck received 450,000 Class P Units vesting in three equal installments on each of the second, third and fourth anniversaries of the grant date; (ii) Mr. Hyzer received 90,000 Class P Units vesting in three equal installments on the dates that are two and a half, three and a half, and four and a half years following the grant date; and (iii) Mr. Hays received 90,000 Class P Units and 47,620 LTIP Units, each vesting in three equal installments on the dates that are two and a half, three and a half, and four and a half years following the grant date. Each of the Class P Unit agreements for named executive officers provides for a participation threshold (</w:t>
      </w:r>
      <w:r>
        <w:rPr>
          <w:rFonts w:ascii="Arial" w:cs="Arial" w:eastAsia="Arial" w:hAnsi="Arial"/>
          <w:sz w:val="18"/>
          <w:szCs w:val="18"/>
          <w:i w:val="1"/>
          <w:iCs w:val="1"/>
          <w:color w:val="auto"/>
        </w:rPr>
        <w:t>i.e.</w:t>
      </w:r>
      <w:r>
        <w:rPr>
          <w:rFonts w:ascii="Arial" w:cs="Arial" w:eastAsia="Arial" w:hAnsi="Arial"/>
          <w:sz w:val="18"/>
          <w:szCs w:val="18"/>
          <w:color w:val="auto"/>
        </w:rPr>
        <w:t>, strike price) equal to the initial public offering price per share in the IPO.</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employee Class P Unit, LTIP Unit and restricted stock unit awards described above are subject to “double triggered” vesting protection, such that vesting will accelerate in the event of a termination without “cause” or a termination for “good reason,” in each case, occurring within 12 months following a change in control. Additionally, Mr. Schuck’s Class P Unit award is subject to potential accelerated vesting upon certain additional employment termination events pursuant to the terms of his employment agreement, as described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21" w:right="339" w:bottom="1440" w:gutter="0" w:footer="0" w:header="0"/>
        </w:sectPr>
      </w:pPr>
    </w:p>
    <w:bookmarkStart w:id="188" w:name="page189"/>
    <w:bookmarkEnd w:id="18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The agreements described in this section are filed as exhibits to the registration statement of which this prospectus forms a part, and the following descriptions are qualified by reference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IPO, we entered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spacing w:after="0" w:line="13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This stockholders agreement requires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 directors or a duly-authorized committee of the board, as a director of our company, the number of: (A) TA Designees serving as directors of our company will be equal to (i) two (2) directors, if TA Associates continues to beneficially own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continues to beneficially own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has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shares of Class A common stock. Pursuant to the registration rights agreement, affiliates of TA Associates, Carlyle, and 22C Capital that are party to the registration rights agreement are entitled to certain demand registration rights, which require us to register shares of our Class A common stock under the Securities Act held by participating holders and, if requested, to maintain a shelf registration statement effective with respect to such shares. In addition, if we propose to register the offer and sale of our Class A common stock under the Securities Act following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21" w:right="339" w:bottom="1440" w:gutter="0" w:footer="0" w:header="0"/>
        </w:sectPr>
      </w:pPr>
    </w:p>
    <w:bookmarkStart w:id="189" w:name="page190"/>
    <w:bookmarkEnd w:id="18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consummation of the IPO, in connection with the public offering of such Class A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w:t>
      </w:r>
    </w:p>
    <w:p>
      <w:pPr>
        <w:spacing w:after="0" w:line="1" w:lineRule="exact"/>
        <w:rPr>
          <w:sz w:val="20"/>
          <w:szCs w:val="20"/>
          <w:color w:val="auto"/>
        </w:rPr>
      </w:pPr>
    </w:p>
    <w:p>
      <w:pPr>
        <w:jc w:val="both"/>
        <w:ind w:firstLine="8"/>
        <w:spacing w:after="0" w:line="255" w:lineRule="auto"/>
        <w:tabs>
          <w:tab w:leader="none" w:pos="21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Certain affiliates of 22C Capital also has participation rights to participate in any sale by affiliates of Carlyle under certain circumstances. The registration rights agreement also provides that we will pay certain expenses relating to such registrations and indemnify certain parties against certain liabilities which may arise under the Securities Act.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7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ZoomInfo Technologies Inc. entered into two tax receivable agreements. ZoomInfo Technologies Inc.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are computed by comparing the actual income tax liability of the ZoomInfo Tax Group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actual and hypothetical tax liabilities determined in the tax receivable agreements are calculated using the actual U.S. federal income tax rate in effect for the applicable period and an assumed, weighted-average state and local income tax rate based on apportionment factors for the applicable period (along with the use of certain other assumptions). The term of each tax receivable agreement will continue until all such tax benefits have been utilized or expired, unless (i) ZoomInfo Technologies Inc. exercises its right to terminate one or both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21" w:right="339" w:bottom="1440" w:gutter="0" w:footer="0" w:header="0"/>
        </w:sectPr>
      </w:pPr>
    </w:p>
    <w:bookmarkStart w:id="190" w:name="page191"/>
    <w:bookmarkEnd w:id="19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agreements for an amount based on the agreed payments remaining to be made under the agreement (as described in more detail below),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increase in the ZoomInfo Tax Group’s allocable share of existing tax basis and the anticipated tax basis adjustments upon the exchange of OpCo Units for shares of Class A common stock, as well as the amount and timing of any payments under the tax receivable agreements, will vary depending upon a number of factors, including:</w:t>
      </w:r>
    </w:p>
    <w:p>
      <w:pPr>
        <w:spacing w:after="0" w:line="127" w:lineRule="exact"/>
        <w:rPr>
          <w:sz w:val="20"/>
          <w:szCs w:val="20"/>
          <w:color w:val="auto"/>
        </w:rPr>
      </w:pPr>
    </w:p>
    <w:p>
      <w:pPr>
        <w:jc w:val="both"/>
        <w:ind w:left="660" w:hanging="328"/>
        <w:spacing w:after="0" w:line="259" w:lineRule="auto"/>
        <w:tabs>
          <w:tab w:leader="none" w:pos="6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timing of exchanges—for instance, the increase in any tax deductions will vary depending on the fair market value, which may fluctuate over time, of the depreciable or amortizable assets of ZoomInfo OpCo at the time of each exchange. In addition, the increase in the ZoomInfo Tax Group’s allocable share of existing tax basis acquired upon the future exchange of OpCo Units for shares of Class A common stock will vary depending on the amount of remaining existing tax basis at the time of such exchange;</w:t>
      </w:r>
    </w:p>
    <w:p>
      <w:pPr>
        <w:spacing w:after="0" w:line="13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extent to which such exchanges are taxable—if an exchange is not taxable for any reason, increased deductions will not be available;</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amount of tax attributes—the amount of applicable tax attributes of the Blocker Companies at the time of the merger or contribution transaction will impact the amount and timing of payments under the tax receivable agreements; and</w:t>
      </w:r>
    </w:p>
    <w:p>
      <w:pPr>
        <w:spacing w:after="0" w:line="116"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amount and timing of our income—ZoomInfo Technologies Inc. is obligated to pay 85% of the cash tax benefits under the tax receivable agreements as and when realized. If the ZoomInfo Tax Group does not have taxable income, ZoomInfo Technologies Inc. is not required (absent a change of control or circumstances requiring an early termination payment) to make payments under the tax receivable agreements for a taxable year in which it does not have taxable income because no cash tax benefits will have been realized. However, any tax attributes that do not result in realized benefits in a given tax year may be utilized to generate benefits in previous or future tax years. The utilization of such tax attributes will result in cash tax benefits that will result in payments under the tax receivable agreements.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the amount of ZoomInfo Technologies Inc.’s allocable share of existing tax basis acquired in the IPO with respect to which our pre-IPO owners are entitled to receive payments under the tax receivable agreements has been determined to be approximately $247.5 million, the timing and amount of any related payments under the tax receivable agreements is uncertain since both will be dependent on the amount and timing of the ZoomInfo Tax Group’s income and other tax attributes.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expect that as a result of the size of the ZoomInfo Tax Group’s allocable share of existing tax basis acquired in the IPO (including such existing tax basis acquired from the Blocker Companies pursuant to the Blocker Mergers),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we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for shares of Class A common stock on the date of this offering) is approximately $ million (assuming a public offering price of $ per share of Class A common stock, which is the last reported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21" w:right="339" w:bottom="1440" w:gutter="0" w:footer="0" w:header="0"/>
        </w:sectPr>
      </w:pPr>
    </w:p>
    <w:bookmarkStart w:id="191" w:name="page192"/>
    <w:bookmarkEnd w:id="19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 price of our Class A common stock on the Nasdaq on , 2020). There may be a material negative effect on our liquidity if, as a result of timing discrepancies or otherwise, the payments under the tax receivable agreements exceed the actual cash tax benefits that the ZoomInfo Tax Group realizes in respect of the tax attributes subject to the tax receivable agreements and/or distributions to the ZoomInfo Tax Group by ZoomInfo OpCo are not sufficient to permit ZoomInfo Technologies Inc. to make payments under the tax receivable agreements after it has paid taxes. Certain late payments under the tax receivable agreements generally will accrue interest at an uncapped rate equal to one year LIBOR (or its successor rate) plus 500 basis points. The payments under the tax receivable agreements are not conditioned upon continued ownership of us by the exchanging holders of OpCo Units.</w:t>
      </w:r>
    </w:p>
    <w:p>
      <w:pPr>
        <w:spacing w:after="0" w:line="1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the tax receivable agreements provide that upon certain changes of control, ZoomInfo Technologies Inc.’s (or its successor’s) obligations with respect to exchanged or acquired OpCo Units (whether exchanged or acquired before or after such transaction or all relevant tax attributes allocable to the ZoomInfo Tax Group at the time of a change of control), would be accelerated and the amounts payable would be based on certain assumptions, including whether the ZoomInfo Tax Group would have sufficient taxable income to fully utilize the deductions arising from the increased tax deductions and tax basis and other benefits related to entering into the tax receivable agreements. With respect to previously exchanged or acquired OpCo Units or all relevant tax attributes allocable to the ZoomInfo Tax Group at the time of a change of control, we would be required to make a payment equal to the present value (at a discount rate equal to the lesser of (i) 6.5% per annum and (ii) one year LIBOR, or its successor rate, plus 100 basis points) of the anticipated future tax benefits determined using assumptions (ii) through (v) of the following paragraph.</w:t>
      </w:r>
    </w:p>
    <w:p>
      <w:pPr>
        <w:spacing w:after="0" w:line="12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Furthermore, ZoomInfo Technologies Inc. may elect to terminate the tax receivable agreements early by making an immediate payment equal to the present value of the anticipated future cash tax benefits with respect to all OpCo Units. In determining such anticipated future cash tax benefits, the tax receivable agreements include several assumptions, including that (i) any OpCo Units that have not been exchanged are deemed exchanged for the market value of the shares of Class A common stock at the time of termination, (ii) the ZoomInfo Tax Group will have sufficient taxable income in each future taxable year to fully realize all potential tax benefits, (iii) the ZoomInfo Tax Group will have sufficient taxable income to fully utilize any remaining net operating losses subject to the tax receivable agreements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 (v) certain non-amortizable assets are deemed disposed of within specified time periods. In addition, the present value of such anticipated future cash tax benefits are discounted at a rate equal to the lesser of (i) 6.5% per annum and (ii) one year LIBOR, or its successor rate,</w:t>
      </w:r>
    </w:p>
    <w:p>
      <w:pPr>
        <w:spacing w:after="0" w:line="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plus 100 basis points. Assuming that the market value of a share of Class A common stock were to be equal to $ per share, which is the last reported sale price of our Class A common stock on the Nasdaq on , 2020, and that LIBOR were to be %, we estimate that the aggregate amount of these termination payments would be approximately $ million if ZoomInfo Technologies Inc. were to exercise its termination right immediately following this offering.</w:t>
      </w:r>
    </w:p>
    <w:p>
      <w:pPr>
        <w:spacing w:after="0" w:line="13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 result of the change of control provisions and the early termination right, ZoomInfo Technologies Inc. could be required to make payments under the tax receivable agreements that are greater than or less than the specified percentage of the actual cash tax benefits that the ZoomInfo Tax Group realizes in respect of the tax attributes subject to the tax receivable agreements (although any such overpayment would be taken into account in calculating future payments, if any, under the tax receivable agreements) or that are prior to the actual realization, if any, of such future tax benefits. Also, the obligations of ZoomInfo Technologies Inc. would be automatically accelerated and be immediately due and payable in the event that ZoomInfo Technologies Inc. breaches any of its material obligations under the agreement and in certain events of bankruptcy or liquidation. In these situations, our obligations under the tax receivable agreements could have a substantial negative impact on our liquidity.</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Decisions made by our pre-IPO owners in the course of running our business may influence the timing and amount of payments that are received by a pre-IPO owner exchanging OpCo Units under the tax receivable agreements. For example, the earlier disposition of assets following an exchange or acquisition transaction generally will accelerate payments under the tax receivable agreements and increase the present value of such payments, and the disposition of assets before an exchange will increase a pre-IPO owner’s tax liability without giving rise to any rights of a pre-IPO owner to receive payments under the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21" w:right="339" w:bottom="1440" w:gutter="0" w:footer="0" w:header="0"/>
        </w:sectPr>
      </w:pPr>
    </w:p>
    <w:bookmarkStart w:id="192" w:name="page193"/>
    <w:bookmarkEnd w:id="19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Payments under the tax receivable agreements will be based on the tax reporting positions that we will determine. ZoomInfo Technologies Inc. will not be reimbursed for any payments previously made under the tax receivable agreements if the ZoomInfo Tax Group’s allocable share of existing tax basis acquired in the IPO and increased upon the exchange of OpCo Units for shares of Class A common stock, the anticipated tax basis adjustments or our utilization of tax attributes are successfully challenged by the IRS, although such amounts may reduce our future obligations, if any, under the tax receivable agreements. As a result, in certain circumstances, payments could be made under the tax receivable agreements in excess of the ZoomInfo Tax Group’s cash tax benefits.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ZoomInfo OpCo Amended and Restated Limited Liability Company Agreement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Reorganization Transactions and the Offering Transactions, ZoomInfo Technologies Inc. holds HoldCo Units in ZoomInfo HoldCo and has control over ZoomInfo HoldCo, and ZoomInfo HoldCo holds OpCo Units in ZoomInfo OpCo and is the sole managing member of ZoomInfo OpCo. Accordingly, ZoomInfo Technologies Inc. operates and controls all of the business and affairs of ZoomInfo OpCo through ZoomInfo HoldCo and, through ZoomInfo OpCo and its operating entity subsidiaries, conducts our business.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Pursuant to the amended and restated limited liability company agreement of ZoomInfo OpCo, ZoomInfo HoldCo has the right to determine when distributions will be made to holders of OpCo Units and the amount of any such distributions. If a distribution is authorized, such distribution will be made to the holders of OpCo Units pro rata in accordance with the percentages of their respective limited liability company interests.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distributions will be made in respect of unvested OpCo Units and instead such amounts will be distributed to holders of vested OpCo Units pro rata in accordance with their vested interests.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holders of OpCo Units, including ZoomInfo HoldCo, may be subject to U.S. federal, state and local income taxes on their proportionate share of any taxable income of ZoomInfo OpCo. Net profits and net losses of ZoomInfo OpCo will generally be allocated to its holders, including ZoomInfo HoldCo, pro rata in accordance with the percentages of their respective limited liability company interests, except as otherwise required by law. The amended and restated limited liability company agreement of ZoomInfo OpCo provides for cash distributions, which we refer to as “tax distributions,” to the holders of the OpCo Units and Class P Units (whether vested or unvested) if ZoomInfo HoldCo, as the sole managing member of ZoomInfo OpCo, determines that a holder, by reason of holding OpCo Units or Class P Unit, as applicable, incurs an income tax liability. Generally, these tax distributions will be computed based on our estimate of the net taxable income of ZoomInfo OpCo allocated to the holder of OpCo Units that receives the greatest proportionate allocation of income multiplied by an assumed tax rate. Tax distributions with respect to Class P Units will be determined based on the assumed tax liability of such Class P Unitholder with respect to such Class P Units rather than on a pro rata basis.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have the right to exchange their vested Class P Units into a number of shares of Class A common stock that will generally be equal to (a) the product of (X) the number of vested Class P Units to be exchanged with a given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and (Y) then-current difference between the per share value of an OpCo Unit at the time of the exchange (based on the public trading price of Class A common stock) and the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also provides that a holder of OpCo Units will not have the right to exchange OpCo Units if ZoomInfo HoldCo reasonably determines that such exchange would be prohibited by law or regulation or would any agreements with ZoomInfo Technologies Inc. or its subsidiaries by which the holder of OpCo Units is bound, or ZoomInfo Technologies Inc.’s insider trading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21" w:right="339" w:bottom="1440" w:gutter="0" w:footer="0" w:header="0"/>
        </w:sectPr>
      </w:pPr>
    </w:p>
    <w:bookmarkStart w:id="193" w:name="page194"/>
    <w:bookmarkEnd w:id="19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policies. Upon such exchange, ZoomInfo Technologies Inc. will contribute the OpCo Units it receives to ZoomInfo HoldCo in exchange for a corresponding number of newly issued HoldCo Units. As a holder exchanges OpCo Units for shares of Class A common stock, the number of HoldCo Units held by ZoomInfo Technologies Inc. in exchange for the exchanged OpCo Units is correspondingly increased as it acquires the exchanged OpCo Units.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amended and restated limited liability company agreement of ZoomInfo OpCo also provides for the ability to issue LTIP Units, which are a class of partnership units that are intended to qualify as “profits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 OpCo Units, in turn, may be exchanged into shares of Class A common stock of ZoomInfo Technologies Inc. on a one-for-one basis, subject to the terms and conditions described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ZoomInfo HoldCo Amended and Restated Limited Liability Company Agreement</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the Reorganization Transactions and the Offering Transactions, ZoomInfo Technologies Inc. holds HoldCo Units in ZoomInfo HoldCo and has control over ZoomInfo HoldCo. ZoomInfo HoldCo has elected to be treated as a corporation for U.S. federal income tax purposes effective upon its date of formation. ZoomInfo HoldCo intends to make payments to us such that we are able to cover all applicable taxes payable by us, any payments we are obligated to make under the tax receivable agreements we intend to enter into as part of the Reorganization Transactions.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amended and restated the limited liability company agreement of ZoomInfo HoldCo under which the Pre-IPO HoldCo Unitholders (or certain of their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ZoomInfo Technologies Inc. may impose restrictions on exchange that it determines in good faith to be necessary so that ZoomInfo OpCo is not treated as a “publicly traded partnership” for U.S. federal income tax purposes. The amended and restated limited liability company agreement of ZoomInfo HoldCo also provides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OpCo Units and Payment of Blocker Merger Consideration</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used approximately $42.2 million of the net proceeds we received from the IPO, in addition to purchasing newly issued HoldCo Units from ZoomInfo HoldCo, to purchase OpCo Units from certain of our Sponsors, and to fund $5.5 million of merger consideration (an aggregate cash amount equal to 275,269 shares of Class C common stock multiplied by the public offering price per share of Class A common stock in the IPO, less the underwriting discount) payable to certain of our Sponsors in connection with the Blocker Mergers, at a price per OpCo Unit or share of Class C common stock, respectively, equal to the initial public offering price per share of Class A common stock in the IPO, less the underwriting discount. Upon each purchase of OpCo Units, the corresponding shares of Class B common stock were canceled. The table below sets forth the number of OpCo Units purchased from certain of our Sponsors, and the shares of Class C common stock underlying the merger consideration payable to the Sponsors.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 of OpCo Units</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 of Shares of Class C</w:t>
            </w:r>
          </w:p>
        </w:tc>
        <w:tc>
          <w:tcPr>
            <w:tcW w:w="1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Aggregate Purchase Price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98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Pr>
          <w:p>
            <w:pPr>
              <w:spacing w:after="0"/>
              <w:rPr>
                <w:sz w:val="16"/>
                <w:szCs w:val="16"/>
                <w:color w:val="auto"/>
              </w:rPr>
            </w:pPr>
          </w:p>
        </w:tc>
        <w:tc>
          <w:tcPr>
            <w:tcW w:w="138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4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Sponsors</w:t>
            </w:r>
          </w:p>
        </w:tc>
        <w:tc>
          <w:tcPr>
            <w:tcW w:w="16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1,841,818</w:t>
            </w:r>
          </w:p>
        </w:tc>
        <w:tc>
          <w:tcPr>
            <w:tcW w:w="12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rPr>
              <w:t>275,269</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21" w:right="339" w:bottom="1440" w:gutter="0" w:footer="0" w:header="0"/>
        </w:sectPr>
      </w:pPr>
    </w:p>
    <w:bookmarkStart w:id="194" w:name="page195"/>
    <w:bookmarkEnd w:id="19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Person Transactions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Michelle Brewer, our Vice President, Human Resources, is the sister-in-law of Henry Schuck, our Chief Executive Officer. Total compensation paid by the Company to Michelle Brewer, including salary, bonus, and equity compensation, for the years ended December 31, 2016, 2017, 2018, and 2019 and for the three months ended March 31, 2020 was $0.2 million, $0.4 million, $1.8 million, $1.0 million, and $0.7 million respectively.</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Hila Nir, our Chief Marketing Officer, is the sister-in-law of Nir Keren, our Chief Technology Officer. Total compensation paid by the Company to Hila Nir, including salary and equity compensation, since the Zoom Information Acquisition for the year ended December 31, 2019 and for the three months ended March 31, 2020 was $0.7 million and $0.7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Transactions with Our Sponsors and Sponsor Portfolio Companies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complimentary access to our platform to 22C Capital and Carlyle. We estimate the value of such access provided to each of 22C Capital and Carlyle in each of 2018 and 2019 to be approximately $38,000 and $40,000, respectively. We estimate the value of such access provided to 22C Capital in 2017 to be approximately $33,000. No complimentary access to our platform was provided to Carlyle in 2017. In addition, we provide our services to TA Associates in the ordinary course of our business. We recorded revenues from TA Associates in each of 2017, 2018 and 2019 of approximately $36,000, $39,000 and $65,000, respectively.</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 Regarding Transactions with Related Persons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IPO, our board of directors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then promptly communicate that information to our board of directors. No related person transaction entered into following the IPO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21" w:right="339" w:bottom="1440" w:gutter="0" w:footer="0" w:header="0"/>
        </w:sectPr>
      </w:pPr>
    </w:p>
    <w:bookmarkStart w:id="195" w:name="page196"/>
    <w:bookmarkEnd w:id="19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STOCKHOLDERS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tables set forth information regarding the beneficial ownership of shares of our Class A common stock, our Class B common stock, and our Class C common stock by (1) each person known to us to beneficially own more than 5% of any class of the outstanding voting securities of ZoomInfo Technologies Inc., (2) each of our directors and named executive officers, (3) all of our directors and executive officers as a group and (4) the selling stockholders.</w:t>
      </w:r>
    </w:p>
    <w:p>
      <w:pPr>
        <w:spacing w:after="0" w:line="13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percentage of beneficial ownership of shares of our Class A common stock, our Class B common stock, and our Class C common stock before and after the offering set forth below is based on shares of Class A common stock outstanding, shares of Class B common stock outstanding, and shares of Class C common stock outstanding as of , 2020, before and after giving effect to this offering. As of , 2020, we had holders of record of our Class A common stock. The actual number of stockholders is greater than this number of record holders, and includes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stockholders who are beneficial owners, but whose shares are held in street name by brokers and other nominees. This number of holders of record also</w:t>
      </w:r>
    </w:p>
    <w:p>
      <w:pPr>
        <w:spacing w:after="0" w:line="3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does not include stockholders whose shares may be held in trust by other entities. As of , 2020, we had holders of record of our Class B common stock and holders of record of our Class C common stock.</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Pre-IPO OpCo Unitholders and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voting power afforded to the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Party Transactions—ZoomInfo OpCo Amended and Restated Limited Liability Company Agreement,” “Certain Relationships and Related Party Transactions—ZoomInfo HoldCo Amended and Restated Limited Liability Company Agreement,” and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21" w:right="339" w:bottom="1440" w:gutter="0" w:footer="0" w:header="0"/>
        </w:sectPr>
      </w:pPr>
    </w:p>
    <w:bookmarkStart w:id="196" w:name="page197"/>
    <w:bookmarkEnd w:id="196"/>
    <w:p>
      <w:pPr>
        <w:jc w:val="center"/>
        <w:ind w:right="-29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020" w:type="dxa"/>
        <w:tblCellMar>
          <w:top w:w="0" w:type="dxa"/>
          <w:left w:w="0" w:type="dxa"/>
          <w:bottom w:w="0" w:type="dxa"/>
          <w:right w:w="0" w:type="dxa"/>
        </w:tblCellMar>
      </w:tblPr>
      <w:tr>
        <w:trPr>
          <w:trHeight w:val="92"/>
        </w:trPr>
        <w:tc>
          <w:tcPr>
            <w:tcW w:w="1880" w:type="dxa"/>
            <w:vAlign w:val="bottom"/>
          </w:tcPr>
          <w:p>
            <w:pPr>
              <w:spacing w:after="0"/>
              <w:rPr>
                <w:sz w:val="7"/>
                <w:szCs w:val="7"/>
                <w:color w:val="auto"/>
              </w:rPr>
            </w:pPr>
          </w:p>
        </w:tc>
        <w:tc>
          <w:tcPr>
            <w:tcW w:w="1220" w:type="dxa"/>
            <w:vAlign w:val="bottom"/>
          </w:tcPr>
          <w:p>
            <w:pPr>
              <w:jc w:val="center"/>
              <w:ind w:right="100"/>
              <w:spacing w:after="0"/>
              <w:rPr>
                <w:sz w:val="20"/>
                <w:szCs w:val="20"/>
                <w:color w:val="auto"/>
              </w:rPr>
            </w:pPr>
            <w:r>
              <w:rPr>
                <w:rFonts w:ascii="Arial" w:cs="Arial" w:eastAsia="Arial" w:hAnsi="Arial"/>
                <w:sz w:val="8"/>
                <w:szCs w:val="8"/>
                <w:b w:val="1"/>
                <w:bCs w:val="1"/>
                <w:color w:val="auto"/>
                <w:w w:val="90"/>
              </w:rPr>
              <w:t>Class A Common</w:t>
            </w:r>
          </w:p>
        </w:tc>
        <w:tc>
          <w:tcPr>
            <w:tcW w:w="264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80" w:type="dxa"/>
            <w:vAlign w:val="bottom"/>
            <w:vMerge w:val="restart"/>
          </w:tcPr>
          <w:p>
            <w:pPr>
              <w:spacing w:after="0"/>
              <w:rPr>
                <w:sz w:val="20"/>
                <w:szCs w:val="20"/>
                <w:color w:val="auto"/>
              </w:rPr>
            </w:pPr>
            <w:r>
              <w:rPr>
                <w:rFonts w:ascii="Arial" w:cs="Arial" w:eastAsia="Arial" w:hAnsi="Arial"/>
                <w:sz w:val="8"/>
                <w:szCs w:val="8"/>
                <w:b w:val="1"/>
                <w:bCs w:val="1"/>
                <w:color w:val="auto"/>
              </w:rPr>
              <w:t>Class A Common Stock Beneficially Owned</w:t>
            </w:r>
            <w:r>
              <w:rPr>
                <w:rFonts w:ascii="Arial" w:cs="Arial" w:eastAsia="Arial" w:hAnsi="Arial"/>
                <w:sz w:val="10"/>
                <w:szCs w:val="10"/>
                <w:b w:val="1"/>
                <w:bCs w:val="1"/>
                <w:color w:val="auto"/>
                <w:vertAlign w:val="superscript"/>
              </w:rPr>
              <w:t>(1)(3)</w:t>
            </w:r>
          </w:p>
        </w:tc>
        <w:tc>
          <w:tcPr>
            <w:tcW w:w="1220" w:type="dxa"/>
            <w:vAlign w:val="bottom"/>
          </w:tcPr>
          <w:p>
            <w:pPr>
              <w:jc w:val="center"/>
              <w:ind w:right="100"/>
              <w:spacing w:after="0" w:line="81" w:lineRule="exact"/>
              <w:rPr>
                <w:sz w:val="20"/>
                <w:szCs w:val="20"/>
                <w:color w:val="auto"/>
              </w:rPr>
            </w:pPr>
            <w:r>
              <w:rPr>
                <w:rFonts w:ascii="Arial" w:cs="Arial" w:eastAsia="Arial" w:hAnsi="Arial"/>
                <w:sz w:val="8"/>
                <w:szCs w:val="8"/>
                <w:b w:val="1"/>
                <w:bCs w:val="1"/>
                <w:color w:val="auto"/>
                <w:w w:val="89"/>
              </w:rPr>
              <w:t>Stock to be Sold</w:t>
            </w:r>
          </w:p>
        </w:tc>
        <w:tc>
          <w:tcPr>
            <w:tcW w:w="2640" w:type="dxa"/>
            <w:vAlign w:val="bottom"/>
            <w:vMerge w:val="restart"/>
          </w:tcPr>
          <w:p>
            <w:pPr>
              <w:ind w:left="400"/>
              <w:spacing w:after="0"/>
              <w:rPr>
                <w:sz w:val="20"/>
                <w:szCs w:val="20"/>
                <w:color w:val="auto"/>
              </w:rPr>
            </w:pPr>
            <w:r>
              <w:rPr>
                <w:rFonts w:ascii="Arial" w:cs="Arial" w:eastAsia="Arial" w:hAnsi="Arial"/>
                <w:sz w:val="8"/>
                <w:szCs w:val="8"/>
                <w:b w:val="1"/>
                <w:bCs w:val="1"/>
                <w:color w:val="auto"/>
              </w:rPr>
              <w:t>Class B Common Stock Beneficially Owned</w:t>
            </w:r>
            <w:r>
              <w:rPr>
                <w:rFonts w:ascii="Arial" w:cs="Arial" w:eastAsia="Arial" w:hAnsi="Arial"/>
                <w:sz w:val="10"/>
                <w:szCs w:val="10"/>
                <w:b w:val="1"/>
                <w:bCs w:val="1"/>
                <w:color w:val="auto"/>
                <w:vertAlign w:val="superscript"/>
              </w:rPr>
              <w:t>(1)(2)</w:t>
            </w:r>
          </w:p>
        </w:tc>
        <w:tc>
          <w:tcPr>
            <w:tcW w:w="2680" w:type="dxa"/>
            <w:vAlign w:val="bottom"/>
            <w:vMerge w:val="restart"/>
          </w:tcPr>
          <w:p>
            <w:pPr>
              <w:ind w:left="600"/>
              <w:spacing w:after="0"/>
              <w:rPr>
                <w:sz w:val="20"/>
                <w:szCs w:val="20"/>
                <w:color w:val="auto"/>
              </w:rPr>
            </w:pPr>
            <w:r>
              <w:rPr>
                <w:rFonts w:ascii="Arial" w:cs="Arial" w:eastAsia="Arial" w:hAnsi="Arial"/>
                <w:sz w:val="8"/>
                <w:szCs w:val="8"/>
                <w:b w:val="1"/>
                <w:bCs w:val="1"/>
                <w:color w:val="auto"/>
              </w:rPr>
              <w:t>Class C Common Stock Beneficially Owned</w:t>
            </w:r>
            <w:r>
              <w:rPr>
                <w:rFonts w:ascii="Arial" w:cs="Arial" w:eastAsia="Arial" w:hAnsi="Arial"/>
                <w:sz w:val="10"/>
                <w:szCs w:val="10"/>
                <w:b w:val="1"/>
                <w:bCs w:val="1"/>
                <w:color w:val="auto"/>
                <w:vertAlign w:val="superscript"/>
              </w:rPr>
              <w:t>(3)</w:t>
            </w:r>
          </w:p>
        </w:tc>
        <w:tc>
          <w:tcPr>
            <w:tcW w:w="1420" w:type="dxa"/>
            <w:vAlign w:val="bottom"/>
            <w:vMerge w:val="restart"/>
          </w:tcPr>
          <w:p>
            <w:pPr>
              <w:ind w:left="500"/>
              <w:spacing w:after="0"/>
              <w:rPr>
                <w:sz w:val="20"/>
                <w:szCs w:val="20"/>
                <w:color w:val="auto"/>
              </w:rPr>
            </w:pPr>
            <w:r>
              <w:rPr>
                <w:rFonts w:ascii="Arial" w:cs="Arial" w:eastAsia="Arial" w:hAnsi="Arial"/>
                <w:sz w:val="8"/>
                <w:szCs w:val="8"/>
                <w:b w:val="1"/>
                <w:bCs w:val="1"/>
                <w:color w:val="auto"/>
                <w:w w:val="89"/>
              </w:rPr>
              <w:t>Combined Voting Power</w:t>
            </w:r>
            <w:r>
              <w:rPr>
                <w:rFonts w:ascii="Arial" w:cs="Arial" w:eastAsia="Arial" w:hAnsi="Arial"/>
                <w:sz w:val="10"/>
                <w:szCs w:val="10"/>
                <w:b w:val="1"/>
                <w:bCs w:val="1"/>
                <w:color w:val="auto"/>
                <w:w w:val="89"/>
                <w:vertAlign w:val="superscript"/>
              </w:rPr>
              <w:t>(4)</w:t>
            </w:r>
          </w:p>
        </w:tc>
        <w:tc>
          <w:tcPr>
            <w:tcW w:w="0" w:type="dxa"/>
            <w:vAlign w:val="bottom"/>
          </w:tcPr>
          <w:p>
            <w:pPr>
              <w:spacing w:after="0"/>
              <w:rPr>
                <w:sz w:val="1"/>
                <w:szCs w:val="1"/>
                <w:color w:val="auto"/>
              </w:rPr>
            </w:pPr>
          </w:p>
        </w:tc>
      </w:tr>
      <w:tr>
        <w:trPr>
          <w:trHeight w:val="124"/>
        </w:trPr>
        <w:tc>
          <w:tcPr>
            <w:tcW w:w="1880" w:type="dxa"/>
            <w:vAlign w:val="bottom"/>
            <w:vMerge w:val="continue"/>
          </w:tcPr>
          <w:p>
            <w:pPr>
              <w:spacing w:after="0"/>
              <w:rPr>
                <w:sz w:val="10"/>
                <w:szCs w:val="10"/>
                <w:color w:val="auto"/>
              </w:rPr>
            </w:pPr>
          </w:p>
        </w:tc>
        <w:tc>
          <w:tcPr>
            <w:tcW w:w="1220" w:type="dxa"/>
            <w:vAlign w:val="bottom"/>
          </w:tcPr>
          <w:p>
            <w:pPr>
              <w:jc w:val="center"/>
              <w:ind w:right="100"/>
              <w:spacing w:after="0"/>
              <w:rPr>
                <w:sz w:val="20"/>
                <w:szCs w:val="20"/>
                <w:color w:val="auto"/>
              </w:rPr>
            </w:pPr>
            <w:r>
              <w:rPr>
                <w:rFonts w:ascii="Arial" w:cs="Arial" w:eastAsia="Arial" w:hAnsi="Arial"/>
                <w:sz w:val="8"/>
                <w:szCs w:val="8"/>
                <w:b w:val="1"/>
                <w:bCs w:val="1"/>
                <w:color w:val="auto"/>
                <w:w w:val="91"/>
              </w:rPr>
              <w:t>in this Offering</w:t>
            </w:r>
          </w:p>
        </w:tc>
        <w:tc>
          <w:tcPr>
            <w:tcW w:w="2640" w:type="dxa"/>
            <w:vAlign w:val="bottom"/>
            <w:vMerge w:val="continue"/>
          </w:tcPr>
          <w:p>
            <w:pPr>
              <w:spacing w:after="0"/>
              <w:rPr>
                <w:sz w:val="10"/>
                <w:szCs w:val="10"/>
                <w:color w:val="auto"/>
              </w:rPr>
            </w:pPr>
          </w:p>
        </w:tc>
        <w:tc>
          <w:tcPr>
            <w:tcW w:w="268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-1270</wp:posOffset>
            </wp:positionV>
            <wp:extent cx="66605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60515" cy="8255"/>
                    </a:xfrm>
                    <a:prstGeom prst="rect">
                      <a:avLst/>
                    </a:prstGeom>
                    <a:noFill/>
                  </pic:spPr>
                </pic:pic>
              </a:graphicData>
            </a:graphic>
          </wp:anchor>
        </w:drawing>
      </w:r>
    </w:p>
    <w:p>
      <w:pPr>
        <w:sectPr>
          <w:pgSz w:w="11900" w:h="16838" w:orient="portrait"/>
          <w:cols w:equalWidth="0" w:num="1">
            <w:col w:w="11240"/>
          </w:cols>
          <w:pgMar w:left="340" w:top="121" w:right="319" w:bottom="1440" w:gutter="0" w:footer="0" w:header="0"/>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center"/>
              <w:ind w:left="140"/>
              <w:spacing w:after="0"/>
              <w:rPr>
                <w:sz w:val="20"/>
                <w:szCs w:val="20"/>
                <w:color w:val="auto"/>
              </w:rPr>
            </w:pPr>
            <w:r>
              <w:rPr>
                <w:rFonts w:ascii="Arial" w:cs="Arial" w:eastAsia="Arial" w:hAnsi="Arial"/>
                <w:sz w:val="8"/>
                <w:szCs w:val="8"/>
                <w:b w:val="1"/>
                <w:bCs w:val="1"/>
                <w:color w:val="auto"/>
                <w:w w:val="96"/>
              </w:rPr>
              <w:t>After this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w w:val="94"/>
              </w:rPr>
              <w:t>Excluding</w:t>
            </w:r>
          </w:p>
        </w:tc>
        <w:tc>
          <w:tcPr>
            <w:tcW w:w="440" w:type="dxa"/>
            <w:vAlign w:val="bottom"/>
            <w:gridSpan w:val="2"/>
            <w:vMerge w:val="restart"/>
          </w:tcPr>
          <w:p>
            <w:pPr>
              <w:jc w:val="center"/>
              <w:ind w:right="60"/>
              <w:spacing w:after="0"/>
              <w:rPr>
                <w:sz w:val="20"/>
                <w:szCs w:val="20"/>
                <w:color w:val="auto"/>
              </w:rPr>
            </w:pPr>
            <w:r>
              <w:rPr>
                <w:rFonts w:ascii="Arial" w:cs="Arial" w:eastAsia="Arial" w:hAnsi="Arial"/>
                <w:sz w:val="8"/>
                <w:szCs w:val="8"/>
                <w:b w:val="1"/>
                <w:bCs w:val="1"/>
                <w:color w:val="auto"/>
                <w:w w:val="95"/>
              </w:rPr>
              <w:t>Including</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tcPr>
          <w:p>
            <w:pPr>
              <w:jc w:val="center"/>
              <w:ind w:right="80"/>
              <w:spacing w:after="0" w:line="81" w:lineRule="exact"/>
              <w:rPr>
                <w:sz w:val="20"/>
                <w:szCs w:val="20"/>
                <w:color w:val="auto"/>
              </w:rPr>
            </w:pPr>
            <w:r>
              <w:rPr>
                <w:rFonts w:ascii="Arial" w:cs="Arial" w:eastAsia="Arial" w:hAnsi="Arial"/>
                <w:sz w:val="8"/>
                <w:szCs w:val="8"/>
                <w:b w:val="1"/>
                <w:bCs w:val="1"/>
                <w:color w:val="auto"/>
                <w:w w:val="82"/>
              </w:rPr>
              <w:t>the</w:t>
            </w:r>
          </w:p>
        </w:tc>
        <w:tc>
          <w:tcPr>
            <w:tcW w:w="44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8"/>
                <w:szCs w:val="8"/>
                <w:b w:val="1"/>
                <w:bCs w:val="1"/>
                <w:color w:val="auto"/>
                <w:w w:val="93"/>
              </w:rPr>
              <w:t>Prior to this</w:t>
            </w:r>
          </w:p>
        </w:tc>
        <w:tc>
          <w:tcPr>
            <w:tcW w:w="520" w:type="dxa"/>
            <w:vAlign w:val="bottom"/>
            <w:vMerge w:val="restart"/>
          </w:tcPr>
          <w:p>
            <w:pPr>
              <w:jc w:val="center"/>
              <w:ind w:left="120"/>
              <w:spacing w:after="0"/>
              <w:rPr>
                <w:sz w:val="20"/>
                <w:szCs w:val="20"/>
                <w:color w:val="auto"/>
              </w:rPr>
            </w:pPr>
            <w:r>
              <w:rPr>
                <w:rFonts w:ascii="Arial" w:cs="Arial" w:eastAsia="Arial" w:hAnsi="Arial"/>
                <w:sz w:val="8"/>
                <w:szCs w:val="8"/>
                <w:b w:val="1"/>
                <w:bCs w:val="1"/>
                <w:color w:val="auto"/>
                <w:w w:val="90"/>
              </w:rPr>
              <w:t>After this</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left="160"/>
              <w:spacing w:after="0" w:line="81" w:lineRule="exact"/>
              <w:rPr>
                <w:sz w:val="20"/>
                <w:szCs w:val="20"/>
                <w:color w:val="auto"/>
              </w:rPr>
            </w:pPr>
            <w:r>
              <w:rPr>
                <w:rFonts w:ascii="Arial" w:cs="Arial" w:eastAsia="Arial" w:hAnsi="Arial"/>
                <w:sz w:val="8"/>
                <w:szCs w:val="8"/>
                <w:b w:val="1"/>
                <w:bCs w:val="1"/>
                <w:color w:val="auto"/>
                <w:w w:val="95"/>
              </w:rPr>
              <w:t>Offering,</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tcPr>
          <w:p>
            <w:pPr>
              <w:jc w:val="center"/>
              <w:ind w:right="80"/>
              <w:spacing w:after="0" w:line="81" w:lineRule="exact"/>
              <w:rPr>
                <w:sz w:val="20"/>
                <w:szCs w:val="20"/>
                <w:color w:val="auto"/>
              </w:rPr>
            </w:pPr>
            <w:r>
              <w:rPr>
                <w:rFonts w:ascii="Arial" w:cs="Arial" w:eastAsia="Arial" w:hAnsi="Arial"/>
                <w:sz w:val="8"/>
                <w:szCs w:val="8"/>
                <w:b w:val="1"/>
                <w:bCs w:val="1"/>
                <w:color w:val="auto"/>
                <w:w w:val="98"/>
              </w:rPr>
              <w:t>Full</w:t>
            </w:r>
          </w:p>
        </w:tc>
        <w:tc>
          <w:tcPr>
            <w:tcW w:w="440" w:type="dxa"/>
            <w:vAlign w:val="bottom"/>
            <w:gridSpan w:val="2"/>
          </w:tcPr>
          <w:p>
            <w:pPr>
              <w:jc w:val="center"/>
              <w:ind w:right="60"/>
              <w:spacing w:after="0" w:line="81" w:lineRule="exact"/>
              <w:rPr>
                <w:sz w:val="20"/>
                <w:szCs w:val="20"/>
                <w:color w:val="auto"/>
              </w:rPr>
            </w:pPr>
            <w:r>
              <w:rPr>
                <w:rFonts w:ascii="Arial" w:cs="Arial" w:eastAsia="Arial" w:hAnsi="Arial"/>
                <w:sz w:val="8"/>
                <w:szCs w:val="8"/>
                <w:b w:val="1"/>
                <w:bCs w:val="1"/>
                <w:color w:val="auto"/>
                <w:w w:val="91"/>
              </w:rPr>
              <w:t>the Full</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tcPr>
          <w:p>
            <w:pPr>
              <w:jc w:val="center"/>
              <w:ind w:right="80"/>
              <w:spacing w:after="0" w:line="81" w:lineRule="exact"/>
              <w:rPr>
                <w:sz w:val="20"/>
                <w:szCs w:val="20"/>
                <w:color w:val="auto"/>
              </w:rPr>
            </w:pPr>
            <w:r>
              <w:rPr>
                <w:rFonts w:ascii="Arial" w:cs="Arial" w:eastAsia="Arial" w:hAnsi="Arial"/>
                <w:sz w:val="8"/>
                <w:szCs w:val="8"/>
                <w:b w:val="1"/>
                <w:bCs w:val="1"/>
                <w:color w:val="auto"/>
                <w:w w:val="96"/>
              </w:rPr>
              <w:t>Including Full</w:t>
            </w:r>
          </w:p>
        </w:tc>
        <w:tc>
          <w:tcPr>
            <w:tcW w:w="460" w:type="dxa"/>
            <w:vAlign w:val="bottom"/>
            <w:gridSpan w:val="2"/>
          </w:tcPr>
          <w:p>
            <w:pPr>
              <w:jc w:val="center"/>
              <w:ind w:right="60"/>
              <w:spacing w:after="0" w:line="81" w:lineRule="exact"/>
              <w:rPr>
                <w:sz w:val="20"/>
                <w:szCs w:val="20"/>
                <w:color w:val="auto"/>
              </w:rPr>
            </w:pPr>
            <w:r>
              <w:rPr>
                <w:rFonts w:ascii="Arial" w:cs="Arial" w:eastAsia="Arial" w:hAnsi="Arial"/>
                <w:sz w:val="8"/>
                <w:szCs w:val="8"/>
                <w:b w:val="1"/>
                <w:bCs w:val="1"/>
                <w:color w:val="auto"/>
                <w:w w:val="92"/>
              </w:rPr>
              <w:t>Option</w:t>
            </w:r>
          </w:p>
        </w:tc>
        <w:tc>
          <w:tcPr>
            <w:tcW w:w="440" w:type="dxa"/>
            <w:vAlign w:val="bottom"/>
            <w:gridSpan w:val="2"/>
          </w:tcPr>
          <w:p>
            <w:pPr>
              <w:jc w:val="center"/>
              <w:ind w:right="80"/>
              <w:spacing w:after="0" w:line="81" w:lineRule="exact"/>
              <w:rPr>
                <w:sz w:val="20"/>
                <w:szCs w:val="20"/>
                <w:color w:val="auto"/>
              </w:rPr>
            </w:pPr>
            <w:r>
              <w:rPr>
                <w:rFonts w:ascii="Arial" w:cs="Arial" w:eastAsia="Arial" w:hAnsi="Arial"/>
                <w:sz w:val="8"/>
                <w:szCs w:val="8"/>
                <w:b w:val="1"/>
                <w:bCs w:val="1"/>
                <w:color w:val="auto"/>
                <w:w w:val="92"/>
              </w:rPr>
              <w:t>Option</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8"/>
                <w:szCs w:val="8"/>
                <w:b w:val="1"/>
                <w:bCs w:val="1"/>
                <w:color w:val="auto"/>
              </w:rPr>
              <w:t>Prior to this Offering</w:t>
            </w:r>
          </w:p>
        </w:tc>
        <w:tc>
          <w:tcPr>
            <w:tcW w:w="80" w:type="dxa"/>
            <w:vAlign w:val="bottom"/>
            <w:vMerge w:val="restart"/>
          </w:tcPr>
          <w:p>
            <w:pPr>
              <w:spacing w:after="0"/>
              <w:rPr>
                <w:sz w:val="7"/>
                <w:szCs w:val="7"/>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8"/>
                <w:szCs w:val="8"/>
                <w:b w:val="1"/>
                <w:bCs w:val="1"/>
                <w:color w:val="auto"/>
              </w:rPr>
              <w:t>After this Offering</w:t>
            </w:r>
          </w:p>
        </w:tc>
        <w:tc>
          <w:tcPr>
            <w:tcW w:w="0" w:type="dxa"/>
            <w:vAlign w:val="bottom"/>
          </w:tcPr>
          <w:p>
            <w:pPr>
              <w:spacing w:after="0"/>
              <w:rPr>
                <w:sz w:val="1"/>
                <w:szCs w:val="1"/>
                <w:color w:val="auto"/>
              </w:rPr>
            </w:pPr>
          </w:p>
        </w:tc>
      </w:tr>
      <w:tr>
        <w:trPr>
          <w:trHeight w:val="114"/>
        </w:trPr>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auto"/>
            </w:tcBorders>
          </w:tcPr>
          <w:p>
            <w:pPr>
              <w:jc w:val="center"/>
              <w:ind w:left="140"/>
              <w:spacing w:after="0"/>
              <w:rPr>
                <w:sz w:val="20"/>
                <w:szCs w:val="20"/>
                <w:color w:val="auto"/>
              </w:rPr>
            </w:pPr>
            <w:r>
              <w:rPr>
                <w:rFonts w:ascii="Arial" w:cs="Arial" w:eastAsia="Arial" w:hAnsi="Arial"/>
                <w:sz w:val="8"/>
                <w:szCs w:val="8"/>
                <w:b w:val="1"/>
                <w:bCs w:val="1"/>
                <w:color w:val="auto"/>
                <w:w w:val="96"/>
              </w:rPr>
              <w:t>Offering</w:t>
            </w:r>
          </w:p>
        </w:tc>
        <w:tc>
          <w:tcPr>
            <w:tcW w:w="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auto"/>
            </w:tcBorders>
          </w:tcPr>
          <w:p>
            <w:pPr>
              <w:jc w:val="center"/>
              <w:ind w:left="140"/>
              <w:spacing w:after="0"/>
              <w:rPr>
                <w:sz w:val="20"/>
                <w:szCs w:val="20"/>
                <w:color w:val="auto"/>
              </w:rPr>
            </w:pPr>
            <w:r>
              <w:rPr>
                <w:rFonts w:ascii="Arial" w:cs="Arial" w:eastAsia="Arial" w:hAnsi="Arial"/>
                <w:sz w:val="8"/>
                <w:szCs w:val="8"/>
                <w:b w:val="1"/>
                <w:bCs w:val="1"/>
                <w:color w:val="auto"/>
                <w:w w:val="96"/>
              </w:rPr>
              <w:t>Offering</w:t>
            </w:r>
          </w:p>
        </w:tc>
        <w:tc>
          <w:tcPr>
            <w:tcW w:w="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w w:val="91"/>
              </w:rPr>
              <w:t>Option Exercise</w:t>
            </w:r>
          </w:p>
        </w:tc>
        <w:tc>
          <w:tcPr>
            <w:tcW w:w="80" w:type="dxa"/>
            <w:vAlign w:val="bottom"/>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1"/>
              </w:rPr>
              <w:t>Exercise</w:t>
            </w:r>
          </w:p>
        </w:tc>
        <w:tc>
          <w:tcPr>
            <w:tcW w:w="80" w:type="dxa"/>
            <w:vAlign w:val="bottom"/>
          </w:tcPr>
          <w:p>
            <w:pPr>
              <w:spacing w:after="0"/>
              <w:rPr>
                <w:sz w:val="9"/>
                <w:szCs w:val="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1"/>
              </w:rPr>
              <w:t>Exercise</w:t>
            </w:r>
          </w:p>
        </w:tc>
        <w:tc>
          <w:tcPr>
            <w:tcW w:w="80" w:type="dxa"/>
            <w:vAlign w:val="bottom"/>
          </w:tcPr>
          <w:p>
            <w:pPr>
              <w:spacing w:after="0"/>
              <w:rPr>
                <w:sz w:val="9"/>
                <w:szCs w:val="9"/>
                <w:color w:val="auto"/>
              </w:rPr>
            </w:pPr>
          </w:p>
        </w:tc>
        <w:tc>
          <w:tcPr>
            <w:tcW w:w="880" w:type="dxa"/>
            <w:vAlign w:val="bottom"/>
            <w:tcBorders>
              <w:bottom w:val="single" w:sz="8" w:color="auto"/>
            </w:tcBorders>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80" w:type="dxa"/>
            <w:vAlign w:val="bottom"/>
            <w:tcBorders>
              <w:bottom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40" w:type="dxa"/>
            <w:vAlign w:val="bottom"/>
            <w:gridSpan w:val="3"/>
          </w:tcPr>
          <w:p>
            <w:pPr>
              <w:spacing w:after="0"/>
              <w:rPr>
                <w:sz w:val="20"/>
                <w:szCs w:val="20"/>
                <w:color w:val="auto"/>
              </w:rPr>
            </w:pPr>
            <w:r>
              <w:rPr>
                <w:rFonts w:ascii="Arial" w:cs="Arial" w:eastAsia="Arial" w:hAnsi="Arial"/>
                <w:sz w:val="8"/>
                <w:szCs w:val="8"/>
                <w:b w:val="1"/>
                <w:bCs w:val="1"/>
                <w:color w:val="auto"/>
              </w:rPr>
              <w:t>Name of Beneficial</w:t>
            </w:r>
          </w:p>
        </w:tc>
        <w:tc>
          <w:tcPr>
            <w:tcW w:w="480" w:type="dxa"/>
            <w:vAlign w:val="bottom"/>
            <w:vMerge w:val="restart"/>
          </w:tcPr>
          <w:p>
            <w:pPr>
              <w:ind w:left="20"/>
              <w:spacing w:after="0"/>
              <w:rPr>
                <w:sz w:val="20"/>
                <w:szCs w:val="20"/>
                <w:color w:val="auto"/>
              </w:rPr>
            </w:pPr>
            <w:r>
              <w:rPr>
                <w:rFonts w:ascii="Arial" w:cs="Arial" w:eastAsia="Arial" w:hAnsi="Arial"/>
                <w:sz w:val="8"/>
                <w:szCs w:val="8"/>
                <w:b w:val="1"/>
                <w:bCs w:val="1"/>
                <w:color w:val="auto"/>
              </w:rPr>
              <w:t>Number</w:t>
            </w:r>
          </w:p>
        </w:tc>
        <w:tc>
          <w:tcPr>
            <w:tcW w:w="180" w:type="dxa"/>
            <w:vAlign w:val="bottom"/>
            <w:vMerge w:val="restart"/>
          </w:tcPr>
          <w:p>
            <w:pPr>
              <w:jc w:val="right"/>
              <w:ind w:right="40"/>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8"/>
                <w:szCs w:val="8"/>
                <w:b w:val="1"/>
                <w:bCs w:val="1"/>
                <w:color w:val="auto"/>
              </w:rPr>
              <w:t>Number</w:t>
            </w:r>
          </w:p>
        </w:tc>
        <w:tc>
          <w:tcPr>
            <w:tcW w:w="160" w:type="dxa"/>
            <w:vAlign w:val="bottom"/>
            <w:vMerge w:val="restart"/>
          </w:tcPr>
          <w:p>
            <w:pPr>
              <w:jc w:val="right"/>
              <w:ind w:right="40"/>
              <w:spacing w:after="0"/>
              <w:rPr>
                <w:sz w:val="20"/>
                <w:szCs w:val="20"/>
                <w:color w:val="auto"/>
              </w:rPr>
            </w:pPr>
            <w:r>
              <w:rPr>
                <w:rFonts w:ascii="Arial" w:cs="Arial" w:eastAsia="Arial" w:hAnsi="Arial"/>
                <w:sz w:val="8"/>
                <w:szCs w:val="8"/>
                <w:b w:val="1"/>
                <w:bCs w:val="1"/>
                <w:color w:val="auto"/>
                <w:w w:val="83"/>
              </w:rPr>
              <w:t>%</w:t>
            </w:r>
          </w:p>
        </w:tc>
        <w:tc>
          <w:tcPr>
            <w:tcW w:w="80" w:type="dxa"/>
            <w:vAlign w:val="bottom"/>
          </w:tcPr>
          <w:p>
            <w:pPr>
              <w:spacing w:after="0"/>
              <w:rPr>
                <w:sz w:val="8"/>
                <w:szCs w:val="8"/>
                <w:color w:val="auto"/>
              </w:rPr>
            </w:pPr>
          </w:p>
        </w:tc>
        <w:tc>
          <w:tcPr>
            <w:tcW w:w="520" w:type="dxa"/>
            <w:vAlign w:val="bottom"/>
            <w:vMerge w:val="restart"/>
          </w:tcPr>
          <w:p>
            <w:pPr>
              <w:ind w:left="20"/>
              <w:spacing w:after="0"/>
              <w:rPr>
                <w:sz w:val="20"/>
                <w:szCs w:val="20"/>
                <w:color w:val="auto"/>
              </w:rPr>
            </w:pPr>
            <w:r>
              <w:rPr>
                <w:rFonts w:ascii="Arial" w:cs="Arial" w:eastAsia="Arial" w:hAnsi="Arial"/>
                <w:sz w:val="8"/>
                <w:szCs w:val="8"/>
                <w:b w:val="1"/>
                <w:bCs w:val="1"/>
                <w:color w:val="auto"/>
              </w:rPr>
              <w:t>Number</w:t>
            </w:r>
          </w:p>
        </w:tc>
        <w:tc>
          <w:tcPr>
            <w:tcW w:w="180" w:type="dxa"/>
            <w:vAlign w:val="bottom"/>
            <w:vMerge w:val="restart"/>
          </w:tcPr>
          <w:p>
            <w:pPr>
              <w:jc w:val="right"/>
              <w:ind w:right="60"/>
              <w:spacing w:after="0"/>
              <w:rPr>
                <w:sz w:val="20"/>
                <w:szCs w:val="20"/>
                <w:color w:val="auto"/>
              </w:rPr>
            </w:pPr>
            <w:r>
              <w:rPr>
                <w:rFonts w:ascii="Arial" w:cs="Arial" w:eastAsia="Arial" w:hAnsi="Arial"/>
                <w:sz w:val="8"/>
                <w:szCs w:val="8"/>
                <w:b w:val="1"/>
                <w:bCs w:val="1"/>
                <w:color w:val="auto"/>
                <w:w w:val="83"/>
              </w:rPr>
              <w:t>%</w:t>
            </w:r>
          </w:p>
        </w:tc>
        <w:tc>
          <w:tcPr>
            <w:tcW w:w="80" w:type="dxa"/>
            <w:vAlign w:val="bottom"/>
          </w:tcPr>
          <w:p>
            <w:pPr>
              <w:spacing w:after="0"/>
              <w:rPr>
                <w:sz w:val="8"/>
                <w:szCs w:val="8"/>
                <w:color w:val="auto"/>
              </w:rPr>
            </w:pPr>
          </w:p>
        </w:tc>
        <w:tc>
          <w:tcPr>
            <w:tcW w:w="460" w:type="dxa"/>
            <w:vAlign w:val="bottom"/>
            <w:gridSpan w:val="2"/>
            <w:vMerge w:val="restart"/>
          </w:tcPr>
          <w:p>
            <w:pPr>
              <w:jc w:val="center"/>
              <w:ind w:right="60"/>
              <w:spacing w:after="0"/>
              <w:rPr>
                <w:sz w:val="20"/>
                <w:szCs w:val="20"/>
                <w:color w:val="auto"/>
              </w:rPr>
            </w:pPr>
            <w:r>
              <w:rPr>
                <w:rFonts w:ascii="Arial" w:cs="Arial" w:eastAsia="Arial" w:hAnsi="Arial"/>
                <w:sz w:val="8"/>
                <w:szCs w:val="8"/>
                <w:b w:val="1"/>
                <w:bCs w:val="1"/>
                <w:color w:val="auto"/>
                <w:w w:val="92"/>
              </w:rPr>
              <w:t>Number</w:t>
            </w:r>
          </w:p>
        </w:tc>
        <w:tc>
          <w:tcPr>
            <w:tcW w:w="440" w:type="dxa"/>
            <w:vAlign w:val="bottom"/>
            <w:gridSpan w:val="2"/>
            <w:vMerge w:val="restart"/>
          </w:tcPr>
          <w:p>
            <w:pPr>
              <w:jc w:val="center"/>
              <w:ind w:right="60"/>
              <w:spacing w:after="0"/>
              <w:rPr>
                <w:sz w:val="20"/>
                <w:szCs w:val="20"/>
                <w:color w:val="auto"/>
              </w:rPr>
            </w:pPr>
            <w:r>
              <w:rPr>
                <w:rFonts w:ascii="Arial" w:cs="Arial" w:eastAsia="Arial" w:hAnsi="Arial"/>
                <w:sz w:val="8"/>
                <w:szCs w:val="8"/>
                <w:b w:val="1"/>
                <w:bCs w:val="1"/>
                <w:color w:val="auto"/>
                <w:w w:val="99"/>
              </w:rPr>
              <w:t>Number</w:t>
            </w:r>
          </w:p>
        </w:tc>
        <w:tc>
          <w:tcPr>
            <w:tcW w:w="540" w:type="dxa"/>
            <w:vAlign w:val="bottom"/>
            <w:vMerge w:val="restart"/>
          </w:tcPr>
          <w:p>
            <w:pPr>
              <w:ind w:left="100"/>
              <w:spacing w:after="0"/>
              <w:rPr>
                <w:sz w:val="20"/>
                <w:szCs w:val="20"/>
                <w:color w:val="auto"/>
              </w:rPr>
            </w:pPr>
            <w:r>
              <w:rPr>
                <w:rFonts w:ascii="Arial" w:cs="Arial" w:eastAsia="Arial" w:hAnsi="Arial"/>
                <w:sz w:val="8"/>
                <w:szCs w:val="8"/>
                <w:b w:val="1"/>
                <w:bCs w:val="1"/>
                <w:color w:val="auto"/>
              </w:rPr>
              <w:t>Number</w:t>
            </w:r>
          </w:p>
        </w:tc>
        <w:tc>
          <w:tcPr>
            <w:tcW w:w="340" w:type="dxa"/>
            <w:vAlign w:val="bottom"/>
            <w:vMerge w:val="restart"/>
          </w:tcPr>
          <w:p>
            <w:pPr>
              <w:jc w:val="right"/>
              <w:ind w:right="60"/>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8"/>
                <w:szCs w:val="8"/>
                <w:color w:val="auto"/>
              </w:rPr>
            </w:pPr>
          </w:p>
        </w:tc>
        <w:tc>
          <w:tcPr>
            <w:tcW w:w="540" w:type="dxa"/>
            <w:vAlign w:val="bottom"/>
            <w:vMerge w:val="restart"/>
          </w:tcPr>
          <w:p>
            <w:pPr>
              <w:ind w:left="100"/>
              <w:spacing w:after="0"/>
              <w:rPr>
                <w:sz w:val="20"/>
                <w:szCs w:val="20"/>
                <w:color w:val="auto"/>
              </w:rPr>
            </w:pPr>
            <w:r>
              <w:rPr>
                <w:rFonts w:ascii="Arial" w:cs="Arial" w:eastAsia="Arial" w:hAnsi="Arial"/>
                <w:sz w:val="8"/>
                <w:szCs w:val="8"/>
                <w:b w:val="1"/>
                <w:bCs w:val="1"/>
                <w:color w:val="auto"/>
              </w:rPr>
              <w:t>Number</w:t>
            </w:r>
          </w:p>
        </w:tc>
        <w:tc>
          <w:tcPr>
            <w:tcW w:w="340" w:type="dxa"/>
            <w:vAlign w:val="bottom"/>
            <w:vMerge w:val="restart"/>
          </w:tcPr>
          <w:p>
            <w:pPr>
              <w:jc w:val="right"/>
              <w:ind w:right="60"/>
              <w:spacing w:after="0"/>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61"/>
        </w:trPr>
        <w:tc>
          <w:tcPr>
            <w:tcW w:w="660" w:type="dxa"/>
            <w:vAlign w:val="bottom"/>
            <w:tcBorders>
              <w:top w:val="single" w:sz="8" w:color="auto"/>
            </w:tcBorders>
            <w:gridSpan w:val="2"/>
          </w:tcPr>
          <w:p>
            <w:pPr>
              <w:spacing w:after="0" w:line="61" w:lineRule="exact"/>
              <w:rPr>
                <w:sz w:val="20"/>
                <w:szCs w:val="20"/>
                <w:color w:val="auto"/>
              </w:rPr>
            </w:pPr>
            <w:r>
              <w:rPr>
                <w:rFonts w:ascii="Arial" w:cs="Arial" w:eastAsia="Arial" w:hAnsi="Arial"/>
                <w:sz w:val="7"/>
                <w:szCs w:val="7"/>
                <w:b w:val="1"/>
                <w:bCs w:val="1"/>
                <w:color w:val="auto"/>
              </w:rPr>
              <w:t>Owner</w:t>
            </w: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26574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265747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0"/>
          <w:szCs w:val="10"/>
          <w:color w:val="auto"/>
        </w:rPr>
        <w:t>TA Associates</w:t>
      </w:r>
      <w:r>
        <w:rPr>
          <w:rFonts w:ascii="Arial" w:cs="Arial" w:eastAsia="Arial" w:hAnsi="Arial"/>
          <w:sz w:val="12"/>
          <w:szCs w:val="12"/>
          <w:color w:val="auto"/>
          <w:vertAlign w:val="superscript"/>
        </w:rPr>
        <w:t>(5)</w:t>
      </w:r>
    </w:p>
    <w:p>
      <w:pPr>
        <w:ind w:left="160"/>
        <w:spacing w:after="0"/>
        <w:rPr>
          <w:sz w:val="20"/>
          <w:szCs w:val="20"/>
          <w:color w:val="auto"/>
        </w:rPr>
      </w:pPr>
      <w:r>
        <w:rPr>
          <w:rFonts w:ascii="Arial" w:cs="Arial" w:eastAsia="Arial" w:hAnsi="Arial"/>
          <w:sz w:val="6"/>
          <w:szCs w:val="6"/>
          <w:color w:val="auto"/>
        </w:rPr>
        <w:t>(22)</w:t>
      </w:r>
    </w:p>
    <w:p>
      <w:pPr>
        <w:spacing w:after="0" w:line="40" w:lineRule="exact"/>
        <w:rPr>
          <w:sz w:val="20"/>
          <w:szCs w:val="20"/>
          <w:color w:val="auto"/>
        </w:rPr>
      </w:pPr>
    </w:p>
    <w:p>
      <w:pPr>
        <w:spacing w:after="0"/>
        <w:rPr>
          <w:sz w:val="20"/>
          <w:szCs w:val="20"/>
          <w:color w:val="auto"/>
        </w:rPr>
      </w:pPr>
      <w:r>
        <w:rPr>
          <w:rFonts w:ascii="Arial" w:cs="Arial" w:eastAsia="Arial" w:hAnsi="Arial"/>
          <w:sz w:val="9"/>
          <w:szCs w:val="9"/>
          <w:color w:val="auto"/>
        </w:rPr>
        <w:t>Investment Funds</w:t>
      </w:r>
    </w:p>
    <w:p>
      <w:pPr>
        <w:ind w:left="160"/>
        <w:spacing w:after="0" w:line="197" w:lineRule="auto"/>
        <w:rPr>
          <w:sz w:val="20"/>
          <w:szCs w:val="20"/>
          <w:color w:val="auto"/>
        </w:rPr>
      </w:pPr>
      <w:r>
        <w:rPr>
          <w:rFonts w:ascii="Arial" w:cs="Arial" w:eastAsia="Arial" w:hAnsi="Arial"/>
          <w:sz w:val="10"/>
          <w:szCs w:val="10"/>
          <w:color w:val="auto"/>
        </w:rPr>
        <w:t>affiliated</w:t>
      </w:r>
    </w:p>
    <w:p>
      <w:pPr>
        <w:ind w:left="160"/>
        <w:spacing w:after="0" w:line="197" w:lineRule="auto"/>
        <w:rPr>
          <w:sz w:val="20"/>
          <w:szCs w:val="20"/>
          <w:color w:val="auto"/>
        </w:rPr>
      </w:pPr>
      <w:r>
        <w:rPr>
          <w:rFonts w:ascii="Arial" w:cs="Arial" w:eastAsia="Arial" w:hAnsi="Arial"/>
          <w:sz w:val="9"/>
          <w:szCs w:val="9"/>
          <w:color w:val="auto"/>
        </w:rPr>
        <w:t>with</w:t>
      </w:r>
    </w:p>
    <w:p>
      <w:pPr>
        <w:ind w:left="160"/>
        <w:spacing w:after="0"/>
        <w:rPr>
          <w:sz w:val="20"/>
          <w:szCs w:val="20"/>
          <w:color w:val="auto"/>
        </w:rPr>
      </w:pPr>
      <w:r>
        <w:rPr>
          <w:rFonts w:ascii="Arial" w:cs="Arial" w:eastAsia="Arial" w:hAnsi="Arial"/>
          <w:sz w:val="10"/>
          <w:szCs w:val="10"/>
          <w:color w:val="auto"/>
        </w:rPr>
        <w:t>Carlyle</w:t>
      </w:r>
      <w:r>
        <w:rPr>
          <w:rFonts w:ascii="Arial" w:cs="Arial" w:eastAsia="Arial" w:hAnsi="Arial"/>
          <w:sz w:val="12"/>
          <w:szCs w:val="12"/>
          <w:color w:val="auto"/>
          <w:vertAlign w:val="superscript"/>
        </w:rPr>
        <w:t>(6)(22)</w:t>
      </w:r>
    </w:p>
    <w:p>
      <w:pPr>
        <w:spacing w:after="0" w:line="11" w:lineRule="exact"/>
        <w:rPr>
          <w:sz w:val="20"/>
          <w:szCs w:val="20"/>
          <w:color w:val="auto"/>
        </w:rPr>
      </w:pPr>
    </w:p>
    <w:p>
      <w:pPr>
        <w:spacing w:after="0"/>
        <w:rPr>
          <w:sz w:val="20"/>
          <w:szCs w:val="20"/>
          <w:color w:val="auto"/>
        </w:rPr>
      </w:pPr>
      <w:r>
        <w:rPr>
          <w:rFonts w:ascii="Arial" w:cs="Arial" w:eastAsia="Arial" w:hAnsi="Arial"/>
          <w:sz w:val="9"/>
          <w:szCs w:val="9"/>
          <w:color w:val="auto"/>
        </w:rPr>
        <w:t>22C Capital</w:t>
      </w:r>
      <w:r>
        <w:rPr>
          <w:rFonts w:ascii="Arial" w:cs="Arial" w:eastAsia="Arial" w:hAnsi="Arial"/>
          <w:sz w:val="11"/>
          <w:szCs w:val="11"/>
          <w:color w:val="auto"/>
          <w:vertAlign w:val="superscript"/>
        </w:rPr>
        <w:t>(7)(22)</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DO Holdings</w:t>
      </w:r>
    </w:p>
    <w:p>
      <w:pPr>
        <w:ind w:left="160"/>
        <w:spacing w:after="0" w:line="197" w:lineRule="auto"/>
        <w:rPr>
          <w:sz w:val="20"/>
          <w:szCs w:val="20"/>
          <w:color w:val="auto"/>
        </w:rPr>
      </w:pPr>
      <w:r>
        <w:rPr>
          <w:rFonts w:ascii="Arial" w:cs="Arial" w:eastAsia="Arial" w:hAnsi="Arial"/>
          <w:sz w:val="8"/>
          <w:szCs w:val="8"/>
          <w:color w:val="auto"/>
        </w:rPr>
        <w:t>(WA), LLC</w:t>
      </w:r>
      <w:r>
        <w:rPr>
          <w:rFonts w:ascii="Arial" w:cs="Arial" w:eastAsia="Arial" w:hAnsi="Arial"/>
          <w:sz w:val="10"/>
          <w:szCs w:val="10"/>
          <w:color w:val="auto"/>
          <w:vertAlign w:val="superscript"/>
        </w:rPr>
        <w:t>(8)</w:t>
      </w:r>
    </w:p>
    <w:p>
      <w:pPr>
        <w:ind w:left="160"/>
        <w:spacing w:after="0"/>
        <w:rPr>
          <w:sz w:val="20"/>
          <w:szCs w:val="20"/>
          <w:color w:val="auto"/>
        </w:rPr>
      </w:pPr>
      <w:r>
        <w:rPr>
          <w:rFonts w:ascii="Arial" w:cs="Arial" w:eastAsia="Arial" w:hAnsi="Arial"/>
          <w:sz w:val="6"/>
          <w:szCs w:val="6"/>
          <w:color w:val="auto"/>
        </w:rPr>
        <w:t>(22)</w:t>
      </w:r>
    </w:p>
    <w:p>
      <w:pPr>
        <w:spacing w:after="0" w:line="232" w:lineRule="auto"/>
        <w:rPr>
          <w:sz w:val="20"/>
          <w:szCs w:val="20"/>
          <w:color w:val="auto"/>
        </w:rPr>
      </w:pPr>
      <w:r>
        <w:rPr>
          <w:rFonts w:ascii="Arial" w:cs="Arial" w:eastAsia="Arial" w:hAnsi="Arial"/>
          <w:sz w:val="10"/>
          <w:szCs w:val="10"/>
          <w:color w:val="auto"/>
        </w:rPr>
        <w:t>Kirk Brown</w:t>
      </w:r>
      <w:r>
        <w:rPr>
          <w:rFonts w:ascii="Arial" w:cs="Arial" w:eastAsia="Arial" w:hAnsi="Arial"/>
          <w:sz w:val="12"/>
          <w:szCs w:val="12"/>
          <w:color w:val="auto"/>
          <w:vertAlign w:val="superscript"/>
        </w:rPr>
        <w:t>(8)(9)</w:t>
      </w:r>
    </w:p>
    <w:p>
      <w:pPr>
        <w:ind w:left="160"/>
        <w:spacing w:after="0"/>
        <w:rPr>
          <w:sz w:val="20"/>
          <w:szCs w:val="20"/>
          <w:color w:val="auto"/>
        </w:rPr>
      </w:pPr>
      <w:r>
        <w:rPr>
          <w:rFonts w:ascii="Arial" w:cs="Arial" w:eastAsia="Arial" w:hAnsi="Arial"/>
          <w:sz w:val="6"/>
          <w:szCs w:val="6"/>
          <w:color w:val="auto"/>
        </w:rPr>
        <w:t>(22)</w:t>
      </w:r>
    </w:p>
    <w:p>
      <w:pPr>
        <w:spacing w:after="0" w:line="232" w:lineRule="auto"/>
        <w:rPr>
          <w:sz w:val="20"/>
          <w:szCs w:val="20"/>
          <w:color w:val="auto"/>
        </w:rPr>
      </w:pPr>
      <w:r>
        <w:rPr>
          <w:rFonts w:ascii="Arial" w:cs="Arial" w:eastAsia="Arial" w:hAnsi="Arial"/>
          <w:sz w:val="10"/>
          <w:szCs w:val="10"/>
          <w:color w:val="auto"/>
        </w:rPr>
        <w:t>Henry Schuck</w:t>
      </w:r>
      <w:r>
        <w:rPr>
          <w:rFonts w:ascii="Arial" w:cs="Arial" w:eastAsia="Arial" w:hAnsi="Arial"/>
          <w:sz w:val="12"/>
          <w:szCs w:val="12"/>
          <w:color w:val="auto"/>
          <w:vertAlign w:val="superscript"/>
        </w:rPr>
        <w:t>(8)</w:t>
      </w:r>
    </w:p>
    <w:p>
      <w:pPr>
        <w:ind w:left="160"/>
        <w:spacing w:after="0"/>
        <w:rPr>
          <w:sz w:val="20"/>
          <w:szCs w:val="20"/>
          <w:color w:val="auto"/>
        </w:rPr>
      </w:pPr>
      <w:r>
        <w:rPr>
          <w:rFonts w:ascii="Arial" w:cs="Arial" w:eastAsia="Arial" w:hAnsi="Arial"/>
          <w:sz w:val="6"/>
          <w:szCs w:val="6"/>
          <w:color w:val="auto"/>
        </w:rPr>
        <w:t>(10)(22)</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Cameron</w:t>
      </w:r>
    </w:p>
    <w:p>
      <w:pPr>
        <w:ind w:left="160"/>
        <w:spacing w:after="0"/>
        <w:rPr>
          <w:sz w:val="20"/>
          <w:szCs w:val="20"/>
          <w:color w:val="auto"/>
        </w:rPr>
      </w:pPr>
      <w:r>
        <w:rPr>
          <w:rFonts w:ascii="Arial" w:cs="Arial" w:eastAsia="Arial" w:hAnsi="Arial"/>
          <w:sz w:val="10"/>
          <w:szCs w:val="10"/>
          <w:color w:val="auto"/>
        </w:rPr>
        <w:t>Hyzer</w:t>
      </w:r>
      <w:r>
        <w:rPr>
          <w:rFonts w:ascii="Arial" w:cs="Arial" w:eastAsia="Arial" w:hAnsi="Arial"/>
          <w:sz w:val="12"/>
          <w:szCs w:val="12"/>
          <w:color w:val="auto"/>
          <w:vertAlign w:val="superscript"/>
        </w:rPr>
        <w:t>(11)</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Chris Hays</w:t>
      </w:r>
      <w:r>
        <w:rPr>
          <w:rFonts w:ascii="Arial" w:cs="Arial" w:eastAsia="Arial" w:hAnsi="Arial"/>
          <w:sz w:val="12"/>
          <w:szCs w:val="12"/>
          <w:color w:val="auto"/>
          <w:vertAlign w:val="superscript"/>
        </w:rPr>
        <w:t>(12)</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Nir Keren</w:t>
      </w:r>
      <w:r>
        <w:rPr>
          <w:rFonts w:ascii="Arial" w:cs="Arial" w:eastAsia="Arial" w:hAnsi="Arial"/>
          <w:sz w:val="12"/>
          <w:szCs w:val="12"/>
          <w:color w:val="auto"/>
          <w:vertAlign w:val="superscript"/>
        </w:rPr>
        <w:t>(13)</w:t>
      </w:r>
    </w:p>
    <w:p>
      <w:pPr>
        <w:spacing w:after="0" w:line="11" w:lineRule="exact"/>
        <w:rPr>
          <w:sz w:val="20"/>
          <w:szCs w:val="20"/>
          <w:color w:val="auto"/>
        </w:rPr>
      </w:pPr>
    </w:p>
    <w:p>
      <w:pPr>
        <w:spacing w:after="0"/>
        <w:rPr>
          <w:sz w:val="20"/>
          <w:szCs w:val="20"/>
          <w:color w:val="auto"/>
        </w:rPr>
      </w:pPr>
      <w:r>
        <w:rPr>
          <w:rFonts w:ascii="Arial" w:cs="Arial" w:eastAsia="Arial" w:hAnsi="Arial"/>
          <w:sz w:val="9"/>
          <w:szCs w:val="9"/>
          <w:color w:val="auto"/>
        </w:rPr>
        <w:t>Todd Crockett</w:t>
      </w:r>
      <w:r>
        <w:rPr>
          <w:rFonts w:ascii="Arial" w:cs="Arial" w:eastAsia="Arial" w:hAnsi="Arial"/>
          <w:sz w:val="11"/>
          <w:szCs w:val="11"/>
          <w:color w:val="auto"/>
          <w:vertAlign w:val="superscript"/>
        </w:rPr>
        <w:t>(14)</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Mitesh Dhruv</w:t>
      </w:r>
      <w:r>
        <w:rPr>
          <w:rFonts w:ascii="Arial" w:cs="Arial" w:eastAsia="Arial" w:hAnsi="Arial"/>
          <w:sz w:val="12"/>
          <w:szCs w:val="12"/>
          <w:color w:val="auto"/>
          <w:vertAlign w:val="superscript"/>
        </w:rPr>
        <w:t>(15)</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Keith Enright</w:t>
      </w:r>
      <w:r>
        <w:rPr>
          <w:rFonts w:ascii="Arial" w:cs="Arial" w:eastAsia="Arial" w:hAnsi="Arial"/>
          <w:sz w:val="12"/>
          <w:szCs w:val="12"/>
          <w:color w:val="auto"/>
          <w:vertAlign w:val="superscript"/>
        </w:rPr>
        <w:t>(16)</w:t>
      </w:r>
    </w:p>
    <w:p>
      <w:pPr>
        <w:spacing w:after="0" w:line="11" w:lineRule="exact"/>
        <w:rPr>
          <w:sz w:val="20"/>
          <w:szCs w:val="20"/>
          <w:color w:val="auto"/>
        </w:rPr>
      </w:pPr>
    </w:p>
    <w:p>
      <w:pPr>
        <w:spacing w:after="0"/>
        <w:rPr>
          <w:sz w:val="20"/>
          <w:szCs w:val="20"/>
          <w:color w:val="auto"/>
        </w:rPr>
      </w:pPr>
      <w:r>
        <w:rPr>
          <w:rFonts w:ascii="Arial" w:cs="Arial" w:eastAsia="Arial" w:hAnsi="Arial"/>
          <w:sz w:val="9"/>
          <w:szCs w:val="9"/>
          <w:color w:val="auto"/>
        </w:rPr>
        <w:t>Ashley Evans</w:t>
      </w:r>
      <w:r>
        <w:rPr>
          <w:rFonts w:ascii="Arial" w:cs="Arial" w:eastAsia="Arial" w:hAnsi="Arial"/>
          <w:sz w:val="11"/>
          <w:szCs w:val="11"/>
          <w:color w:val="auto"/>
          <w:vertAlign w:val="superscript"/>
        </w:rPr>
        <w:t>(17)</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Mark Mader</w:t>
      </w:r>
      <w:r>
        <w:rPr>
          <w:rFonts w:ascii="Arial" w:cs="Arial" w:eastAsia="Arial" w:hAnsi="Arial"/>
          <w:sz w:val="12"/>
          <w:szCs w:val="12"/>
          <w:color w:val="auto"/>
          <w:vertAlign w:val="superscript"/>
        </w:rPr>
        <w:t>(18)</w:t>
      </w:r>
    </w:p>
    <w:p>
      <w:pPr>
        <w:spacing w:after="0" w:line="219" w:lineRule="auto"/>
        <w:rPr>
          <w:sz w:val="20"/>
          <w:szCs w:val="20"/>
          <w:color w:val="auto"/>
        </w:rPr>
      </w:pPr>
      <w:r>
        <w:rPr>
          <w:rFonts w:ascii="Arial" w:cs="Arial" w:eastAsia="Arial" w:hAnsi="Arial"/>
          <w:sz w:val="10"/>
          <w:szCs w:val="10"/>
          <w:color w:val="auto"/>
        </w:rPr>
        <w:t>Patrick</w:t>
      </w:r>
    </w:p>
    <w:p>
      <w:pPr>
        <w:ind w:left="160"/>
        <w:spacing w:after="0"/>
        <w:rPr>
          <w:sz w:val="20"/>
          <w:szCs w:val="20"/>
          <w:color w:val="auto"/>
        </w:rPr>
      </w:pPr>
      <w:r>
        <w:rPr>
          <w:rFonts w:ascii="Arial" w:cs="Arial" w:eastAsia="Arial" w:hAnsi="Arial"/>
          <w:sz w:val="10"/>
          <w:szCs w:val="10"/>
          <w:color w:val="auto"/>
        </w:rPr>
        <w:t>McCarter</w:t>
      </w:r>
      <w:r>
        <w:rPr>
          <w:rFonts w:ascii="Arial" w:cs="Arial" w:eastAsia="Arial" w:hAnsi="Arial"/>
          <w:sz w:val="12"/>
          <w:szCs w:val="12"/>
          <w:color w:val="auto"/>
          <w:vertAlign w:val="superscript"/>
        </w:rPr>
        <w:t>(19)</w:t>
      </w:r>
    </w:p>
    <w:p>
      <w:pPr>
        <w:spacing w:after="0" w:line="11" w:lineRule="exact"/>
        <w:rPr>
          <w:sz w:val="20"/>
          <w:szCs w:val="20"/>
          <w:color w:val="auto"/>
        </w:rPr>
      </w:pPr>
    </w:p>
    <w:p>
      <w:pPr>
        <w:spacing w:after="0"/>
        <w:rPr>
          <w:sz w:val="20"/>
          <w:szCs w:val="20"/>
          <w:color w:val="auto"/>
        </w:rPr>
      </w:pPr>
      <w:r>
        <w:rPr>
          <w:rFonts w:ascii="Arial" w:cs="Arial" w:eastAsia="Arial" w:hAnsi="Arial"/>
          <w:sz w:val="9"/>
          <w:szCs w:val="9"/>
          <w:color w:val="auto"/>
        </w:rPr>
        <w:t>Jason Mironov</w:t>
      </w:r>
      <w:r>
        <w:rPr>
          <w:rFonts w:ascii="Arial" w:cs="Arial" w:eastAsia="Arial" w:hAnsi="Arial"/>
          <w:sz w:val="11"/>
          <w:szCs w:val="11"/>
          <w:color w:val="auto"/>
          <w:vertAlign w:val="superscript"/>
        </w:rPr>
        <w:t>(20)</w:t>
      </w:r>
    </w:p>
    <w:p>
      <w:pPr>
        <w:spacing w:after="0" w:line="32" w:lineRule="exact"/>
        <w:rPr>
          <w:sz w:val="20"/>
          <w:szCs w:val="20"/>
          <w:color w:val="auto"/>
        </w:rPr>
      </w:pPr>
    </w:p>
    <w:p>
      <w:pPr>
        <w:ind w:left="160" w:right="5260" w:hanging="154"/>
        <w:spacing w:after="0" w:line="253" w:lineRule="auto"/>
        <w:tabs>
          <w:tab w:leader="none" w:pos="119" w:val="left"/>
        </w:tabs>
        <w:numPr>
          <w:ilvl w:val="0"/>
          <w:numId w:val="159"/>
        </w:numPr>
        <w:rPr>
          <w:rFonts w:ascii="Arial" w:cs="Arial" w:eastAsia="Arial" w:hAnsi="Arial"/>
          <w:sz w:val="9"/>
          <w:szCs w:val="9"/>
          <w:color w:val="auto"/>
        </w:rPr>
      </w:pPr>
      <w:r>
        <w:rPr>
          <w:rFonts w:ascii="Arial" w:cs="Arial" w:eastAsia="Arial" w:hAnsi="Arial"/>
          <w:sz w:val="9"/>
          <w:szCs w:val="9"/>
          <w:color w:val="auto"/>
        </w:rPr>
        <w:t>Randall Winn</w:t>
      </w:r>
      <w:r>
        <w:rPr>
          <w:rFonts w:ascii="Arial" w:cs="Arial" w:eastAsia="Arial" w:hAnsi="Arial"/>
          <w:sz w:val="11"/>
          <w:szCs w:val="11"/>
          <w:color w:val="auto"/>
          <w:vertAlign w:val="superscript"/>
        </w:rPr>
        <w:t>(21)</w:t>
      </w:r>
    </w:p>
    <w:p>
      <w:pPr>
        <w:spacing w:after="0" w:line="198" w:lineRule="auto"/>
        <w:rPr>
          <w:sz w:val="20"/>
          <w:szCs w:val="20"/>
          <w:color w:val="auto"/>
        </w:rPr>
      </w:pPr>
      <w:r>
        <w:rPr>
          <w:rFonts w:ascii="Arial" w:cs="Arial" w:eastAsia="Arial" w:hAnsi="Arial"/>
          <w:sz w:val="10"/>
          <w:szCs w:val="10"/>
          <w:color w:val="auto"/>
        </w:rPr>
        <w:t>Directors and</w:t>
      </w:r>
    </w:p>
    <w:p>
      <w:pPr>
        <w:ind w:left="160"/>
        <w:spacing w:after="0" w:line="197" w:lineRule="auto"/>
        <w:rPr>
          <w:sz w:val="20"/>
          <w:szCs w:val="20"/>
          <w:color w:val="auto"/>
        </w:rPr>
      </w:pPr>
      <w:r>
        <w:rPr>
          <w:rFonts w:ascii="Arial" w:cs="Arial" w:eastAsia="Arial" w:hAnsi="Arial"/>
          <w:sz w:val="10"/>
          <w:szCs w:val="10"/>
          <w:color w:val="auto"/>
        </w:rPr>
        <w:t>executive</w:t>
      </w:r>
    </w:p>
    <w:p>
      <w:pPr>
        <w:ind w:left="160"/>
        <w:spacing w:after="0" w:line="197" w:lineRule="auto"/>
        <w:rPr>
          <w:sz w:val="20"/>
          <w:szCs w:val="20"/>
          <w:color w:val="auto"/>
        </w:rPr>
      </w:pPr>
      <w:r>
        <w:rPr>
          <w:rFonts w:ascii="Arial" w:cs="Arial" w:eastAsia="Arial" w:hAnsi="Arial"/>
          <w:sz w:val="10"/>
          <w:szCs w:val="10"/>
          <w:color w:val="auto"/>
        </w:rPr>
        <w:t>officers as a</w:t>
      </w:r>
    </w:p>
    <w:p>
      <w:pPr>
        <w:ind w:left="160"/>
        <w:spacing w:after="0" w:line="95" w:lineRule="exact"/>
        <w:rPr>
          <w:sz w:val="20"/>
          <w:szCs w:val="20"/>
          <w:color w:val="auto"/>
        </w:rPr>
      </w:pPr>
      <w:r>
        <w:rPr>
          <w:rFonts w:ascii="Arial" w:cs="Arial" w:eastAsia="Arial" w:hAnsi="Arial"/>
          <w:sz w:val="10"/>
          <w:szCs w:val="10"/>
          <w:color w:val="auto"/>
        </w:rPr>
        <w:t xml:space="preserve">group </w:t>
      </w:r>
      <w:r>
        <w:rPr>
          <w:rFonts w:ascii="MS PGothic" w:cs="MS PGothic" w:eastAsia="MS PGothic" w:hAnsi="MS PGothic"/>
          <w:sz w:val="10"/>
          <w:szCs w:val="10"/>
          <w:color w:val="auto"/>
        </w:rPr>
        <w:t> </w:t>
      </w:r>
    </w:p>
    <w:p>
      <w:pPr>
        <w:ind w:left="160"/>
        <w:spacing w:after="0"/>
        <w:rPr>
          <w:sz w:val="20"/>
          <w:szCs w:val="20"/>
          <w:color w:val="auto"/>
        </w:rPr>
      </w:pPr>
      <w:r>
        <w:rPr>
          <w:rFonts w:ascii="Arial" w:cs="Arial" w:eastAsia="Arial" w:hAnsi="Arial"/>
          <w:sz w:val="10"/>
          <w:szCs w:val="10"/>
          <w:color w:val="auto"/>
        </w:rPr>
        <w:t>(12 persons)</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Other Selling</w:t>
      </w:r>
    </w:p>
    <w:p>
      <w:pPr>
        <w:ind w:left="160"/>
        <w:spacing w:after="0"/>
        <w:rPr>
          <w:sz w:val="20"/>
          <w:szCs w:val="20"/>
          <w:color w:val="auto"/>
        </w:rPr>
      </w:pPr>
      <w:r>
        <w:rPr>
          <w:rFonts w:ascii="Arial" w:cs="Arial" w:eastAsia="Arial" w:hAnsi="Arial"/>
          <w:sz w:val="10"/>
          <w:szCs w:val="10"/>
          <w:color w:val="auto"/>
        </w:rPr>
        <w:t>Stockholders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2"/>
        </w:trPr>
        <w:tc>
          <w:tcPr>
            <w:tcW w:w="980" w:type="dxa"/>
            <w:vAlign w:val="bottom"/>
            <w:gridSpan w:val="5"/>
            <w:vMerge w:val="restart"/>
          </w:tcPr>
          <w:p>
            <w:pPr>
              <w:jc w:val="center"/>
              <w:ind w:right="80"/>
              <w:spacing w:after="0"/>
              <w:rPr>
                <w:sz w:val="20"/>
                <w:szCs w:val="20"/>
                <w:color w:val="auto"/>
              </w:rPr>
            </w:pPr>
            <w:r>
              <w:rPr>
                <w:rFonts w:ascii="Arial" w:cs="Arial" w:eastAsia="Arial" w:hAnsi="Arial"/>
                <w:sz w:val="8"/>
                <w:szCs w:val="8"/>
                <w:b w:val="1"/>
                <w:bCs w:val="1"/>
                <w:color w:val="auto"/>
                <w:w w:val="93"/>
              </w:rPr>
              <w:t>After this Offering,</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restart"/>
          </w:tcPr>
          <w:p>
            <w:pPr>
              <w:jc w:val="center"/>
              <w:spacing w:after="0"/>
              <w:rPr>
                <w:sz w:val="20"/>
                <w:szCs w:val="20"/>
                <w:color w:val="auto"/>
              </w:rPr>
            </w:pPr>
            <w:r>
              <w:rPr>
                <w:rFonts w:ascii="Arial" w:cs="Arial" w:eastAsia="Arial" w:hAnsi="Arial"/>
                <w:sz w:val="8"/>
                <w:szCs w:val="8"/>
                <w:b w:val="1"/>
                <w:bCs w:val="1"/>
                <w:color w:val="auto"/>
                <w:w w:val="93"/>
              </w:rPr>
              <w:t>After this Offering,</w:t>
            </w: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4"/>
              </w:rPr>
              <w:t>% After this</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98"/>
              </w:rPr>
              <w:t>% After this</w:t>
            </w:r>
          </w:p>
        </w:tc>
        <w:tc>
          <w:tcPr>
            <w:tcW w:w="0" w:type="dxa"/>
            <w:vAlign w:val="bottom"/>
          </w:tcPr>
          <w:p>
            <w:pPr>
              <w:spacing w:after="0"/>
              <w:rPr>
                <w:sz w:val="1"/>
                <w:szCs w:val="1"/>
                <w:color w:val="auto"/>
              </w:rPr>
            </w:pPr>
          </w:p>
        </w:tc>
      </w:tr>
      <w:tr>
        <w:trPr>
          <w:trHeight w:val="27"/>
        </w:trPr>
        <w:tc>
          <w:tcPr>
            <w:tcW w:w="980" w:type="dxa"/>
            <w:vAlign w:val="bottom"/>
            <w:gridSpan w:val="5"/>
            <w:vMerge w:val="continue"/>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restart"/>
          </w:tcPr>
          <w:p>
            <w:pPr>
              <w:jc w:val="center"/>
              <w:ind w:right="80"/>
              <w:spacing w:after="0" w:line="81" w:lineRule="exact"/>
              <w:rPr>
                <w:sz w:val="20"/>
                <w:szCs w:val="20"/>
                <w:color w:val="auto"/>
              </w:rPr>
            </w:pPr>
            <w:r>
              <w:rPr>
                <w:rFonts w:ascii="Arial" w:cs="Arial" w:eastAsia="Arial" w:hAnsi="Arial"/>
                <w:sz w:val="8"/>
                <w:szCs w:val="8"/>
                <w:b w:val="1"/>
                <w:bCs w:val="1"/>
                <w:color w:val="auto"/>
                <w:w w:val="96"/>
              </w:rPr>
              <w:t>Offering</w:t>
            </w:r>
          </w:p>
        </w:tc>
        <w:tc>
          <w:tcPr>
            <w:tcW w:w="540" w:type="dxa"/>
            <w:vAlign w:val="bottom"/>
            <w:vMerge w:val="restart"/>
          </w:tcPr>
          <w:p>
            <w:pPr>
              <w:jc w:val="center"/>
              <w:spacing w:after="0" w:line="81" w:lineRule="exact"/>
              <w:rPr>
                <w:sz w:val="20"/>
                <w:szCs w:val="20"/>
                <w:color w:val="auto"/>
              </w:rPr>
            </w:pPr>
            <w:r>
              <w:rPr>
                <w:rFonts w:ascii="Arial" w:cs="Arial" w:eastAsia="Arial" w:hAnsi="Arial"/>
                <w:sz w:val="8"/>
                <w:szCs w:val="8"/>
                <w:b w:val="1"/>
                <w:bCs w:val="1"/>
                <w:color w:val="auto"/>
                <w:w w:val="96"/>
              </w:rPr>
              <w:t>Offering</w:t>
            </w:r>
          </w:p>
        </w:tc>
        <w:tc>
          <w:tcPr>
            <w:tcW w:w="0" w:type="dxa"/>
            <w:vAlign w:val="bottom"/>
          </w:tcPr>
          <w:p>
            <w:pPr>
              <w:spacing w:after="0" w:line="20" w:lineRule="exact"/>
              <w:rPr>
                <w:sz w:val="1"/>
                <w:szCs w:val="1"/>
                <w:color w:val="auto"/>
              </w:rPr>
            </w:pPr>
          </w:p>
        </w:tc>
      </w:tr>
      <w:tr>
        <w:trPr>
          <w:trHeight w:val="54"/>
        </w:trPr>
        <w:tc>
          <w:tcPr>
            <w:tcW w:w="980" w:type="dxa"/>
            <w:vAlign w:val="bottom"/>
            <w:gridSpan w:val="5"/>
            <w:vMerge w:val="restart"/>
          </w:tcPr>
          <w:p>
            <w:pPr>
              <w:jc w:val="center"/>
              <w:ind w:right="100"/>
              <w:spacing w:after="0" w:line="81" w:lineRule="exact"/>
              <w:rPr>
                <w:sz w:val="20"/>
                <w:szCs w:val="20"/>
                <w:color w:val="auto"/>
              </w:rPr>
            </w:pPr>
            <w:r>
              <w:rPr>
                <w:rFonts w:ascii="Arial" w:cs="Arial" w:eastAsia="Arial" w:hAnsi="Arial"/>
                <w:sz w:val="8"/>
                <w:szCs w:val="8"/>
                <w:b w:val="1"/>
                <w:bCs w:val="1"/>
                <w:color w:val="auto"/>
                <w:w w:val="94"/>
              </w:rPr>
              <w:t>Including Full Option</w:t>
            </w: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4"/>
            <w:vMerge w:val="restart"/>
          </w:tcPr>
          <w:p>
            <w:pPr>
              <w:jc w:val="center"/>
              <w:spacing w:after="0" w:line="81" w:lineRule="exact"/>
              <w:rPr>
                <w:sz w:val="20"/>
                <w:szCs w:val="20"/>
                <w:color w:val="auto"/>
              </w:rPr>
            </w:pPr>
            <w:r>
              <w:rPr>
                <w:rFonts w:ascii="Arial" w:cs="Arial" w:eastAsia="Arial" w:hAnsi="Arial"/>
                <w:sz w:val="8"/>
                <w:szCs w:val="8"/>
                <w:b w:val="1"/>
                <w:bCs w:val="1"/>
                <w:color w:val="auto"/>
                <w:w w:val="94"/>
              </w:rPr>
              <w:t>Including Full Option</w:t>
            </w: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980" w:type="dxa"/>
            <w:vAlign w:val="bottom"/>
            <w:gridSpan w:val="5"/>
            <w:vMerge w:val="continue"/>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restart"/>
          </w:tcPr>
          <w:p>
            <w:pPr>
              <w:jc w:val="center"/>
              <w:ind w:right="80"/>
              <w:spacing w:after="0" w:line="81" w:lineRule="exact"/>
              <w:rPr>
                <w:sz w:val="20"/>
                <w:szCs w:val="20"/>
                <w:color w:val="auto"/>
              </w:rPr>
            </w:pPr>
            <w:r>
              <w:rPr>
                <w:rFonts w:ascii="Arial" w:cs="Arial" w:eastAsia="Arial" w:hAnsi="Arial"/>
                <w:sz w:val="8"/>
                <w:szCs w:val="8"/>
                <w:b w:val="1"/>
                <w:bCs w:val="1"/>
                <w:color w:val="auto"/>
                <w:w w:val="87"/>
              </w:rPr>
              <w:t>Assuming</w:t>
            </w:r>
          </w:p>
        </w:tc>
        <w:tc>
          <w:tcPr>
            <w:tcW w:w="540" w:type="dxa"/>
            <w:vAlign w:val="bottom"/>
            <w:vMerge w:val="restart"/>
          </w:tcPr>
          <w:p>
            <w:pPr>
              <w:jc w:val="center"/>
              <w:spacing w:after="0" w:line="81" w:lineRule="exact"/>
              <w:rPr>
                <w:sz w:val="20"/>
                <w:szCs w:val="20"/>
                <w:color w:val="auto"/>
              </w:rPr>
            </w:pPr>
            <w:r>
              <w:rPr>
                <w:rFonts w:ascii="Arial" w:cs="Arial" w:eastAsia="Arial" w:hAnsi="Arial"/>
                <w:sz w:val="8"/>
                <w:szCs w:val="8"/>
                <w:b w:val="1"/>
                <w:bCs w:val="1"/>
                <w:color w:val="auto"/>
                <w:w w:val="87"/>
              </w:rPr>
              <w:t>Assuming</w:t>
            </w:r>
          </w:p>
        </w:tc>
        <w:tc>
          <w:tcPr>
            <w:tcW w:w="0" w:type="dxa"/>
            <w:vAlign w:val="bottom"/>
          </w:tcPr>
          <w:p>
            <w:pPr>
              <w:spacing w:after="0" w:line="20" w:lineRule="exact"/>
              <w:rPr>
                <w:sz w:val="1"/>
                <w:szCs w:val="1"/>
                <w:color w:val="auto"/>
              </w:rPr>
            </w:pPr>
          </w:p>
        </w:tc>
      </w:tr>
      <w:tr>
        <w:trPr>
          <w:trHeight w:val="54"/>
        </w:trPr>
        <w:tc>
          <w:tcPr>
            <w:tcW w:w="640" w:type="dxa"/>
            <w:vAlign w:val="bottom"/>
            <w:gridSpan w:val="3"/>
            <w:vMerge w:val="restart"/>
          </w:tcPr>
          <w:p>
            <w:pPr>
              <w:jc w:val="center"/>
              <w:ind w:left="220"/>
              <w:spacing w:after="0"/>
              <w:rPr>
                <w:sz w:val="20"/>
                <w:szCs w:val="20"/>
                <w:color w:val="auto"/>
              </w:rPr>
            </w:pPr>
            <w:r>
              <w:rPr>
                <w:rFonts w:ascii="Arial" w:cs="Arial" w:eastAsia="Arial" w:hAnsi="Arial"/>
                <w:sz w:val="8"/>
                <w:szCs w:val="8"/>
                <w:b w:val="1"/>
                <w:bCs w:val="1"/>
                <w:color w:val="auto"/>
                <w:w w:val="91"/>
              </w:rPr>
              <w:t>Exercise</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4"/>
            <w:vMerge w:val="restart"/>
          </w:tcPr>
          <w:p>
            <w:pPr>
              <w:ind w:left="40"/>
              <w:spacing w:after="0"/>
              <w:rPr>
                <w:sz w:val="20"/>
                <w:szCs w:val="20"/>
                <w:color w:val="auto"/>
              </w:rPr>
            </w:pPr>
            <w:r>
              <w:rPr>
                <w:rFonts w:ascii="Arial" w:cs="Arial" w:eastAsia="Arial" w:hAnsi="Arial"/>
                <w:sz w:val="8"/>
                <w:szCs w:val="8"/>
                <w:b w:val="1"/>
                <w:bCs w:val="1"/>
                <w:color w:val="auto"/>
              </w:rPr>
              <w:t>Prior to this Offering</w:t>
            </w:r>
          </w:p>
        </w:tc>
        <w:tc>
          <w:tcPr>
            <w:tcW w:w="920" w:type="dxa"/>
            <w:vAlign w:val="bottom"/>
            <w:gridSpan w:val="4"/>
            <w:vMerge w:val="restart"/>
          </w:tcPr>
          <w:p>
            <w:pPr>
              <w:ind w:left="100"/>
              <w:spacing w:after="0"/>
              <w:rPr>
                <w:sz w:val="20"/>
                <w:szCs w:val="20"/>
                <w:color w:val="auto"/>
              </w:rPr>
            </w:pPr>
            <w:r>
              <w:rPr>
                <w:rFonts w:ascii="Arial" w:cs="Arial" w:eastAsia="Arial" w:hAnsi="Arial"/>
                <w:sz w:val="8"/>
                <w:szCs w:val="8"/>
                <w:b w:val="1"/>
                <w:bCs w:val="1"/>
                <w:color w:val="auto"/>
              </w:rPr>
              <w:t>After this Offering</w:t>
            </w:r>
          </w:p>
        </w:tc>
        <w:tc>
          <w:tcPr>
            <w:tcW w:w="620" w:type="dxa"/>
            <w:vAlign w:val="bottom"/>
            <w:gridSpan w:val="3"/>
            <w:vMerge w:val="restart"/>
          </w:tcPr>
          <w:p>
            <w:pPr>
              <w:jc w:val="center"/>
              <w:ind w:left="200"/>
              <w:spacing w:after="0"/>
              <w:rPr>
                <w:sz w:val="20"/>
                <w:szCs w:val="20"/>
                <w:color w:val="auto"/>
              </w:rPr>
            </w:pPr>
            <w:r>
              <w:rPr>
                <w:rFonts w:ascii="Arial" w:cs="Arial" w:eastAsia="Arial" w:hAnsi="Arial"/>
                <w:sz w:val="8"/>
                <w:szCs w:val="8"/>
                <w:b w:val="1"/>
                <w:bCs w:val="1"/>
                <w:color w:val="auto"/>
                <w:w w:val="91"/>
              </w:rPr>
              <w:t>Exercise</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6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920" w:type="dxa"/>
            <w:vAlign w:val="bottom"/>
            <w:gridSpan w:val="4"/>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2"/>
          </w:tcPr>
          <w:p>
            <w:pPr>
              <w:jc w:val="center"/>
              <w:ind w:right="120"/>
              <w:spacing w:after="0" w:line="61" w:lineRule="exact"/>
              <w:rPr>
                <w:sz w:val="20"/>
                <w:szCs w:val="20"/>
                <w:color w:val="auto"/>
              </w:rPr>
            </w:pPr>
            <w:r>
              <w:rPr>
                <w:rFonts w:ascii="Arial" w:cs="Arial" w:eastAsia="Arial" w:hAnsi="Arial"/>
                <w:sz w:val="6"/>
                <w:szCs w:val="6"/>
                <w:b w:val="1"/>
                <w:bCs w:val="1"/>
                <w:color w:val="auto"/>
              </w:rPr>
              <w:t>% Prior to</w:t>
            </w:r>
          </w:p>
        </w:tc>
        <w:tc>
          <w:tcPr>
            <w:tcW w:w="580" w:type="dxa"/>
            <w:vAlign w:val="bottom"/>
            <w:gridSpan w:val="2"/>
          </w:tcPr>
          <w:p>
            <w:pPr>
              <w:jc w:val="center"/>
              <w:ind w:right="60"/>
              <w:spacing w:after="0" w:line="61" w:lineRule="exact"/>
              <w:rPr>
                <w:sz w:val="20"/>
                <w:szCs w:val="20"/>
                <w:color w:val="auto"/>
              </w:rPr>
            </w:pPr>
            <w:r>
              <w:rPr>
                <w:rFonts w:ascii="Arial" w:cs="Arial" w:eastAsia="Arial" w:hAnsi="Arial"/>
                <w:sz w:val="6"/>
                <w:szCs w:val="6"/>
                <w:b w:val="1"/>
                <w:bCs w:val="1"/>
                <w:color w:val="auto"/>
              </w:rPr>
              <w:t>Underwriters’</w:t>
            </w:r>
          </w:p>
        </w:tc>
        <w:tc>
          <w:tcPr>
            <w:tcW w:w="540" w:type="dxa"/>
            <w:vAlign w:val="bottom"/>
          </w:tcPr>
          <w:p>
            <w:pPr>
              <w:jc w:val="center"/>
              <w:spacing w:after="0" w:line="61" w:lineRule="exact"/>
              <w:rPr>
                <w:sz w:val="20"/>
                <w:szCs w:val="20"/>
                <w:color w:val="auto"/>
              </w:rPr>
            </w:pPr>
            <w:r>
              <w:rPr>
                <w:rFonts w:ascii="Arial" w:cs="Arial" w:eastAsia="Arial" w:hAnsi="Arial"/>
                <w:sz w:val="6"/>
                <w:szCs w:val="6"/>
                <w:b w:val="1"/>
                <w:bCs w:val="1"/>
                <w:color w:val="auto"/>
              </w:rPr>
              <w:t>Underwriters’</w:t>
            </w:r>
          </w:p>
        </w:tc>
        <w:tc>
          <w:tcPr>
            <w:tcW w:w="0" w:type="dxa"/>
            <w:vAlign w:val="bottom"/>
          </w:tcPr>
          <w:p>
            <w:pPr>
              <w:spacing w:after="0"/>
              <w:rPr>
                <w:sz w:val="1"/>
                <w:szCs w:val="1"/>
                <w:color w:val="auto"/>
              </w:rPr>
            </w:pPr>
          </w:p>
        </w:tc>
      </w:tr>
      <w:tr>
        <w:trPr>
          <w:trHeight w:val="82"/>
        </w:trPr>
        <w:tc>
          <w:tcPr>
            <w:tcW w:w="64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8"/>
                <w:szCs w:val="8"/>
                <w:b w:val="1"/>
                <w:bCs w:val="1"/>
                <w:color w:val="auto"/>
              </w:rPr>
              <w:t>Number</w:t>
            </w:r>
          </w:p>
        </w:tc>
        <w:tc>
          <w:tcPr>
            <w:tcW w:w="260" w:type="dxa"/>
            <w:vAlign w:val="bottom"/>
            <w:tcBorders>
              <w:top w:val="single" w:sz="8" w:color="auto"/>
            </w:tcBorders>
            <w:vMerge w:val="restart"/>
          </w:tcPr>
          <w:p>
            <w:pPr>
              <w:jc w:val="right"/>
              <w:ind w:right="100"/>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5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8"/>
                <w:szCs w:val="8"/>
                <w:b w:val="1"/>
                <w:bCs w:val="1"/>
                <w:color w:val="auto"/>
              </w:rPr>
              <w:t>Number</w:t>
            </w:r>
          </w:p>
        </w:tc>
        <w:tc>
          <w:tcPr>
            <w:tcW w:w="30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5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8"/>
                <w:szCs w:val="8"/>
                <w:b w:val="1"/>
                <w:bCs w:val="1"/>
                <w:color w:val="auto"/>
              </w:rPr>
              <w:t>Number</w:t>
            </w:r>
          </w:p>
        </w:tc>
        <w:tc>
          <w:tcPr>
            <w:tcW w:w="32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6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8"/>
                <w:szCs w:val="8"/>
                <w:b w:val="1"/>
                <w:bCs w:val="1"/>
                <w:color w:val="auto"/>
              </w:rPr>
              <w:t>Number</w:t>
            </w:r>
          </w:p>
        </w:tc>
        <w:tc>
          <w:tcPr>
            <w:tcW w:w="260" w:type="dxa"/>
            <w:vAlign w:val="bottom"/>
            <w:tcBorders>
              <w:top w:val="single" w:sz="8" w:color="auto"/>
            </w:tcBorders>
            <w:vMerge w:val="restart"/>
          </w:tcPr>
          <w:p>
            <w:pPr>
              <w:jc w:val="right"/>
              <w:ind w:right="100"/>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520" w:type="dxa"/>
            <w:vAlign w:val="bottom"/>
            <w:gridSpan w:val="2"/>
          </w:tcPr>
          <w:p>
            <w:pPr>
              <w:jc w:val="center"/>
              <w:ind w:right="120"/>
              <w:spacing w:after="0" w:line="82" w:lineRule="exact"/>
              <w:rPr>
                <w:sz w:val="20"/>
                <w:szCs w:val="20"/>
                <w:color w:val="auto"/>
              </w:rPr>
            </w:pPr>
            <w:r>
              <w:rPr>
                <w:rFonts w:ascii="Arial" w:cs="Arial" w:eastAsia="Arial" w:hAnsi="Arial"/>
                <w:sz w:val="8"/>
                <w:szCs w:val="8"/>
                <w:b w:val="1"/>
                <w:bCs w:val="1"/>
                <w:color w:val="auto"/>
                <w:w w:val="84"/>
              </w:rPr>
              <w:t>this</w:t>
            </w:r>
          </w:p>
        </w:tc>
        <w:tc>
          <w:tcPr>
            <w:tcW w:w="580" w:type="dxa"/>
            <w:vAlign w:val="bottom"/>
            <w:gridSpan w:val="2"/>
          </w:tcPr>
          <w:p>
            <w:pPr>
              <w:jc w:val="center"/>
              <w:ind w:right="80"/>
              <w:spacing w:after="0" w:line="82" w:lineRule="exact"/>
              <w:rPr>
                <w:sz w:val="20"/>
                <w:szCs w:val="20"/>
                <w:color w:val="auto"/>
              </w:rPr>
            </w:pPr>
            <w:r>
              <w:rPr>
                <w:rFonts w:ascii="Arial" w:cs="Arial" w:eastAsia="Arial" w:hAnsi="Arial"/>
                <w:sz w:val="8"/>
                <w:szCs w:val="8"/>
                <w:b w:val="1"/>
                <w:bCs w:val="1"/>
                <w:color w:val="auto"/>
                <w:w w:val="91"/>
              </w:rPr>
              <w:t>Option is Not</w:t>
            </w:r>
          </w:p>
        </w:tc>
        <w:tc>
          <w:tcPr>
            <w:tcW w:w="540" w:type="dxa"/>
            <w:vAlign w:val="bottom"/>
          </w:tcPr>
          <w:p>
            <w:pPr>
              <w:jc w:val="center"/>
              <w:spacing w:after="0" w:line="82" w:lineRule="exact"/>
              <w:rPr>
                <w:sz w:val="20"/>
                <w:szCs w:val="20"/>
                <w:color w:val="auto"/>
              </w:rPr>
            </w:pPr>
            <w:r>
              <w:rPr>
                <w:rFonts w:ascii="Arial" w:cs="Arial" w:eastAsia="Arial" w:hAnsi="Arial"/>
                <w:sz w:val="8"/>
                <w:szCs w:val="8"/>
                <w:b w:val="1"/>
                <w:bCs w:val="1"/>
                <w:color w:val="auto"/>
                <w:w w:val="92"/>
              </w:rPr>
              <w:t>Option is</w:t>
            </w:r>
          </w:p>
        </w:tc>
        <w:tc>
          <w:tcPr>
            <w:tcW w:w="0" w:type="dxa"/>
            <w:vAlign w:val="bottom"/>
          </w:tcPr>
          <w:p>
            <w:pPr>
              <w:spacing w:after="0"/>
              <w:rPr>
                <w:sz w:val="1"/>
                <w:szCs w:val="1"/>
                <w:color w:val="auto"/>
              </w:rPr>
            </w:pPr>
          </w:p>
        </w:tc>
      </w:tr>
      <w:tr>
        <w:trPr>
          <w:trHeight w:val="114"/>
        </w:trPr>
        <w:tc>
          <w:tcPr>
            <w:tcW w:w="640" w:type="dxa"/>
            <w:vAlign w:val="bottom"/>
            <w:gridSpan w:val="3"/>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96"/>
              </w:rPr>
              <w:t>Offering</w:t>
            </w:r>
          </w:p>
        </w:tc>
        <w:tc>
          <w:tcPr>
            <w:tcW w:w="58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89"/>
              </w:rPr>
              <w:t>Exercised</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w w:val="89"/>
              </w:rPr>
              <w:t>Exercised</w:t>
            </w:r>
          </w:p>
        </w:tc>
        <w:tc>
          <w:tcPr>
            <w:tcW w:w="0" w:type="dxa"/>
            <w:vAlign w:val="bottom"/>
          </w:tcPr>
          <w:p>
            <w:pPr>
              <w:spacing w:after="0"/>
              <w:rPr>
                <w:sz w:val="1"/>
                <w:szCs w:val="1"/>
                <w:color w:val="auto"/>
              </w:rPr>
            </w:pPr>
          </w:p>
        </w:tc>
      </w:tr>
      <w:tr>
        <w:trPr>
          <w:trHeight w:val="4158"/>
        </w:trPr>
        <w:tc>
          <w:tcPr>
            <w:tcW w:w="50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760" w:space="80"/>
            <w:col w:w="5400"/>
          </w:cols>
          <w:pgMar w:left="340" w:top="121" w:right="31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1240"/>
          </w:cols>
          <w:pgMar w:left="340" w:top="121" w:right="319" w:bottom="1440" w:gutter="0" w:footer="0" w:header="0"/>
          <w:type w:val="continuous"/>
        </w:sectPr>
      </w:pPr>
    </w:p>
    <w:bookmarkStart w:id="197" w:name="page198"/>
    <w:bookmarkEnd w:id="19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20" w:hanging="312"/>
        <w:spacing w:after="0"/>
        <w:tabs>
          <w:tab w:leader="none" w:pos="32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1" w:lineRule="exact"/>
        <w:rPr>
          <w:sz w:val="20"/>
          <w:szCs w:val="20"/>
          <w:color w:val="auto"/>
        </w:rPr>
      </w:pPr>
    </w:p>
    <w:p>
      <w:pPr>
        <w:jc w:val="both"/>
        <w:ind w:left="340" w:hanging="332"/>
        <w:spacing w:after="0" w:line="241" w:lineRule="auto"/>
        <w:tabs>
          <w:tab w:leader="none" w:pos="332" w:val="left"/>
        </w:tabs>
        <w:numPr>
          <w:ilvl w:val="0"/>
          <w:numId w:val="161"/>
        </w:numPr>
        <w:rPr>
          <w:rFonts w:ascii="Arial" w:cs="Arial" w:eastAsia="Arial" w:hAnsi="Arial"/>
          <w:sz w:val="14"/>
          <w:szCs w:val="14"/>
          <w:color w:val="auto"/>
        </w:rPr>
      </w:pPr>
      <w:r>
        <w:rPr>
          <w:rFonts w:ascii="Arial" w:cs="Arial" w:eastAsia="Arial" w:hAnsi="Arial"/>
          <w:sz w:val="14"/>
          <w:szCs w:val="14"/>
          <w:color w:val="auto"/>
        </w:rPr>
        <w:t>Subject to the terms of the amended and restated limited liability company agreement of each of ZoomInfo OpCo and ZoomInfo HoldCo, the OpCo Units and HoldCo Units, each paired with equal number of shares of Class B common stock, are exchangeable for shares of our Class A common stock on a one-for-one basis. See “Organizational Structure,” “Certain Relationships and Related Person Transactions—ZoomInfo OpCo Amended and Restated Limited Liability Company Agreement,” and “Certain Relationships and Related Person Transactions—ZoomInfo HoldCo Amended and Restated Limited Liability Company Agreement.” Beneficial ownership of shares of Class B common stock reflected in this table has not been also reflected as beneficial ownership of shares of our Class A common stock for which such shares, paired with equal number of OpCo Units or HoldCo Units, as applicable, may be exchanged.</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Represents OpCo Units which are paired with an equal number of shares of Class B common stock, except as noted in footnote (7) below.</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32" w:val="left"/>
        </w:tabs>
        <w:numPr>
          <w:ilvl w:val="0"/>
          <w:numId w:val="161"/>
        </w:numPr>
        <w:rPr>
          <w:rFonts w:ascii="Arial" w:cs="Arial" w:eastAsia="Arial" w:hAnsi="Arial"/>
          <w:sz w:val="13"/>
          <w:szCs w:val="13"/>
          <w:color w:val="auto"/>
        </w:rPr>
      </w:pPr>
      <w:r>
        <w:rPr>
          <w:rFonts w:ascii="Arial" w:cs="Arial" w:eastAsia="Arial" w:hAnsi="Arial"/>
          <w:sz w:val="13"/>
          <w:szCs w:val="13"/>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the aggregate number of our outstanding shares of common stock. Once converted into Class A common stock, Class C common stock will not be reissued. See “Description of Capital Stock—Common Stock—Class C Common Stock.” Beneficial ownership of shares of Class C common stock reflected in this table has not been also reflected as beneficial ownership of shares of our Class A common stock for which such shares may be converted.</w:t>
      </w:r>
    </w:p>
    <w:p>
      <w:pPr>
        <w:ind w:left="340" w:hanging="332"/>
        <w:spacing w:after="0" w:line="241" w:lineRule="auto"/>
        <w:tabs>
          <w:tab w:leader="none" w:pos="332" w:val="left"/>
        </w:tabs>
        <w:numPr>
          <w:ilvl w:val="0"/>
          <w:numId w:val="161"/>
        </w:numPr>
        <w:rPr>
          <w:rFonts w:ascii="Arial" w:cs="Arial" w:eastAsia="Arial" w:hAnsi="Arial"/>
          <w:sz w:val="14"/>
          <w:szCs w:val="14"/>
          <w:color w:val="auto"/>
        </w:rPr>
      </w:pPr>
      <w:r>
        <w:rPr>
          <w:rFonts w:ascii="Arial" w:cs="Arial" w:eastAsia="Arial" w:hAnsi="Arial"/>
          <w:sz w:val="14"/>
          <w:szCs w:val="14"/>
          <w:color w:val="auto"/>
        </w:rPr>
        <w:t>Represents percentage of voting power of the Class A common stock, Class B common stock, and Class C common stock of ZoomInfo Technologies Inc. voting together as a single class. See “Description of Capital Stock—Common Stock.”</w:t>
      </w:r>
    </w:p>
    <w:tbl>
      <w:tblPr>
        <w:tblLayout w:type="fixed"/>
        <w:tblInd w:w="0" w:type="dxa"/>
        <w:tblCellMar>
          <w:top w:w="0" w:type="dxa"/>
          <w:left w:w="0" w:type="dxa"/>
          <w:bottom w:w="0" w:type="dxa"/>
          <w:right w:w="0" w:type="dxa"/>
        </w:tblCellMar>
      </w:tblPr>
      <w:tr>
        <w:trPr>
          <w:trHeight w:val="151"/>
        </w:trPr>
        <w:tc>
          <w:tcPr>
            <w:tcW w:w="260" w:type="dxa"/>
            <w:vAlign w:val="bottom"/>
          </w:tcPr>
          <w:p>
            <w:pPr>
              <w:jc w:val="right"/>
              <w:ind w:right="8"/>
              <w:spacing w:after="0" w:line="151" w:lineRule="exact"/>
              <w:rPr>
                <w:sz w:val="20"/>
                <w:szCs w:val="20"/>
                <w:color w:val="auto"/>
              </w:rPr>
            </w:pPr>
            <w:r>
              <w:rPr>
                <w:rFonts w:ascii="Arial" w:cs="Arial" w:eastAsia="Arial" w:hAnsi="Arial"/>
                <w:sz w:val="14"/>
                <w:szCs w:val="14"/>
                <w:color w:val="auto"/>
                <w:w w:val="93"/>
              </w:rPr>
              <w:t>(5)</w:t>
            </w:r>
          </w:p>
        </w:tc>
        <w:tc>
          <w:tcPr>
            <w:tcW w:w="2660" w:type="dxa"/>
            <w:vAlign w:val="bottom"/>
            <w:gridSpan w:val="2"/>
          </w:tcPr>
          <w:p>
            <w:pPr>
              <w:ind w:left="60"/>
              <w:spacing w:after="0" w:line="151" w:lineRule="exact"/>
              <w:rPr>
                <w:sz w:val="20"/>
                <w:szCs w:val="20"/>
                <w:color w:val="auto"/>
              </w:rPr>
            </w:pPr>
            <w:r>
              <w:rPr>
                <w:rFonts w:ascii="Arial" w:cs="Arial" w:eastAsia="Arial" w:hAnsi="Arial"/>
                <w:sz w:val="14"/>
                <w:szCs w:val="14"/>
                <w:color w:val="auto"/>
              </w:rPr>
              <w:t>Amounts beneficially owned reflect (i)</w:t>
            </w:r>
          </w:p>
        </w:tc>
        <w:tc>
          <w:tcPr>
            <w:tcW w:w="6180" w:type="dxa"/>
            <w:vAlign w:val="bottom"/>
            <w:gridSpan w:val="5"/>
          </w:tcPr>
          <w:p>
            <w:pPr>
              <w:ind w:left="380"/>
              <w:spacing w:after="0" w:line="151" w:lineRule="exact"/>
              <w:rPr>
                <w:sz w:val="20"/>
                <w:szCs w:val="20"/>
                <w:color w:val="auto"/>
              </w:rPr>
            </w:pPr>
            <w:r>
              <w:rPr>
                <w:rFonts w:ascii="Arial" w:cs="Arial" w:eastAsia="Arial" w:hAnsi="Arial"/>
                <w:sz w:val="14"/>
                <w:szCs w:val="14"/>
                <w:color w:val="auto"/>
                <w:w w:val="99"/>
              </w:rPr>
              <w:t>OpCo Units (and associated shares of Class B common stock) held by TA XI DO AIV, L.P., (ii)</w:t>
            </w:r>
          </w:p>
        </w:tc>
        <w:tc>
          <w:tcPr>
            <w:tcW w:w="440" w:type="dxa"/>
            <w:vAlign w:val="bottom"/>
          </w:tcPr>
          <w:p>
            <w:pPr>
              <w:spacing w:after="0"/>
              <w:rPr>
                <w:sz w:val="13"/>
                <w:szCs w:val="13"/>
                <w:color w:val="auto"/>
              </w:rPr>
            </w:pPr>
          </w:p>
        </w:tc>
        <w:tc>
          <w:tcPr>
            <w:tcW w:w="1700" w:type="dxa"/>
            <w:vAlign w:val="bottom"/>
          </w:tcPr>
          <w:p>
            <w:pPr>
              <w:jc w:val="right"/>
              <w:spacing w:after="0" w:line="151" w:lineRule="exact"/>
              <w:rPr>
                <w:sz w:val="20"/>
                <w:szCs w:val="20"/>
                <w:color w:val="auto"/>
              </w:rPr>
            </w:pPr>
            <w:r>
              <w:rPr>
                <w:rFonts w:ascii="Arial" w:cs="Arial" w:eastAsia="Arial" w:hAnsi="Arial"/>
                <w:sz w:val="14"/>
                <w:szCs w:val="14"/>
                <w:color w:val="auto"/>
                <w:w w:val="95"/>
              </w:rPr>
              <w:t>OpCo Units (and associated</w:t>
            </w:r>
          </w:p>
        </w:tc>
      </w:tr>
      <w:tr>
        <w:trPr>
          <w:trHeight w:val="162"/>
        </w:trPr>
        <w:tc>
          <w:tcPr>
            <w:tcW w:w="260" w:type="dxa"/>
            <w:vAlign w:val="bottom"/>
          </w:tcPr>
          <w:p>
            <w:pPr>
              <w:spacing w:after="0"/>
              <w:rPr>
                <w:sz w:val="14"/>
                <w:szCs w:val="14"/>
                <w:color w:val="auto"/>
              </w:rPr>
            </w:pPr>
          </w:p>
        </w:tc>
        <w:tc>
          <w:tcPr>
            <w:tcW w:w="4900" w:type="dxa"/>
            <w:vAlign w:val="bottom"/>
            <w:gridSpan w:val="3"/>
          </w:tcPr>
          <w:p>
            <w:pPr>
              <w:ind w:left="80"/>
              <w:spacing w:after="0"/>
              <w:rPr>
                <w:sz w:val="20"/>
                <w:szCs w:val="20"/>
                <w:color w:val="auto"/>
              </w:rPr>
            </w:pPr>
            <w:r>
              <w:rPr>
                <w:rFonts w:ascii="Arial" w:cs="Arial" w:eastAsia="Arial" w:hAnsi="Arial"/>
                <w:sz w:val="14"/>
                <w:szCs w:val="14"/>
                <w:color w:val="auto"/>
              </w:rPr>
              <w:t>shares of Class B common stock) held by TA SDF III DO AIV, L.P., (iii)</w:t>
            </w:r>
          </w:p>
        </w:tc>
        <w:tc>
          <w:tcPr>
            <w:tcW w:w="6080" w:type="dxa"/>
            <w:vAlign w:val="bottom"/>
            <w:gridSpan w:val="6"/>
          </w:tcPr>
          <w:p>
            <w:pPr>
              <w:jc w:val="right"/>
              <w:spacing w:after="0"/>
              <w:rPr>
                <w:sz w:val="20"/>
                <w:szCs w:val="20"/>
                <w:color w:val="auto"/>
              </w:rPr>
            </w:pPr>
            <w:r>
              <w:rPr>
                <w:rFonts w:ascii="Arial" w:cs="Arial" w:eastAsia="Arial" w:hAnsi="Arial"/>
                <w:sz w:val="14"/>
                <w:szCs w:val="14"/>
                <w:color w:val="auto"/>
                <w:w w:val="97"/>
              </w:rPr>
              <w:t>OpCo Units (and associated shares of Class B common stock) held by TA Atlantic and Pacific VII-A,</w:t>
            </w:r>
          </w:p>
        </w:tc>
      </w:tr>
      <w:tr>
        <w:trPr>
          <w:trHeight w:val="162"/>
        </w:trPr>
        <w:tc>
          <w:tcPr>
            <w:tcW w:w="26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w w:val="99"/>
              </w:rPr>
              <w:t>L.P., (iv)</w:t>
            </w:r>
          </w:p>
        </w:tc>
        <w:tc>
          <w:tcPr>
            <w:tcW w:w="6220" w:type="dxa"/>
            <w:vAlign w:val="bottom"/>
            <w:gridSpan w:val="5"/>
          </w:tcPr>
          <w:p>
            <w:pPr>
              <w:ind w:left="580"/>
              <w:spacing w:after="0"/>
              <w:rPr>
                <w:sz w:val="20"/>
                <w:szCs w:val="20"/>
                <w:color w:val="auto"/>
              </w:rPr>
            </w:pPr>
            <w:r>
              <w:rPr>
                <w:rFonts w:ascii="Arial" w:cs="Arial" w:eastAsia="Arial" w:hAnsi="Arial"/>
                <w:sz w:val="14"/>
                <w:szCs w:val="14"/>
                <w:color w:val="auto"/>
                <w:w w:val="94"/>
              </w:rPr>
              <w:t>OpCo Units (and associated shares of Class B common stock) held by TA Investors IV, L.P., (v)</w:t>
            </w:r>
          </w:p>
        </w:tc>
        <w:tc>
          <w:tcPr>
            <w:tcW w:w="4140" w:type="dxa"/>
            <w:vAlign w:val="bottom"/>
            <w:gridSpan w:val="3"/>
          </w:tcPr>
          <w:p>
            <w:pPr>
              <w:jc w:val="right"/>
              <w:spacing w:after="0"/>
              <w:rPr>
                <w:sz w:val="20"/>
                <w:szCs w:val="20"/>
                <w:color w:val="auto"/>
              </w:rPr>
            </w:pPr>
            <w:r>
              <w:rPr>
                <w:rFonts w:ascii="Arial" w:cs="Arial" w:eastAsia="Arial" w:hAnsi="Arial"/>
                <w:sz w:val="14"/>
                <w:szCs w:val="14"/>
                <w:color w:val="auto"/>
              </w:rPr>
              <w:t>OpCo Units (and associated shares of Class B common stock)</w:t>
            </w:r>
          </w:p>
        </w:tc>
      </w:tr>
      <w:tr>
        <w:trPr>
          <w:trHeight w:val="162"/>
        </w:trPr>
        <w:tc>
          <w:tcPr>
            <w:tcW w:w="260" w:type="dxa"/>
            <w:vAlign w:val="bottom"/>
          </w:tcPr>
          <w:p>
            <w:pPr>
              <w:spacing w:after="0"/>
              <w:rPr>
                <w:sz w:val="14"/>
                <w:szCs w:val="14"/>
                <w:color w:val="auto"/>
              </w:rPr>
            </w:pPr>
          </w:p>
        </w:tc>
        <w:tc>
          <w:tcPr>
            <w:tcW w:w="2660" w:type="dxa"/>
            <w:vAlign w:val="bottom"/>
            <w:gridSpan w:val="2"/>
          </w:tcPr>
          <w:p>
            <w:pPr>
              <w:ind w:left="80"/>
              <w:spacing w:after="0"/>
              <w:rPr>
                <w:sz w:val="20"/>
                <w:szCs w:val="20"/>
                <w:color w:val="auto"/>
              </w:rPr>
            </w:pPr>
            <w:r>
              <w:rPr>
                <w:rFonts w:ascii="Arial" w:cs="Arial" w:eastAsia="Arial" w:hAnsi="Arial"/>
                <w:sz w:val="14"/>
                <w:szCs w:val="14"/>
                <w:color w:val="auto"/>
              </w:rPr>
              <w:t>held by TA XI DO AIV II, L.P., (vi)</w:t>
            </w:r>
          </w:p>
        </w:tc>
        <w:tc>
          <w:tcPr>
            <w:tcW w:w="6620" w:type="dxa"/>
            <w:vAlign w:val="bottom"/>
            <w:gridSpan w:val="6"/>
          </w:tcPr>
          <w:p>
            <w:pPr>
              <w:ind w:left="360"/>
              <w:spacing w:after="0"/>
              <w:rPr>
                <w:sz w:val="20"/>
                <w:szCs w:val="20"/>
                <w:color w:val="auto"/>
              </w:rPr>
            </w:pPr>
            <w:r>
              <w:rPr>
                <w:rFonts w:ascii="Arial" w:cs="Arial" w:eastAsia="Arial" w:hAnsi="Arial"/>
                <w:sz w:val="14"/>
                <w:szCs w:val="14"/>
                <w:color w:val="auto"/>
                <w:w w:val="98"/>
              </w:rPr>
              <w:t>OpCo Units (and associated shares of Class B common stock) held by TA SDF III DO AIV II, L.P., (vii)</w:t>
            </w:r>
          </w:p>
        </w:tc>
        <w:tc>
          <w:tcPr>
            <w:tcW w:w="1700" w:type="dxa"/>
            <w:vAlign w:val="bottom"/>
          </w:tcPr>
          <w:p>
            <w:pPr>
              <w:jc w:val="right"/>
              <w:spacing w:after="0"/>
              <w:rPr>
                <w:sz w:val="20"/>
                <w:szCs w:val="20"/>
                <w:color w:val="auto"/>
              </w:rPr>
            </w:pPr>
            <w:r>
              <w:rPr>
                <w:rFonts w:ascii="Arial" w:cs="Arial" w:eastAsia="Arial" w:hAnsi="Arial"/>
                <w:sz w:val="14"/>
                <w:szCs w:val="14"/>
                <w:color w:val="auto"/>
              </w:rPr>
              <w:t>OpCo Units (and</w:t>
            </w:r>
          </w:p>
        </w:tc>
      </w:tr>
      <w:tr>
        <w:trPr>
          <w:trHeight w:val="162"/>
        </w:trPr>
        <w:tc>
          <w:tcPr>
            <w:tcW w:w="260" w:type="dxa"/>
            <w:vAlign w:val="bottom"/>
          </w:tcPr>
          <w:p>
            <w:pPr>
              <w:spacing w:after="0"/>
              <w:rPr>
                <w:sz w:val="14"/>
                <w:szCs w:val="14"/>
                <w:color w:val="auto"/>
              </w:rPr>
            </w:pPr>
          </w:p>
        </w:tc>
        <w:tc>
          <w:tcPr>
            <w:tcW w:w="6840" w:type="dxa"/>
            <w:vAlign w:val="bottom"/>
            <w:gridSpan w:val="6"/>
          </w:tcPr>
          <w:p>
            <w:pPr>
              <w:ind w:left="80"/>
              <w:spacing w:after="0"/>
              <w:rPr>
                <w:sz w:val="20"/>
                <w:szCs w:val="20"/>
                <w:color w:val="auto"/>
              </w:rPr>
            </w:pPr>
            <w:r>
              <w:rPr>
                <w:rFonts w:ascii="Arial" w:cs="Arial" w:eastAsia="Arial" w:hAnsi="Arial"/>
                <w:sz w:val="14"/>
                <w:szCs w:val="14"/>
                <w:color w:val="auto"/>
              </w:rPr>
              <w:t>associated shares of Class B common stock) held by TA AP VII-B DO Subsidiary Partnership, L.P., (viii)</w:t>
            </w:r>
          </w:p>
        </w:tc>
        <w:tc>
          <w:tcPr>
            <w:tcW w:w="4140" w:type="dxa"/>
            <w:vAlign w:val="bottom"/>
            <w:gridSpan w:val="3"/>
          </w:tcPr>
          <w:p>
            <w:pPr>
              <w:jc w:val="right"/>
              <w:spacing w:after="0"/>
              <w:rPr>
                <w:sz w:val="20"/>
                <w:szCs w:val="20"/>
                <w:color w:val="auto"/>
              </w:rPr>
            </w:pPr>
            <w:r>
              <w:rPr>
                <w:rFonts w:ascii="Arial" w:cs="Arial" w:eastAsia="Arial" w:hAnsi="Arial"/>
                <w:sz w:val="14"/>
                <w:szCs w:val="14"/>
                <w:color w:val="auto"/>
                <w:w w:val="96"/>
              </w:rPr>
              <w:t>shares of Class C common stock held by TA XI DO Feeder, L.P., (ix)</w:t>
            </w:r>
          </w:p>
        </w:tc>
      </w:tr>
      <w:tr>
        <w:trPr>
          <w:trHeight w:val="162"/>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920" w:type="dxa"/>
            <w:vAlign w:val="bottom"/>
            <w:gridSpan w:val="3"/>
          </w:tcPr>
          <w:p>
            <w:pPr>
              <w:ind w:left="40"/>
              <w:spacing w:after="0"/>
              <w:rPr>
                <w:sz w:val="20"/>
                <w:szCs w:val="20"/>
                <w:color w:val="auto"/>
              </w:rPr>
            </w:pPr>
            <w:r>
              <w:rPr>
                <w:rFonts w:ascii="Arial" w:cs="Arial" w:eastAsia="Arial" w:hAnsi="Arial"/>
                <w:sz w:val="14"/>
                <w:szCs w:val="14"/>
                <w:color w:val="auto"/>
              </w:rPr>
              <w:t>shares of Class C common stock held by TA SDF III DO Feeder, L.P., and (x)</w:t>
            </w:r>
          </w:p>
        </w:tc>
        <w:tc>
          <w:tcPr>
            <w:tcW w:w="5440" w:type="dxa"/>
            <w:vAlign w:val="bottom"/>
            <w:gridSpan w:val="5"/>
          </w:tcPr>
          <w:p>
            <w:pPr>
              <w:jc w:val="right"/>
              <w:spacing w:after="0"/>
              <w:rPr>
                <w:sz w:val="20"/>
                <w:szCs w:val="20"/>
                <w:color w:val="auto"/>
              </w:rPr>
            </w:pPr>
            <w:r>
              <w:rPr>
                <w:rFonts w:ascii="Arial" w:cs="Arial" w:eastAsia="Arial" w:hAnsi="Arial"/>
                <w:sz w:val="14"/>
                <w:szCs w:val="14"/>
                <w:color w:val="auto"/>
                <w:w w:val="99"/>
              </w:rPr>
              <w:t>shares of Class C common stock held by TA Atlantic and Pacific VII-B, L.P. (collectively,</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9"/>
              </w:rPr>
              <w:t>the “TA Associates Funds”) in each case, following this offering. TA Associates, L.P. is the ultimate general partner of each of such entity. Investment and voting control of the TA</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Associates Funds is held by TA Associates, L.P. No stockholder, director, or officer of TA Associates, L.P. has voting or investment power with respect to our shares of common stock held</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8"/>
              </w:rPr>
              <w:t>by the TA Associates Funds. Voting and investment power with respect to such shares is vested in a five-person investment committee consisting of the following employees of TA</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Associates, L.P.: Todd R. Crockett, Jason P. Werlin, Jason S. Mironov, Kurt R. Jaggers, and Jeffrey T. Chambers. The address of each TA Associates Fund is 200 Clarendon Street, 56th</w:t>
            </w:r>
          </w:p>
        </w:tc>
      </w:tr>
      <w:tr>
        <w:trPr>
          <w:trHeight w:val="162"/>
        </w:trPr>
        <w:tc>
          <w:tcPr>
            <w:tcW w:w="260" w:type="dxa"/>
            <w:vAlign w:val="bottom"/>
          </w:tcPr>
          <w:p>
            <w:pPr>
              <w:spacing w:after="0"/>
              <w:rPr>
                <w:sz w:val="14"/>
                <w:szCs w:val="14"/>
                <w:color w:val="auto"/>
              </w:rPr>
            </w:pPr>
          </w:p>
        </w:tc>
        <w:tc>
          <w:tcPr>
            <w:tcW w:w="2660" w:type="dxa"/>
            <w:vAlign w:val="bottom"/>
            <w:gridSpan w:val="2"/>
          </w:tcPr>
          <w:p>
            <w:pPr>
              <w:ind w:left="80"/>
              <w:spacing w:after="0"/>
              <w:rPr>
                <w:sz w:val="20"/>
                <w:szCs w:val="20"/>
                <w:color w:val="auto"/>
              </w:rPr>
            </w:pPr>
            <w:r>
              <w:rPr>
                <w:rFonts w:ascii="Arial" w:cs="Arial" w:eastAsia="Arial" w:hAnsi="Arial"/>
                <w:sz w:val="14"/>
                <w:szCs w:val="14"/>
                <w:color w:val="auto"/>
              </w:rPr>
              <w:t>floor, Boston, Massachusetts 02116.</w:t>
            </w:r>
          </w:p>
        </w:tc>
        <w:tc>
          <w:tcPr>
            <w:tcW w:w="2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(6)</w:t>
            </w:r>
          </w:p>
        </w:tc>
        <w:tc>
          <w:tcPr>
            <w:tcW w:w="5540" w:type="dxa"/>
            <w:vAlign w:val="bottom"/>
            <w:gridSpan w:val="4"/>
          </w:tcPr>
          <w:p>
            <w:pPr>
              <w:ind w:left="60"/>
              <w:spacing w:after="0"/>
              <w:rPr>
                <w:sz w:val="20"/>
                <w:szCs w:val="20"/>
                <w:color w:val="auto"/>
              </w:rPr>
            </w:pPr>
            <w:r>
              <w:rPr>
                <w:rFonts w:ascii="Arial" w:cs="Arial" w:eastAsia="Arial" w:hAnsi="Arial"/>
                <w:sz w:val="14"/>
                <w:szCs w:val="14"/>
                <w:color w:val="auto"/>
                <w:w w:val="99"/>
              </w:rPr>
              <w:t>Carlyle Partners VI Evergreen Holdings, L.P. (“Carlyle Evergreen”) is the record holder of</w:t>
            </w:r>
          </w:p>
        </w:tc>
        <w:tc>
          <w:tcPr>
            <w:tcW w:w="460" w:type="dxa"/>
            <w:vAlign w:val="bottom"/>
          </w:tcPr>
          <w:p>
            <w:pPr>
              <w:spacing w:after="0"/>
              <w:rPr>
                <w:sz w:val="14"/>
                <w:szCs w:val="14"/>
                <w:color w:val="auto"/>
              </w:rPr>
            </w:pPr>
          </w:p>
        </w:tc>
        <w:tc>
          <w:tcPr>
            <w:tcW w:w="4980" w:type="dxa"/>
            <w:vAlign w:val="bottom"/>
            <w:gridSpan w:val="4"/>
          </w:tcPr>
          <w:p>
            <w:pPr>
              <w:jc w:val="right"/>
              <w:spacing w:after="0"/>
              <w:rPr>
                <w:sz w:val="20"/>
                <w:szCs w:val="20"/>
                <w:color w:val="auto"/>
              </w:rPr>
            </w:pPr>
            <w:r>
              <w:rPr>
                <w:rFonts w:ascii="Arial" w:cs="Arial" w:eastAsia="Arial" w:hAnsi="Arial"/>
                <w:sz w:val="14"/>
                <w:szCs w:val="14"/>
                <w:color w:val="auto"/>
                <w:w w:val="94"/>
              </w:rPr>
              <w:t>OpCo Units (and associated shares of Class B common stock) following this offering.</w:t>
            </w:r>
          </w:p>
        </w:tc>
      </w:tr>
      <w:tr>
        <w:trPr>
          <w:trHeight w:val="162"/>
        </w:trPr>
        <w:tc>
          <w:tcPr>
            <w:tcW w:w="260" w:type="dxa"/>
            <w:vAlign w:val="bottom"/>
          </w:tcPr>
          <w:p>
            <w:pPr>
              <w:spacing w:after="0"/>
              <w:rPr>
                <w:sz w:val="14"/>
                <w:szCs w:val="14"/>
                <w:color w:val="auto"/>
              </w:rPr>
            </w:pPr>
          </w:p>
        </w:tc>
        <w:tc>
          <w:tcPr>
            <w:tcW w:w="4900" w:type="dxa"/>
            <w:vAlign w:val="bottom"/>
            <w:gridSpan w:val="3"/>
          </w:tcPr>
          <w:p>
            <w:pPr>
              <w:ind w:left="80"/>
              <w:spacing w:after="0"/>
              <w:rPr>
                <w:sz w:val="20"/>
                <w:szCs w:val="20"/>
                <w:color w:val="auto"/>
              </w:rPr>
            </w:pPr>
            <w:r>
              <w:rPr>
                <w:rFonts w:ascii="Arial" w:cs="Arial" w:eastAsia="Arial" w:hAnsi="Arial"/>
                <w:sz w:val="14"/>
                <w:szCs w:val="14"/>
                <w:color w:val="auto"/>
              </w:rPr>
              <w:t>CP VI Evergreen Holdings, L.P. (“CP VI Evergreen”) is the record holder of</w:t>
            </w:r>
          </w:p>
        </w:tc>
        <w:tc>
          <w:tcPr>
            <w:tcW w:w="6080" w:type="dxa"/>
            <w:vAlign w:val="bottom"/>
            <w:gridSpan w:val="6"/>
          </w:tcPr>
          <w:p>
            <w:pPr>
              <w:jc w:val="right"/>
              <w:spacing w:after="0"/>
              <w:rPr>
                <w:sz w:val="20"/>
                <w:szCs w:val="20"/>
                <w:color w:val="auto"/>
              </w:rPr>
            </w:pPr>
            <w:r>
              <w:rPr>
                <w:rFonts w:ascii="Arial" w:cs="Arial" w:eastAsia="Arial" w:hAnsi="Arial"/>
                <w:sz w:val="14"/>
                <w:szCs w:val="14"/>
                <w:color w:val="auto"/>
              </w:rPr>
              <w:t>shares of Class C common stock following this offering. Carlyle Partners VI Dash Holdings, L.P.</w:t>
            </w:r>
          </w:p>
        </w:tc>
      </w:tr>
      <w:tr>
        <w:trPr>
          <w:trHeight w:val="162"/>
        </w:trPr>
        <w:tc>
          <w:tcPr>
            <w:tcW w:w="260" w:type="dxa"/>
            <w:vAlign w:val="bottom"/>
          </w:tcPr>
          <w:p>
            <w:pPr>
              <w:spacing w:after="0"/>
              <w:rPr>
                <w:sz w:val="14"/>
                <w:szCs w:val="14"/>
                <w:color w:val="auto"/>
              </w:rPr>
            </w:pPr>
          </w:p>
        </w:tc>
        <w:tc>
          <w:tcPr>
            <w:tcW w:w="6000" w:type="dxa"/>
            <w:vAlign w:val="bottom"/>
            <w:gridSpan w:val="5"/>
          </w:tcPr>
          <w:p>
            <w:pPr>
              <w:ind w:left="80"/>
              <w:spacing w:after="0"/>
              <w:rPr>
                <w:sz w:val="20"/>
                <w:szCs w:val="20"/>
                <w:color w:val="auto"/>
              </w:rPr>
            </w:pPr>
            <w:r>
              <w:rPr>
                <w:rFonts w:ascii="Arial" w:cs="Arial" w:eastAsia="Arial" w:hAnsi="Arial"/>
                <w:sz w:val="14"/>
                <w:szCs w:val="14"/>
                <w:color w:val="auto"/>
                <w:w w:val="94"/>
              </w:rPr>
              <w:t>(together with Carlyle Evergreen and CP VI Evergreen, the “Carlyle Investors”) is the record holder of</w:t>
            </w:r>
          </w:p>
        </w:tc>
        <w:tc>
          <w:tcPr>
            <w:tcW w:w="4980" w:type="dxa"/>
            <w:vAlign w:val="bottom"/>
            <w:gridSpan w:val="4"/>
          </w:tcPr>
          <w:p>
            <w:pPr>
              <w:jc w:val="right"/>
              <w:ind w:right="1028"/>
              <w:spacing w:after="0"/>
              <w:rPr>
                <w:sz w:val="20"/>
                <w:szCs w:val="20"/>
                <w:color w:val="auto"/>
              </w:rPr>
            </w:pPr>
            <w:r>
              <w:rPr>
                <w:rFonts w:ascii="Arial" w:cs="Arial" w:eastAsia="Arial" w:hAnsi="Arial"/>
                <w:sz w:val="14"/>
                <w:szCs w:val="14"/>
                <w:color w:val="auto"/>
              </w:rPr>
              <w:t>shares of Class C common stock following this offering.</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Carlyle Group Management L.L.C. holds an irrevocable proxy to vote a majority of the shares of The Carlyle Group Inc., which is a publicly traded entity listed on the Nasdaq. The Carlyle</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6"/>
              </w:rPr>
              <w:t>Group Inc. is the sole shareholder of Carlyle Holdings I GP Inc., which is the managing member of Carlyle Holdings I GP Sub L.L.C., which is the general partner of Carlyle Holdings I</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6"/>
              </w:rPr>
              <w:t>L.P., which, with respect to the securities held of record by Carlyle Evergreen and CP VI Evergreen, is the managing member of CG Subsidiary Holdings L.L.C., which is the managing</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5"/>
              </w:rPr>
              <w:t>member of TC Group, L.L.C., which is the general partner of TC Group Sub L.P., which is the managing member of TC Group VI S1, L.L.C., which is the general partner of TC Group VI</w:t>
            </w:r>
          </w:p>
        </w:tc>
      </w:tr>
      <w:tr>
        <w:trPr>
          <w:trHeight w:val="162"/>
        </w:trPr>
        <w:tc>
          <w:tcPr>
            <w:tcW w:w="260" w:type="dxa"/>
            <w:vAlign w:val="bottom"/>
          </w:tcPr>
          <w:p>
            <w:pPr>
              <w:spacing w:after="0"/>
              <w:rPr>
                <w:sz w:val="14"/>
                <w:szCs w:val="14"/>
                <w:color w:val="auto"/>
              </w:rPr>
            </w:pPr>
          </w:p>
        </w:tc>
        <w:tc>
          <w:tcPr>
            <w:tcW w:w="4900" w:type="dxa"/>
            <w:vAlign w:val="bottom"/>
            <w:gridSpan w:val="3"/>
          </w:tcPr>
          <w:p>
            <w:pPr>
              <w:ind w:left="80"/>
              <w:spacing w:after="0"/>
              <w:rPr>
                <w:sz w:val="20"/>
                <w:szCs w:val="20"/>
                <w:color w:val="auto"/>
              </w:rPr>
            </w:pPr>
            <w:r>
              <w:rPr>
                <w:rFonts w:ascii="Arial" w:cs="Arial" w:eastAsia="Arial" w:hAnsi="Arial"/>
                <w:sz w:val="14"/>
                <w:szCs w:val="14"/>
                <w:color w:val="auto"/>
                <w:w w:val="95"/>
              </w:rPr>
              <w:t>S1, L.P., which is the general partner of Carlyle Evergreen and CP VI Evergreen.</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5"/>
              </w:rPr>
              <w:t>The Carlyle Group Inc. is also the sole member of Carlyle Holdings II GP L.L.C., which is the managing member of Carlyle Holdings II L.L.C., which, with respect to the securities held of</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6"/>
              </w:rPr>
              <w:t>record by Carlyle Partners VI Dash Holdings, L.P., is the managing member of CG Subsidiary Holdings L.L.C., which is the general partner of TC Group Cayman Investment Holdings,</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L.P., which is the general partner of TC Group Cayman Investment Holdings Sub L.P., which is the sole member of TC Group VI, L.L.C., which is the general partner of TC Group VI, L.P.,</w:t>
            </w:r>
          </w:p>
        </w:tc>
      </w:tr>
      <w:tr>
        <w:trPr>
          <w:trHeight w:val="162"/>
        </w:trPr>
        <w:tc>
          <w:tcPr>
            <w:tcW w:w="260" w:type="dxa"/>
            <w:vAlign w:val="bottom"/>
          </w:tcPr>
          <w:p>
            <w:pPr>
              <w:spacing w:after="0"/>
              <w:rPr>
                <w:sz w:val="14"/>
                <w:szCs w:val="14"/>
                <w:color w:val="auto"/>
              </w:rPr>
            </w:pPr>
          </w:p>
        </w:tc>
        <w:tc>
          <w:tcPr>
            <w:tcW w:w="4900" w:type="dxa"/>
            <w:vAlign w:val="bottom"/>
            <w:gridSpan w:val="3"/>
          </w:tcPr>
          <w:p>
            <w:pPr>
              <w:ind w:left="80"/>
              <w:spacing w:after="0"/>
              <w:rPr>
                <w:sz w:val="20"/>
                <w:szCs w:val="20"/>
                <w:color w:val="auto"/>
              </w:rPr>
            </w:pPr>
            <w:r>
              <w:rPr>
                <w:rFonts w:ascii="Arial" w:cs="Arial" w:eastAsia="Arial" w:hAnsi="Arial"/>
                <w:sz w:val="14"/>
                <w:szCs w:val="14"/>
                <w:color w:val="auto"/>
              </w:rPr>
              <w:t>which is the general partner of Carlyle Partners VI Dash Holdings, L.P.</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5"/>
              </w:rPr>
              <w:t>Voting and investment determinations with respect to the securities held by Carlyle Evergreen and CP VI Evergreen are made by an investment committee of TC Group VI S1, L.P., and</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5"/>
              </w:rPr>
              <w:t>voting and investment determinations with respect to the securities held by Carlyle Partners VI Dash Holdings, L.P. are made by an investment committee of TC Group VI, L.P., each of</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which is comprised of Allan Holt, William Conway, Jr., Daniel D’Aniello, David Rubenstein, Peter Clare, Kewsong Lee, Norma Kuntz, Sandra Horbach, and Marco De Benedetti, as a non-</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8"/>
              </w:rPr>
              <w:t>voting observer. Accordingly, each of the entities and individuals named in this footnote may be deemed to share beneficial ownership of the securities held of record by the Carlyle</w:t>
            </w:r>
          </w:p>
        </w:tc>
      </w:tr>
      <w:tr>
        <w:trPr>
          <w:trHeight w:val="162"/>
        </w:trPr>
        <w:tc>
          <w:tcPr>
            <w:tcW w:w="260" w:type="dxa"/>
            <w:vAlign w:val="bottom"/>
          </w:tcPr>
          <w:p>
            <w:pPr>
              <w:spacing w:after="0"/>
              <w:rPr>
                <w:sz w:val="14"/>
                <w:szCs w:val="14"/>
                <w:color w:val="auto"/>
              </w:rPr>
            </w:pPr>
          </w:p>
        </w:tc>
        <w:tc>
          <w:tcPr>
            <w:tcW w:w="4900" w:type="dxa"/>
            <w:vAlign w:val="bottom"/>
            <w:gridSpan w:val="3"/>
          </w:tcPr>
          <w:p>
            <w:pPr>
              <w:ind w:left="80"/>
              <w:spacing w:after="0"/>
              <w:rPr>
                <w:sz w:val="20"/>
                <w:szCs w:val="20"/>
                <w:color w:val="auto"/>
              </w:rPr>
            </w:pPr>
            <w:r>
              <w:rPr>
                <w:rFonts w:ascii="Arial" w:cs="Arial" w:eastAsia="Arial" w:hAnsi="Arial"/>
                <w:sz w:val="14"/>
                <w:szCs w:val="14"/>
                <w:color w:val="auto"/>
              </w:rPr>
              <w:t>Investors. Each of them disclaims beneficial ownership of such securities.</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The address of each of TC Group Cayman Investment Holdings, L.P. and TC Group Cayman Investment Holdings Sub L.P. is c/o Walkers, Cayman Corporate Center, 27 Hospital Road,</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George Town, Grand Cayman KY1-9008, Cayman Islands. The address of each of the other entities named in this footnote is c/o The Carlyle Group Inc., 1001 Pennsylvania Avenue, NW,</w:t>
            </w:r>
          </w:p>
        </w:tc>
      </w:tr>
      <w:tr>
        <w:trPr>
          <w:trHeight w:val="162"/>
        </w:trPr>
        <w:tc>
          <w:tcPr>
            <w:tcW w:w="260" w:type="dxa"/>
            <w:vAlign w:val="bottom"/>
          </w:tcPr>
          <w:p>
            <w:pPr>
              <w:spacing w:after="0"/>
              <w:rPr>
                <w:sz w:val="14"/>
                <w:szCs w:val="14"/>
                <w:color w:val="auto"/>
              </w:rPr>
            </w:pPr>
          </w:p>
        </w:tc>
        <w:tc>
          <w:tcPr>
            <w:tcW w:w="4900" w:type="dxa"/>
            <w:vAlign w:val="bottom"/>
            <w:gridSpan w:val="3"/>
          </w:tcPr>
          <w:p>
            <w:pPr>
              <w:ind w:left="80"/>
              <w:spacing w:after="0"/>
              <w:rPr>
                <w:sz w:val="20"/>
                <w:szCs w:val="20"/>
                <w:color w:val="auto"/>
              </w:rPr>
            </w:pPr>
            <w:r>
              <w:rPr>
                <w:rFonts w:ascii="Arial" w:cs="Arial" w:eastAsia="Arial" w:hAnsi="Arial"/>
                <w:sz w:val="14"/>
                <w:szCs w:val="14"/>
                <w:color w:val="auto"/>
              </w:rPr>
              <w:t>Suite 220 South, Washington, District of Columbia 20004.</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(7)</w:t>
            </w:r>
          </w:p>
        </w:tc>
        <w:tc>
          <w:tcPr>
            <w:tcW w:w="2660" w:type="dxa"/>
            <w:vAlign w:val="bottom"/>
            <w:gridSpan w:val="2"/>
          </w:tcPr>
          <w:p>
            <w:pPr>
              <w:ind w:left="60"/>
              <w:spacing w:after="0"/>
              <w:rPr>
                <w:sz w:val="20"/>
                <w:szCs w:val="20"/>
                <w:color w:val="auto"/>
              </w:rPr>
            </w:pPr>
            <w:r>
              <w:rPr>
                <w:rFonts w:ascii="Arial" w:cs="Arial" w:eastAsia="Arial" w:hAnsi="Arial"/>
                <w:sz w:val="14"/>
                <w:szCs w:val="14"/>
                <w:color w:val="auto"/>
              </w:rPr>
              <w:t>Amounts beneficially owned reflect (i)</w:t>
            </w:r>
          </w:p>
        </w:tc>
        <w:tc>
          <w:tcPr>
            <w:tcW w:w="2880" w:type="dxa"/>
            <w:vAlign w:val="bottom"/>
            <w:gridSpan w:val="2"/>
          </w:tcPr>
          <w:p>
            <w:pPr>
              <w:ind w:left="320"/>
              <w:spacing w:after="0"/>
              <w:rPr>
                <w:sz w:val="20"/>
                <w:szCs w:val="20"/>
                <w:color w:val="auto"/>
              </w:rPr>
            </w:pPr>
            <w:r>
              <w:rPr>
                <w:rFonts w:ascii="Arial" w:cs="Arial" w:eastAsia="Arial" w:hAnsi="Arial"/>
                <w:sz w:val="14"/>
                <w:szCs w:val="14"/>
                <w:color w:val="auto"/>
              </w:rPr>
              <w:t>shares of Class C common stock and</w:t>
            </w:r>
          </w:p>
        </w:tc>
        <w:tc>
          <w:tcPr>
            <w:tcW w:w="5440" w:type="dxa"/>
            <w:vAlign w:val="bottom"/>
            <w:gridSpan w:val="5"/>
          </w:tcPr>
          <w:p>
            <w:pPr>
              <w:jc w:val="right"/>
              <w:spacing w:after="0"/>
              <w:rPr>
                <w:sz w:val="20"/>
                <w:szCs w:val="20"/>
                <w:color w:val="auto"/>
              </w:rPr>
            </w:pPr>
            <w:r>
              <w:rPr>
                <w:rFonts w:ascii="Arial" w:cs="Arial" w:eastAsia="Arial" w:hAnsi="Arial"/>
                <w:sz w:val="14"/>
                <w:szCs w:val="14"/>
                <w:color w:val="auto"/>
                <w:w w:val="98"/>
              </w:rPr>
              <w:t>OpCo Units (and associated shares of Class B common stock) held directly following this</w:t>
            </w:r>
          </w:p>
        </w:tc>
      </w:tr>
      <w:tr>
        <w:trPr>
          <w:trHeight w:val="162"/>
        </w:trPr>
        <w:tc>
          <w:tcPr>
            <w:tcW w:w="260" w:type="dxa"/>
            <w:vAlign w:val="bottom"/>
          </w:tcPr>
          <w:p>
            <w:pPr>
              <w:spacing w:after="0"/>
              <w:rPr>
                <w:sz w:val="14"/>
                <w:szCs w:val="14"/>
                <w:color w:val="auto"/>
              </w:rPr>
            </w:pPr>
          </w:p>
        </w:tc>
        <w:tc>
          <w:tcPr>
            <w:tcW w:w="8840" w:type="dxa"/>
            <w:vAlign w:val="bottom"/>
            <w:gridSpan w:val="7"/>
          </w:tcPr>
          <w:p>
            <w:pPr>
              <w:ind w:left="80"/>
              <w:spacing w:after="0"/>
              <w:rPr>
                <w:sz w:val="20"/>
                <w:szCs w:val="20"/>
                <w:color w:val="auto"/>
              </w:rPr>
            </w:pPr>
            <w:r>
              <w:rPr>
                <w:rFonts w:ascii="Arial" w:cs="Arial" w:eastAsia="Arial" w:hAnsi="Arial"/>
                <w:sz w:val="14"/>
                <w:szCs w:val="14"/>
                <w:color w:val="auto"/>
              </w:rPr>
              <w:t>offering by 22C Magellan Holdings LLC, whose two principal members are 22C DiscoverOrg Investors, LLC and 22C Capital I, L.P., and (ii)</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shares of Class C common stock</w:t>
            </w:r>
          </w:p>
        </w:tc>
      </w:tr>
      <w:tr>
        <w:trPr>
          <w:trHeight w:val="182"/>
        </w:trPr>
        <w:tc>
          <w:tcPr>
            <w:tcW w:w="2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rPr>
              <w:t>and</w:t>
            </w:r>
          </w:p>
        </w:tc>
        <w:tc>
          <w:tcPr>
            <w:tcW w:w="2040" w:type="dxa"/>
            <w:vAlign w:val="bottom"/>
          </w:tcPr>
          <w:p>
            <w:pPr>
              <w:ind w:left="300"/>
              <w:spacing w:after="0"/>
              <w:rPr>
                <w:sz w:val="20"/>
                <w:szCs w:val="20"/>
                <w:color w:val="auto"/>
              </w:rPr>
            </w:pPr>
            <w:r>
              <w:rPr>
                <w:rFonts w:ascii="Arial" w:cs="Arial" w:eastAsia="Arial" w:hAnsi="Arial"/>
                <w:sz w:val="14"/>
                <w:szCs w:val="14"/>
                <w:color w:val="auto"/>
              </w:rPr>
              <w:t>HoldCo Units (and</w:t>
            </w:r>
          </w:p>
        </w:tc>
        <w:tc>
          <w:tcPr>
            <w:tcW w:w="2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21" w:right="339" w:bottom="1440" w:gutter="0" w:footer="0" w:header="0"/>
        </w:sectPr>
      </w:pPr>
    </w:p>
    <w:bookmarkStart w:id="198" w:name="page199"/>
    <w:bookmarkEnd w:id="19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40"/>
        <w:spacing w:after="0" w:line="243" w:lineRule="auto"/>
        <w:rPr>
          <w:sz w:val="20"/>
          <w:szCs w:val="20"/>
          <w:color w:val="auto"/>
        </w:rPr>
      </w:pPr>
      <w:r>
        <w:rPr>
          <w:rFonts w:ascii="Arial" w:cs="Arial" w:eastAsia="Arial" w:hAnsi="Arial"/>
          <w:sz w:val="14"/>
          <w:szCs w:val="14"/>
          <w:color w:val="auto"/>
        </w:rPr>
        <w:t>associated shares of Class B common stock) held directly by 22C Capital I-A, L.P. 22C DiscoverOrg MM, LLC is the managing member of 22C DiscoverOrg Investors, LLC. 22C DiscoverOrg Advisors, LLC is the managing member of 22C DiscoverOrg MM, LLC. 22C Capital GP I, L.L.C. is the general partner of 22C Capital I, L.P. and of 22C Capital I-A, L.P. 22C Capital GP I MM LLC is the managing member of 22C Capital GP I, L.L.C. Eric Edell and D. Randall Winn are co-managing members of 22C DiscoverOrg Advisors, LLC and co-members of 22C Capital GP I MM LLC and, in such capacities, exercise voting or investment power over the shares of Class C common stock and OpCo Units (and associated shares of Class B common stock) held directly by 22C Magellan Holdings LLC and the shares of Class C common stock and HoldCo Units (and associated shares of Class B common stock) held directly by 22C Capital I-A, L.P. In addition, following this offering, as disclosed in footnote (21) below, D. Randall Winn exercises voting and investment power over OpCo Units (and associated shares of Class B common stock) held directly by Mr. Winn in his individual capacity, and over OpCo Units (and associated shares of Class B common stock) held directly by Five W DiscoverOrg, LLC. The address of 22C Magellan Holdings LLC, 22C Capital I-A, L.P., Eric Edell and D. Randall Winn is 70 East 55th Street, 14th Floor, New York, New York 10022.</w:t>
      </w:r>
    </w:p>
    <w:p>
      <w:pPr>
        <w:spacing w:after="0" w:line="3" w:lineRule="exact"/>
        <w:rPr>
          <w:sz w:val="20"/>
          <w:szCs w:val="20"/>
          <w:color w:val="auto"/>
        </w:rPr>
      </w:pPr>
    </w:p>
    <w:p>
      <w:pPr>
        <w:jc w:val="both"/>
        <w:ind w:left="320" w:hanging="323"/>
        <w:spacing w:after="0" w:line="241" w:lineRule="auto"/>
        <w:tabs>
          <w:tab w:leader="none" w:pos="300" w:val="left"/>
        </w:tabs>
        <w:rPr>
          <w:sz w:val="20"/>
          <w:szCs w:val="20"/>
          <w:color w:val="auto"/>
        </w:rPr>
      </w:pPr>
      <w:r>
        <w:rPr>
          <w:rFonts w:ascii="Arial" w:cs="Arial" w:eastAsia="Arial" w:hAnsi="Arial"/>
          <w:sz w:val="14"/>
          <w:szCs w:val="14"/>
          <w:color w:val="auto"/>
        </w:rPr>
        <w:t>(8)</w:t>
        <w:tab/>
        <w:t>Amounts beneficially owned reflect OpCo Units (and associated shares of Class B common stock) held directly by DO Holdings (WA), LLC. DO Holdings (WA), LLC is owned by Henry Schuck and Kirk Brown. Messrs. Schuck and Brown may be deemed to share voting and dispositive power over the securities held by DO Holdings (WA), LLC. The principal business address of DO Holdings (WA), LLC is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 805 Broadway Street, Suite 900 Vancouver, Washington 98660.</w:t>
      </w:r>
    </w:p>
    <w:tbl>
      <w:tblPr>
        <w:tblLayout w:type="fixed"/>
        <w:tblInd w:w="0" w:type="dxa"/>
        <w:tblCellMar>
          <w:top w:w="0" w:type="dxa"/>
          <w:left w:w="0" w:type="dxa"/>
          <w:bottom w:w="0" w:type="dxa"/>
          <w:right w:w="0" w:type="dxa"/>
        </w:tblCellMar>
      </w:tblPr>
      <w:tr>
        <w:trPr>
          <w:trHeight w:val="151"/>
        </w:trPr>
        <w:tc>
          <w:tcPr>
            <w:tcW w:w="280" w:type="dxa"/>
            <w:vAlign w:val="bottom"/>
          </w:tcPr>
          <w:p>
            <w:pPr>
              <w:spacing w:after="0" w:line="151" w:lineRule="exact"/>
              <w:rPr>
                <w:sz w:val="20"/>
                <w:szCs w:val="20"/>
                <w:color w:val="auto"/>
              </w:rPr>
            </w:pPr>
            <w:r>
              <w:rPr>
                <w:rFonts w:ascii="Arial" w:cs="Arial" w:eastAsia="Arial" w:hAnsi="Arial"/>
                <w:sz w:val="14"/>
                <w:szCs w:val="14"/>
                <w:color w:val="auto"/>
              </w:rPr>
              <w:t>(9)</w:t>
            </w:r>
          </w:p>
        </w:tc>
        <w:tc>
          <w:tcPr>
            <w:tcW w:w="2580" w:type="dxa"/>
            <w:vAlign w:val="bottom"/>
          </w:tcPr>
          <w:p>
            <w:pPr>
              <w:ind w:left="40"/>
              <w:spacing w:after="0" w:line="151" w:lineRule="exact"/>
              <w:rPr>
                <w:sz w:val="20"/>
                <w:szCs w:val="20"/>
                <w:color w:val="auto"/>
              </w:rPr>
            </w:pPr>
            <w:r>
              <w:rPr>
                <w:rFonts w:ascii="Arial" w:cs="Arial" w:eastAsia="Arial" w:hAnsi="Arial"/>
                <w:sz w:val="14"/>
                <w:szCs w:val="14"/>
                <w:color w:val="auto"/>
              </w:rPr>
              <w:t>Amounts beneficially owned reflect the</w:t>
            </w:r>
          </w:p>
        </w:tc>
        <w:tc>
          <w:tcPr>
            <w:tcW w:w="8380" w:type="dxa"/>
            <w:vAlign w:val="bottom"/>
            <w:gridSpan w:val="3"/>
          </w:tcPr>
          <w:p>
            <w:pPr>
              <w:jc w:val="right"/>
              <w:spacing w:after="0" w:line="151" w:lineRule="exact"/>
              <w:rPr>
                <w:sz w:val="20"/>
                <w:szCs w:val="20"/>
                <w:color w:val="auto"/>
              </w:rPr>
            </w:pPr>
            <w:r>
              <w:rPr>
                <w:rFonts w:ascii="Arial" w:cs="Arial" w:eastAsia="Arial" w:hAnsi="Arial"/>
                <w:sz w:val="14"/>
                <w:szCs w:val="14"/>
                <w:color w:val="auto"/>
              </w:rPr>
              <w:t>OpCo Units (and associated shares of Class B common stock) held directly by DO Holdings (WA), LLC (as described above). The</w:t>
            </w:r>
          </w:p>
        </w:tc>
      </w:tr>
      <w:tr>
        <w:trPr>
          <w:trHeight w:val="162"/>
        </w:trPr>
        <w:tc>
          <w:tcPr>
            <w:tcW w:w="280" w:type="dxa"/>
            <w:vAlign w:val="bottom"/>
          </w:tcPr>
          <w:p>
            <w:pPr>
              <w:spacing w:after="0"/>
              <w:rPr>
                <w:sz w:val="14"/>
                <w:szCs w:val="14"/>
                <w:color w:val="auto"/>
              </w:rPr>
            </w:pPr>
          </w:p>
        </w:tc>
        <w:tc>
          <w:tcPr>
            <w:tcW w:w="9540" w:type="dxa"/>
            <w:vAlign w:val="bottom"/>
            <w:gridSpan w:val="3"/>
          </w:tcPr>
          <w:p>
            <w:pPr>
              <w:ind w:left="60"/>
              <w:spacing w:after="0"/>
              <w:rPr>
                <w:sz w:val="20"/>
                <w:szCs w:val="20"/>
                <w:color w:val="auto"/>
              </w:rPr>
            </w:pPr>
            <w:r>
              <w:rPr>
                <w:rFonts w:ascii="Arial" w:cs="Arial" w:eastAsia="Arial" w:hAnsi="Arial"/>
                <w:sz w:val="14"/>
                <w:szCs w:val="14"/>
                <w:color w:val="auto"/>
              </w:rPr>
              <w:t>principal business address of Mr. Brown is c/o 1012 SE 64th Court, Vancouver, Washington 98661.</w:t>
            </w:r>
          </w:p>
        </w:tc>
        <w:tc>
          <w:tcPr>
            <w:tcW w:w="142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(10)</w:t>
            </w:r>
          </w:p>
        </w:tc>
        <w:tc>
          <w:tcPr>
            <w:tcW w:w="5080" w:type="dxa"/>
            <w:vAlign w:val="bottom"/>
            <w:gridSpan w:val="2"/>
          </w:tcPr>
          <w:p>
            <w:pPr>
              <w:ind w:left="40"/>
              <w:spacing w:after="0"/>
              <w:rPr>
                <w:sz w:val="20"/>
                <w:szCs w:val="20"/>
                <w:color w:val="auto"/>
              </w:rPr>
            </w:pPr>
            <w:r>
              <w:rPr>
                <w:rFonts w:ascii="Arial" w:cs="Arial" w:eastAsia="Arial" w:hAnsi="Arial"/>
                <w:sz w:val="14"/>
                <w:szCs w:val="14"/>
                <w:color w:val="auto"/>
              </w:rPr>
              <w:t>Amounts beneficially owned reflect the vested Class P Units convertible for</w:t>
            </w:r>
          </w:p>
        </w:tc>
        <w:tc>
          <w:tcPr>
            <w:tcW w:w="4460" w:type="dxa"/>
            <w:vAlign w:val="bottom"/>
          </w:tcPr>
          <w:p>
            <w:pPr>
              <w:ind w:left="260"/>
              <w:spacing w:after="0"/>
              <w:rPr>
                <w:sz w:val="20"/>
                <w:szCs w:val="20"/>
                <w:color w:val="auto"/>
              </w:rPr>
            </w:pPr>
            <w:r>
              <w:rPr>
                <w:rFonts w:ascii="Arial" w:cs="Arial" w:eastAsia="Arial" w:hAnsi="Arial"/>
                <w:sz w:val="14"/>
                <w:szCs w:val="14"/>
                <w:color w:val="auto"/>
              </w:rPr>
              <w:t>shares of Class A common stock held directly by Henry Schuck,</w:t>
            </w:r>
          </w:p>
        </w:tc>
        <w:tc>
          <w:tcPr>
            <w:tcW w:w="1420" w:type="dxa"/>
            <w:vAlign w:val="bottom"/>
          </w:tcPr>
          <w:p>
            <w:pPr>
              <w:jc w:val="right"/>
              <w:spacing w:after="0"/>
              <w:rPr>
                <w:sz w:val="20"/>
                <w:szCs w:val="20"/>
                <w:color w:val="auto"/>
              </w:rPr>
            </w:pPr>
            <w:r>
              <w:rPr>
                <w:rFonts w:ascii="Arial" w:cs="Arial" w:eastAsia="Arial" w:hAnsi="Arial"/>
                <w:sz w:val="14"/>
                <w:szCs w:val="14"/>
                <w:color w:val="auto"/>
              </w:rPr>
              <w:t>OpCo Units (and</w:t>
            </w:r>
          </w:p>
        </w:tc>
      </w:tr>
      <w:tr>
        <w:trPr>
          <w:trHeight w:val="162"/>
        </w:trPr>
        <w:tc>
          <w:tcPr>
            <w:tcW w:w="280" w:type="dxa"/>
            <w:vAlign w:val="bottom"/>
          </w:tcPr>
          <w:p>
            <w:pPr>
              <w:spacing w:after="0"/>
              <w:rPr>
                <w:sz w:val="14"/>
                <w:szCs w:val="14"/>
                <w:color w:val="auto"/>
              </w:rPr>
            </w:pPr>
          </w:p>
        </w:tc>
        <w:tc>
          <w:tcPr>
            <w:tcW w:w="5080" w:type="dxa"/>
            <w:vAlign w:val="bottom"/>
            <w:gridSpan w:val="2"/>
          </w:tcPr>
          <w:p>
            <w:pPr>
              <w:ind w:left="60"/>
              <w:spacing w:after="0"/>
              <w:rPr>
                <w:sz w:val="20"/>
                <w:szCs w:val="20"/>
                <w:color w:val="auto"/>
              </w:rPr>
            </w:pPr>
            <w:r>
              <w:rPr>
                <w:rFonts w:ascii="Arial" w:cs="Arial" w:eastAsia="Arial" w:hAnsi="Arial"/>
                <w:sz w:val="14"/>
                <w:szCs w:val="14"/>
                <w:color w:val="auto"/>
              </w:rPr>
              <w:t>associated shares of Class B common stock) held directly by HSKB Funds, LLC,</w:t>
            </w:r>
          </w:p>
        </w:tc>
        <w:tc>
          <w:tcPr>
            <w:tcW w:w="5880" w:type="dxa"/>
            <w:vAlign w:val="bottom"/>
            <w:gridSpan w:val="2"/>
          </w:tcPr>
          <w:p>
            <w:pPr>
              <w:jc w:val="right"/>
              <w:spacing w:after="0"/>
              <w:rPr>
                <w:sz w:val="20"/>
                <w:szCs w:val="20"/>
                <w:color w:val="auto"/>
              </w:rPr>
            </w:pPr>
            <w:r>
              <w:rPr>
                <w:rFonts w:ascii="Arial" w:cs="Arial" w:eastAsia="Arial" w:hAnsi="Arial"/>
                <w:sz w:val="14"/>
                <w:szCs w:val="14"/>
                <w:color w:val="auto"/>
              </w:rPr>
              <w:t>OpCo Units (and associated shares of Class B common stock) held directly by DO Holdings</w:t>
            </w:r>
          </w:p>
        </w:tc>
      </w:tr>
      <w:tr>
        <w:trPr>
          <w:trHeight w:val="174"/>
        </w:trPr>
        <w:tc>
          <w:tcPr>
            <w:tcW w:w="280" w:type="dxa"/>
            <w:vAlign w:val="bottom"/>
          </w:tcPr>
          <w:p>
            <w:pPr>
              <w:spacing w:after="0"/>
              <w:rPr>
                <w:sz w:val="15"/>
                <w:szCs w:val="15"/>
                <w:color w:val="auto"/>
              </w:rPr>
            </w:pPr>
          </w:p>
        </w:tc>
        <w:tc>
          <w:tcPr>
            <w:tcW w:w="2580" w:type="dxa"/>
            <w:vAlign w:val="bottom"/>
          </w:tcPr>
          <w:p>
            <w:pPr>
              <w:ind w:left="60"/>
              <w:spacing w:after="0"/>
              <w:rPr>
                <w:sz w:val="20"/>
                <w:szCs w:val="20"/>
                <w:color w:val="auto"/>
              </w:rPr>
            </w:pPr>
            <w:r>
              <w:rPr>
                <w:rFonts w:ascii="Arial" w:cs="Arial" w:eastAsia="Arial" w:hAnsi="Arial"/>
                <w:sz w:val="14"/>
                <w:szCs w:val="14"/>
                <w:color w:val="auto"/>
              </w:rPr>
              <w:t>(WA), LLC (as described above), and</w:t>
            </w:r>
          </w:p>
        </w:tc>
        <w:tc>
          <w:tcPr>
            <w:tcW w:w="8380" w:type="dxa"/>
            <w:vAlign w:val="bottom"/>
            <w:gridSpan w:val="3"/>
          </w:tcPr>
          <w:p>
            <w:pPr>
              <w:jc w:val="right"/>
              <w:spacing w:after="0"/>
              <w:rPr>
                <w:sz w:val="20"/>
                <w:szCs w:val="20"/>
                <w:color w:val="auto"/>
              </w:rPr>
            </w:pPr>
            <w:r>
              <w:rPr>
                <w:rFonts w:ascii="Arial" w:cs="Arial" w:eastAsia="Arial" w:hAnsi="Arial"/>
                <w:sz w:val="14"/>
                <w:szCs w:val="14"/>
                <w:color w:val="auto"/>
                <w:w w:val="97"/>
              </w:rPr>
              <w:t>HoldCo Units (and associated shares of Class B common stock) held by HSKB Funds II, LLC. HSKB Funds, LLC and HSKB Funds II, LLC</w:t>
            </w:r>
          </w:p>
        </w:tc>
      </w:tr>
    </w:tbl>
    <w:p>
      <w:pPr>
        <w:ind w:left="340" w:right="20"/>
        <w:spacing w:after="0" w:line="241" w:lineRule="auto"/>
        <w:rPr>
          <w:sz w:val="20"/>
          <w:szCs w:val="20"/>
          <w:color w:val="auto"/>
        </w:rPr>
      </w:pPr>
      <w:r>
        <w:rPr>
          <w:rFonts w:ascii="Arial" w:cs="Arial" w:eastAsia="Arial" w:hAnsi="Arial"/>
          <w:sz w:val="14"/>
          <w:szCs w:val="14"/>
          <w:color w:val="auto"/>
        </w:rPr>
        <w:t>are managed by HLS Management, LLC. Henry Schuck is the sole member of HLS Management, LLC. The principal business address of Mr. Schuck is c/o 805 Broadway Street, Suite 900 Vancouver, Washington 98660.</w:t>
      </w:r>
    </w:p>
    <w:p>
      <w:pPr>
        <w:spacing w:after="0" w:line="1" w:lineRule="exact"/>
        <w:rPr>
          <w:sz w:val="20"/>
          <w:szCs w:val="20"/>
          <w:color w:val="auto"/>
        </w:rPr>
      </w:pPr>
    </w:p>
    <w:p>
      <w:pPr>
        <w:ind w:left="320" w:hanging="312"/>
        <w:spacing w:after="0"/>
        <w:tabs>
          <w:tab w:leader="none" w:pos="32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principal business address of Mr. Hyzer is c/o 805 Broadway Street, Suite 900 Vancouver, Washington 98660.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principal business address of Mr. Hays is c/o 805 Broadway Street, Suite 900 Vancouver, Washington 98660.</w:t>
      </w:r>
    </w:p>
    <w:p>
      <w:pPr>
        <w:spacing w:after="0" w:line="1" w:lineRule="exact"/>
        <w:rPr>
          <w:sz w:val="20"/>
          <w:szCs w:val="20"/>
          <w:color w:val="auto"/>
        </w:rPr>
      </w:pPr>
    </w:p>
    <w:p>
      <w:pPr>
        <w:spacing w:after="0"/>
        <w:tabs>
          <w:tab w:leader="none" w:pos="7060" w:val="left"/>
        </w:tabs>
        <w:rPr>
          <w:sz w:val="20"/>
          <w:szCs w:val="20"/>
          <w:color w:val="auto"/>
        </w:rPr>
      </w:pPr>
      <w:r>
        <w:rPr>
          <w:rFonts w:ascii="Arial" w:cs="Arial" w:eastAsia="Arial" w:hAnsi="Arial"/>
          <w:sz w:val="14"/>
          <w:szCs w:val="14"/>
          <w:color w:val="auto"/>
        </w:rPr>
        <w:t>(13) Amounts beneficially owned reflect the vested Class P Units held directly by Nir Keren convertible for</w:t>
      </w:r>
      <w:r>
        <w:rPr>
          <w:sz w:val="20"/>
          <w:szCs w:val="20"/>
          <w:color w:val="auto"/>
        </w:rPr>
        <w:tab/>
      </w:r>
      <w:r>
        <w:rPr>
          <w:rFonts w:ascii="Arial" w:cs="Arial" w:eastAsia="Arial" w:hAnsi="Arial"/>
          <w:sz w:val="13"/>
          <w:szCs w:val="13"/>
          <w:color w:val="auto"/>
        </w:rPr>
        <w:t>shares of Class A common stock. The principal business address of Mr.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Keren is c/o 805 Broadway Street, Suite 900 Vancouver, Washington 98660.</w:t>
      </w:r>
    </w:p>
    <w:p>
      <w:pPr>
        <w:spacing w:after="0" w:line="1" w:lineRule="exact"/>
        <w:rPr>
          <w:sz w:val="20"/>
          <w:szCs w:val="20"/>
          <w:color w:val="auto"/>
        </w:rPr>
      </w:pPr>
    </w:p>
    <w:p>
      <w:pPr>
        <w:ind w:left="320" w:hanging="312"/>
        <w:spacing w:after="0"/>
        <w:tabs>
          <w:tab w:leader="none" w:pos="3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principal business address of Mr. Crockett is c/o 200 Clarendon Street, 56th floor, Boston, Massachusetts 02116.</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principal business address of Mr. Dhruv is c/o 20 Davis Drive, Belmont, California 94002.</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principal business address of Mr. Enright is c/o 345 Spear Street, 4th Floor, San Francisco, California 94105.</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principal business address of Ms. Evans is c/o 2710 Sand Hill Road, Menlo Park, California 94025.</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principal business address of Mr. Mader is c/o 10500 NE 8th Street, Suite 1300, Bellevue, Washington 98004.</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principal business address of Mr. McCarter is c/o 2710 Sand Hill Road, Menlo Park, California 94025.</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principal business address of Mr. Mironov is c/o 200 Clarendon Street, 56th floor, Boston, Massachusetts 02116.</w:t>
      </w:r>
    </w:p>
    <w:p>
      <w:pPr>
        <w:spacing w:after="0" w:line="151" w:lineRule="exact"/>
        <w:rPr>
          <w:sz w:val="20"/>
          <w:szCs w:val="20"/>
          <w:color w:val="auto"/>
        </w:rPr>
      </w:pPr>
    </w:p>
    <w:p>
      <w:pPr>
        <w:ind w:left="340" w:hanging="323"/>
        <w:spacing w:after="0" w:line="247" w:lineRule="auto"/>
        <w:rPr>
          <w:sz w:val="20"/>
          <w:szCs w:val="20"/>
          <w:color w:val="auto"/>
        </w:rPr>
      </w:pPr>
      <w:r>
        <w:rPr>
          <w:rFonts w:ascii="Arial" w:cs="Arial" w:eastAsia="Arial" w:hAnsi="Arial"/>
          <w:sz w:val="14"/>
          <w:szCs w:val="14"/>
          <w:color w:val="auto"/>
        </w:rPr>
        <w:t>(21) Amounts beneficially owned reflect: (i)</w:t>
      </w:r>
      <w:r>
        <w:rPr>
          <w:sz w:val="20"/>
          <w:szCs w:val="20"/>
          <w:color w:val="auto"/>
        </w:rPr>
        <w:t xml:space="preserve"> </w:t>
      </w:r>
      <w:r>
        <w:rPr>
          <w:rFonts w:ascii="Arial" w:cs="Arial" w:eastAsia="Arial" w:hAnsi="Arial"/>
          <w:sz w:val="14"/>
          <w:szCs w:val="14"/>
          <w:color w:val="auto"/>
        </w:rPr>
        <w:t>shares of Class C common stock, OpCo Units (and associated shares of Class B common stock), and HoldCo Units (and associated shares of Class B common stock) beneficially owned by 22C Capital, as disclosed in footnote (7) above; (ii) OpCo Units (and associated shares of Class B common stock) directly held by Mr. Winn in his individual capacity; and (iii) OpCo Units (and associated shares of Class B common stock) held directly by Five W DiscoverOrg,</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LLC, over which Mr. Winn exercises voting and investment power. The principal business address of Mr. Winn is 70 East 55th Street, 14th Floor, New York, New York 10022.</w:t>
      </w:r>
    </w:p>
    <w:p>
      <w:pPr>
        <w:spacing w:after="0" w:line="1" w:lineRule="exact"/>
        <w:rPr>
          <w:sz w:val="20"/>
          <w:szCs w:val="20"/>
          <w:color w:val="auto"/>
        </w:rPr>
      </w:pPr>
    </w:p>
    <w:p>
      <w:pPr>
        <w:jc w:val="both"/>
        <w:ind w:left="340" w:hanging="332"/>
        <w:spacing w:after="0" w:line="246" w:lineRule="auto"/>
        <w:tabs>
          <w:tab w:leader="none" w:pos="337" w:val="left"/>
        </w:tabs>
        <w:numPr>
          <w:ilvl w:val="0"/>
          <w:numId w:val="164"/>
        </w:numPr>
        <w:rPr>
          <w:rFonts w:ascii="Arial" w:cs="Arial" w:eastAsia="Arial" w:hAnsi="Arial"/>
          <w:sz w:val="14"/>
          <w:szCs w:val="14"/>
          <w:color w:val="auto"/>
        </w:rPr>
      </w:pPr>
      <w:r>
        <w:rPr>
          <w:rFonts w:ascii="Arial" w:cs="Arial" w:eastAsia="Arial" w:hAnsi="Arial"/>
          <w:sz w:val="14"/>
          <w:szCs w:val="14"/>
          <w:color w:val="auto"/>
        </w:rPr>
        <w:t>On June 3, 2020, 22C Capital granted an irrevocable proxy in favor of Carlyle, TA Associates, DO Holdings (WA), LLC, HSKB Funds, LLC, and HSKB Funds II, LLC (each a “Proxyholder”) pursuant to which the shares held of record by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21" w:right="339" w:bottom="1440" w:gutter="0" w:footer="0" w:header="0"/>
        </w:sectPr>
      </w:pPr>
    </w:p>
    <w:bookmarkStart w:id="199" w:name="page200"/>
    <w:bookmarkEnd w:id="19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section summarizes the terms of our material principal indebtedness.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Credit Agreement</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February 1, 2019, ZoomInfo LLC (formerly known as DiscoverOrg, LLC) and ZoomInfo Midco LLC (formerly known as DiscoverOrg Midco, LLC) entered into a first lien credit agreement with Morgan Stanley Senior Funding, Inc., as the administrative agent, collateral agent and a letter of credit issuer, Morgan Stanley Senior Funding, Inc., Barclays Bank plc and Antares Capital LP, as joint lead arrangers and joint bookrunners and the other lenders and letter of credit issuers from time to time party thereto (as amended from time to time, the “first lien credit agreement”). On February 19, 2020, ZoomInfo LLC and ZoomInfo Midco LLC entered into an amendment to the first lien credit agreement with Morgan Stanley Bank, N.A., as the new term loan lender, the revolving credit lenders party thereto and Morgan Stanley Senior Funding, Inc. as administrative agent, collateral agent and letter of credit issuer to amend certain pricing terms of the first lien credit agreement.</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borrowings under the first lien credit agreement consist of $865.0 million initial term loans, maturing February 1, 2026, and a $100.0 million revolving credit facility, maturing February 1, 2024. Of these first lien term loans, $856.4 million was outstanding as of March 31, 2020. In June 2020, we used a portion of the net proceeds from the IPO to prepay $100.0 million aggregate principal amount of the first lien term loans outstanding under the first lien credit agreement, including accrued interest thereon.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portion of the revolving credit facility is available for letters of credit, of which none was utilized as of March 31, 2020. Including letters of credit, there were $35.0 million of borrowings outstanding under the revolving credit facility as of March 31, 2020. In connection with the IPO, we used a portion of the net proceeds from the IPO to repay $35.0 million of outstanding borrowings under the revolving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Borrowings under the first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With respect to the first lien term loans that bear interest by reference to an adjusted LIBOR rate, the applicable margin is 4.00% per annum and with respect to the first lien term loans that bear interest by reference to a base rate, the applicable margin is 3.00% per annum. The applicable margin for the borrowings under the revolving credit facility varies depending on a consolidated first lien debt to consolidated EBITDA ratio calculated pursuant to the first lien credit agreement (the “consolidated first lien net leverage ratio”) and is 3.75% or 4.00% per annum for the loans that bear interest by reference to the adjusted LIBOR rate and 2.75% of 3.00% per annum for the loans that bear interest by reference to the base rate. Upon the consummation of a qualified IPO, the applicable margin will be reduced by 0.25%. The applicable margin was 4.0% in the case of LIBOR rate loans and 3.0% in the case of base rate loans as of March 31, 2020.</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we pay certain recurring fees with respect to the first lien credit agreement, including (i) a fee for the unused commitments of the lenders under the revolving credit facility, accruing at a rate equal to (x) 0.50% per annum if the consolidated first lien net leverage ratio is greater than 4.40 to 1.00, (y) 0.375% if the consolidated first lien secured leverage ratio is equal to or less than 4.40 to 1.00 but greater than 3.90 to 1.00 or (z) 0.125% if the consolidated first lien leverage ratio is equal to or less than 3.90 to 1.00, (ii) letter of credit fees, including a fronting fee and processing fees to each issuing bank, which vary depending on the consolidated first lien net leverage ratio, and (iii) administration fees. We paid $0.5 million of such fees for fiscal year 2019.</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21" w:right="339" w:bottom="1440" w:gutter="0" w:footer="0" w:header="0"/>
        </w:sectPr>
      </w:pPr>
    </w:p>
    <w:bookmarkStart w:id="200" w:name="page201"/>
    <w:bookmarkEnd w:id="20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prepay, in full or in part, borrowings under the first lien credit agreement, subject to notice requirements, minimum prepayment amounts, and increment limitations. If any prepayment of term loans is made in connection with a repricing event prior to the six-month anniversary of the amendment no. 1 effective date, a premium of 1.00% of the principal amount prepaid is required to be paid. After the six-month anniversary of the amendment no. 1 effective date, no premium is required.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first lien credit agreement requires us to prepay outstanding first lien term loans, subject to certain exceptions, with:</w:t>
      </w:r>
    </w:p>
    <w:p>
      <w:pPr>
        <w:spacing w:after="0" w:line="171" w:lineRule="exact"/>
        <w:rPr>
          <w:sz w:val="20"/>
          <w:szCs w:val="20"/>
          <w:color w:val="auto"/>
        </w:rPr>
      </w:pPr>
    </w:p>
    <w:p>
      <w:pPr>
        <w:jc w:val="both"/>
        <w:ind w:left="660" w:hanging="328"/>
        <w:spacing w:after="0" w:line="342" w:lineRule="auto"/>
        <w:tabs>
          <w:tab w:leader="none" w:pos="65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50% (which percentage will be reduced to (i) 25%, if the consolidated first lien net leverage ratio is less than or equal to 4.40 to 1.00 but greater than 3.90 to 1.00 and to (ii) 0%, if the consolidated first lien net leverage ratio is less than or equal to 3.90 to 1.00) of our annual excess cash flow;</w:t>
      </w:r>
    </w:p>
    <w:p>
      <w:pPr>
        <w:spacing w:after="0" w:line="69" w:lineRule="exact"/>
        <w:rPr>
          <w:rFonts w:ascii="Arial" w:cs="Arial" w:eastAsia="Arial" w:hAnsi="Arial"/>
          <w:sz w:val="16"/>
          <w:szCs w:val="16"/>
          <w:color w:val="auto"/>
        </w:rPr>
      </w:pPr>
    </w:p>
    <w:p>
      <w:pPr>
        <w:jc w:val="both"/>
        <w:ind w:left="660" w:hanging="328"/>
        <w:spacing w:after="0" w:line="293" w:lineRule="auto"/>
        <w:tabs>
          <w:tab w:leader="none" w:pos="65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100% of the net cash proceeds of all non-ordinary course asset sales or other dispositions of property, or any loss or government taking of property for which insurance proceeds or condemnation awards are received, if ZoomInfo LLC (formerly known as DiscoverOrg, LLC) or certain of its subsidiaries do not reinvest or commit to reinvest those proceeds in assets to be used in our business or to make certain other permitted investments within 540 days as long as such reinvestment is completed within 180 days from the date of such commitment to reinvest, with certain exceptions; provided that, solely with respect to any collateral, ZoomInfo LLC or certain of its subsidiaries may use a portion of such net cash proceeds to prepay or repurchase certain permitted other indebtedness with a lien in accordance with the terms of the first lien credit agreement;</w:t>
      </w:r>
    </w:p>
    <w:p>
      <w:pPr>
        <w:spacing w:after="0" w:line="11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100% of the net cash proceeds of all incurrence or issuance by ZoomInfo LLC or certain of its subsidiaries of any indebtedness (except for permitted debt (other than refinancing debt));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100% of the net cash proceeds of the incurrence of any specified refinancing debt constituting revolving credit facilities.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also required to prepay the amount by which we exceed the revolving credit commitment.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required to repay installments of the first lien term loans in quarterly installments equal to 0.25% of the aggregate principal amount of the initial term loan facility funded on February 1, 2019, with the remaining amount payable on the applicable maturity date with respect to such term loans.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amounts outstanding under the revolving credit facility are due and payable in full at maturity.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obligations under the first lien credit agreement are unconditionally guaranteed by substantially all existing and future, direct and indirect, wholly owned material domestic subsidiaries of ZoomInfo LLC, subject to certain exceptions.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obligations under the first lien credit agreement, and the guarantees of such obligations, are secured, subject to permitted liens and other exceptions, by the equity interests of ZoomInfo LLC and substantially all assets of DiscoverOrg, LLC and certain of its subsidiaries,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21" w:right="339" w:bottom="1440" w:gutter="0" w:footer="0" w:header="0"/>
        </w:sectPr>
      </w:pPr>
    </w:p>
    <w:bookmarkStart w:id="201" w:name="page202"/>
    <w:bookmarkEnd w:id="20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first lien credit agreement contains a number of covenants that restrict, subject to certain exceptions, our ability to, among other things:</w:t>
      </w:r>
    </w:p>
    <w:p>
      <w:pPr>
        <w:spacing w:after="0" w:line="183"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draws more than 35% of the revolving credit loan, the revolving credit loan is subject to a springing financial covenant pursuant to which the consolidated first lien net leverage ratio must not exceed 7.65 to 1.00.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Lien Credit Agreement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 2019, ZoomInfo LLC (formerly known as DiscoverOrg, LLC) and ZoomInfo Midco LLC (formerly known as DiscoverOrg Midco, LLC) entered into a second lien credit agreement with Morgan Stanley Senior Funding, Inc., as the administrative agent and collateral agent, Morgan Stanley Senior Funding, Inc., Barclays Bank plc and Antares Capital LP, as joint lead arrangers and joint bookrunners and the other lenders from time to time party thereto (as amended from time to time, the “second lien credit agreement”).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second lien credit agreement provides for $370.0 million initial term loan facility, maturing on February 1, 2027 of which $370 million was outstanding as of March 31, 2020. In connection with the IPO, we used a portion of the net proceeds of the IPO to prepay in full all outstanding indebtedness under the second lien credit agreement and terminated the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21" w:right="339" w:bottom="1440" w:gutter="0" w:footer="0" w:header="0"/>
        </w:sectPr>
      </w:pPr>
    </w:p>
    <w:bookmarkStart w:id="202" w:name="page203"/>
    <w:bookmarkEnd w:id="20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is a description of the material terms of, and is qualified in its entirety by, our amended and restated certificate of incorporation and amended and restated bylaws, each of which is filed as an exhibit to the registration statement of which this prospectus forms a part. Under “Description of Capital Stock,” “we,” “us,” “our,” the “Company” and “our Company” refer to ZoomInfo Technologies Inc. and not to any of its subsidiaries.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purpose is to engage in any lawful act or activity for which corporations may be organized under the DGCL. Our authorized capital stock consists of 2,500,000,000 shares of Class A common stock, par value $0.01 per share, 500,000,000 shares of Class B common stock, par value $0.01 per share, 300,000,000 shares of Class C common stock, par value $0.01 per share, and 200,000,000 shares of preferred stock, par value $0.01 per share. No shares of preferred stock have been issued or are currently outstanding. Unless our board of directors determines otherwise, we will issue all shares of our capital stock in uncertificated 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Holders of outstanding shares of our Class A common stock, Class B common stock, and Class C common stock will vote as a single class on all matters on which stockholders are entitled to vote generally, except as otherwise required by law. Delaware law entitles the holders of the outstanding shares of Class A common stock, Class B common stock, and Class C common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that the holders of Class B common stock would otherwise have with respect to an amendment to the certificate of incorporation increasing or decreasing the number of shares of Class B common stock the Company is entitled to issue and that the holders of Class C common stock would otherwise have with respect to an amendment to the certificate of incorporation increasing or decreasing the number of shares of Class C common stock the Company is entitled to issue. Thus, subject to any other voting requirements contained in the certificate of incorporation, any amendment to the certificate of incorporation increasing or decreasing the number of shares of either Class A common stock, Class B common stock, or Class C common stock that the Company is authorized to issue would require a vote of a majority of the outstanding voting power of all capital stock (including the Class A common stock, Class B common stock, and Class C common stock), voting together as a single class.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Holders of shares of our Class A common stock and Class C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If we pay a dividend or distribution on the Class A common stock, payable in shares of Class A common stock, we also will be required to pay a pro rata and simultaneous dividend or distribution on the Class C common stock, payable in shares of Class C common stock. Similarly, if we pay a dividend or distribution on the Class C common stock, payable in shares of Class C common stock, we also will be required to make a pro rata and simultaneous dividend or distribution on the Class A common stock, payable in shares of Class A common stock.</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subject to the rights of the holders of one or more outstanding series of preferred stock having liquidation preferences, the holders of shares of our Class A common stock and Class C common stock will be entitled to receive pro rata our remaining assets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21" w:right="339" w:bottom="1440" w:gutter="0" w:footer="0" w:header="0"/>
        </w:sectPr>
      </w:pPr>
    </w:p>
    <w:bookmarkStart w:id="203" w:name="page204"/>
    <w:bookmarkEnd w:id="20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All shares of our Class A common stock that will be outstanding at the time of the completion of the offering to which this prospectus relates will be fully paid and non-assessable. The Class A common stock is not be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Holders of shares of our Class B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 The holders of our Class B common stock do not have cumulative voting rights in the election of directors. 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and HoldCo Units, as applicable, for shares of Class A common stock of ZoomInfo Technologies Inc. See “Certain Relationships and Related Person Transactions—ZoomInfo OpCo Amended and Restated Limited Liability Company Agreement” and “Certain Relationships and Related Person Transactions—ZoomInfo HoldCo Amended and Restated Limited Liability Company Agreement.”</w:t>
      </w:r>
    </w:p>
    <w:p>
      <w:pPr>
        <w:spacing w:after="0" w:line="12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Holders of our Class B common stock do not have any right to receive dividends or to receive a distribution upon a liquidation, dissolution, or winding up of ZoomInfo Technologies Inc. Upon the exchange of an OpCo Unit or a HoldCo Unit (together with a share of Class B common stock), as applicable, the shares of Class B common stock will be automatically canceled with no consideration and no longer outstanding.</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Shares of Class B common stock are not transferable except for (i) transfers to us for no consideration upon which transfer such share of Class B common stock will be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shares of Class A common stock and Class C common stock are identical in all respects, except for voting rights, certain conversion rights and transfer restrictions in respect of the shares of Class C common stock, as described below.</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Holders of shares of our Class C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including the election or removal of directors. The holders of our Class C common stock do not have cumulative voting rights in the election of directors. The voting power afforded to Pre-IPO Blocker Holders by their shares of Class C common stock will be automatically and correspondingly reduced as they transfer shares of Class C common stock, which, except in certain circumstances, will automatically convert into shares of Class A common stock.</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outstanding shares of Class C common stock are convertible at the option of the holder into shares of Class A common stock on a one-for-one basis.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21" w:right="339" w:bottom="1440" w:gutter="0" w:footer="0" w:header="0"/>
        </w:sectPr>
      </w:pPr>
    </w:p>
    <w:bookmarkStart w:id="204" w:name="page205"/>
    <w:bookmarkEnd w:id="20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All outstanding shares of our Class C common stock are fully paid and non-assessable. The Class C common stock is not subject to further calls or assessments by us. Holders of shares of our Class C common stock do not have preemptive, subscription or redemption rights. There is no redemption or sinking fund provisions applicable to the Class C common stock. The rights, powers, preferences and privileges of holders of our Class C common stock is subject to those of the holders of any shares of our preferred stock or any other series or class of stock we may authorize and issue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amended and restated certificate of incorporation authorizes our board of directors to establish one or more series of preferred stock (including convertible preferred stock). Unless required by law or the Nasdaq, and subject to the terms of our amended and restated certificate of incorporation, the authorized shares of preferred stock will be available for issuance without further action by holders of our Class A, Class B, or Class C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07" w:lineRule="exact"/>
        <w:rPr>
          <w:sz w:val="20"/>
          <w:szCs w:val="20"/>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 on shares of such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 or other event;</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of our capital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21" w:right="339" w:bottom="1440" w:gutter="0" w:footer="0" w:header="0"/>
        </w:sectPr>
      </w:pPr>
    </w:p>
    <w:bookmarkStart w:id="205" w:name="page206"/>
    <w:bookmarkEnd w:id="20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 Meetings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12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Multi-Class Structure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described above in “—Common Stock,” our amended and restated certificate of incorporation provides for a multi-class common stock structure, under which each share of our Class A common stock has one vote per share while each share of our Class B common stock and Class C common stock has ten votes per share until such time as the aggregate number of outstanding shares of our Class B common stock and Class C common stock is less than 5% of the aggregate number of our outstanding shares of common stock. Because of this multi-class structure, certain of our stockholders will be able to control all matters submitted to our stockholders for approval, even if they own significantly less than 50% of the shares of our outstanding common stock. This concentrated control could discourage others from initiating a potential merger, takeover or other change of control transaction that other stockholders may view as beneficial.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provides that, subject to the rights of holders of any series of preferred stock, our board of directors is divided into three classes of directors, as nearly equal in number as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21" w:right="339" w:bottom="1440" w:gutter="0" w:footer="0" w:header="0"/>
        </w:sectPr>
      </w:pPr>
    </w:p>
    <w:bookmarkStart w:id="206" w:name="page207"/>
    <w:bookmarkEnd w:id="20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possible, and with the directors serving staggered three-year terms, with only one class of directors being elected at each annual meeting of stockholders. As a result, approximately one-third of our board of directors will be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30" w:lineRule="exact"/>
        <w:rPr>
          <w:sz w:val="20"/>
          <w:szCs w:val="20"/>
          <w:color w:val="auto"/>
        </w:rPr>
      </w:pPr>
    </w:p>
    <w:p>
      <w:pPr>
        <w:ind w:left="660" w:hanging="328"/>
        <w:spacing w:after="0" w:line="277"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16" w:lineRule="exact"/>
        <w:rPr>
          <w:rFonts w:ascii="Arial" w:cs="Arial" w:eastAsia="Arial" w:hAnsi="Arial"/>
          <w:sz w:val="18"/>
          <w:szCs w:val="18"/>
          <w:color w:val="auto"/>
        </w:rPr>
      </w:pPr>
    </w:p>
    <w:p>
      <w:pPr>
        <w:ind w:left="660" w:hanging="328"/>
        <w:spacing w:after="0" w:line="300"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0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amended and restated certificate of incorporation provides that our Sponsors and their affiliates and any of their respective direct or indirect transferees, and any group as to which such persons are a party, do not constitute “interested stockholders” for purposes of this provision.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the parties to our stockholders agreement collectively beneficially own, in the aggregate, less than 50% of the voting power of all outstanding shares of our stock entitled to vote generally in the election of directors, directors may only be removed for cause, and only upon the affirmative vote of holders of at least 66⅔% of the voting power of all the then outstanding shares of stock entitled to vote generally in the election of directors, voting together as a single class. In addition, our amended and restated certificate of incorporation also provides that, subject to the rights granted to one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21" w:right="339" w:bottom="1440" w:gutter="0" w:footer="0" w:header="0"/>
        </w:sectPr>
      </w:pPr>
    </w:p>
    <w:bookmarkStart w:id="207" w:name="page208"/>
    <w:bookmarkEnd w:id="20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or more series of preferred stock then outstanding or the rights granted under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our stockholders agreement collectively beneficially own, in the aggregate, less than 50% of voting power of the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a Sponsor beneficially owns, in the aggregate, at least 20% in voting power of the stock entitled to vote generally in the election of directors, special meetings of our stockholders shall also be called by the board of directors or the chairman of the board of directors at the request of such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our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our stockholders agreement collectively own, in the aggregate, less than 50% in voting power of our stock entitled to vote generally in the election of directors, but does permit our Class B common stockholders to act by consent in writing without requiring any such recommendation by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21" w:right="339" w:bottom="1440" w:gutter="0" w:footer="0" w:header="0"/>
        </w:sectPr>
      </w:pPr>
    </w:p>
    <w:bookmarkStart w:id="208" w:name="page209"/>
    <w:bookmarkEnd w:id="20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At any time when the parties to our stockholders agreement collectively beneficially own, in the aggregate, less than 50% in voting power of our stock entitled to vote generally in the election of directors, any amendment, alteration, rescission or repeal of our bylaws by our stockholders requires the affirmative vote of the holders of at least 66⅔% in voting power of all the then outstanding shares of stock entitled to vote thereon, voting together as a single class.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our stockholders agreement collectively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66⅔% in voting power of all the then outstanding shares of our stock entitled to vote thereon, voting together as a single class:</w:t>
      </w:r>
    </w:p>
    <w:p>
      <w:pPr>
        <w:spacing w:after="0" w:line="91" w:lineRule="exact"/>
        <w:rPr>
          <w:sz w:val="20"/>
          <w:szCs w:val="20"/>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provision requiring a 66⅔% supermajority vote for stockholders to amend our amended and restated bylaws;</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provision regarding forum selection; and</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66⅔% supermajority vote.</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21" w:right="339" w:bottom="1440" w:gutter="0" w:footer="0" w:header="0"/>
        </w:sectPr>
      </w:pPr>
    </w:p>
    <w:bookmarkStart w:id="209" w:name="page210"/>
    <w:bookmarkEnd w:id="20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fluctuations in the market price of our shares that could result from actual or rumored takeover attempts. Such provisions may also have the effect of preventing changes in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Delaware Court of Chancery, plus interest, if any, on the amount determined to be the fair value, from the effective time of the merger or consolidation through the date of payment of the judgment.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an alternative forum, the Court of Chancery of the State of Delaware will, to the fullest extent permitted by law, be the sole and exclusive forum for any (1) derivative action or proceeding brought on behalf of our Company, (2) action asserting a claim of breach of a fiduciary duty owed by any current or former director, officer, stockholder or employee of our Company to our Company or our Company’s stockholders, (3) action asserting a claim arising under any provision of the DGCL, our amended and restated certificate of incorporation or our amended and restated bylaws or as to which the DGCL confers jurisdiction on the Court of Chancery of the State of Delaware, or (4)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it is possible that a court could find our forum selection provisions to be inapplicable or unenforceable.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renounces, to the maximum extent permitted from time to time by Delaware law,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our Sponsors or any of their respective affiliates or any of our directors who is not employed by us (including any non-employee director who serves as one of our officers in both his or her director and officer capacities) or his or her affiliates has any duty to refrain from</w:t>
      </w:r>
    </w:p>
    <w:p>
      <w:pPr>
        <w:spacing w:after="0" w:line="2" w:lineRule="exact"/>
        <w:rPr>
          <w:sz w:val="20"/>
          <w:szCs w:val="20"/>
          <w:color w:val="auto"/>
        </w:rPr>
      </w:pPr>
    </w:p>
    <w:p>
      <w:pPr>
        <w:ind w:left="260" w:hanging="252"/>
        <w:spacing w:after="0"/>
        <w:tabs>
          <w:tab w:leader="none" w:pos="2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engaging in a corporate opportunity in the same or similar lines of business in which we or our affiliates now engage or propose to engage or</w:t>
      </w:r>
    </w:p>
    <w:p>
      <w:pPr>
        <w:spacing w:after="0" w:line="20" w:lineRule="exact"/>
        <w:rPr>
          <w:rFonts w:ascii="Arial" w:cs="Arial" w:eastAsia="Arial" w:hAnsi="Arial"/>
          <w:sz w:val="17"/>
          <w:szCs w:val="17"/>
          <w:color w:val="auto"/>
        </w:rPr>
      </w:pPr>
    </w:p>
    <w:p>
      <w:pPr>
        <w:jc w:val="both"/>
        <w:ind w:firstLine="8"/>
        <w:spacing w:after="0" w:line="271" w:lineRule="auto"/>
        <w:tabs>
          <w:tab w:leader="none" w:pos="27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otherwise competing with us or our affiliates. In addition, to the fullest extent permitted by law, in the event that our Sponsors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21" w:right="339" w:bottom="1440" w:gutter="0" w:footer="0" w:header="0"/>
        </w:sectPr>
      </w:pPr>
    </w:p>
    <w:bookmarkStart w:id="210" w:name="page211"/>
    <w:bookmarkEnd w:id="21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shares of our Class A common stock is Equiniti Trust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Class A common stock is listed on the Nasdaq under the symbol “ZI.” We do not anticipate listing our Class B common stock or Class C common stock on any stock market or exchange.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21" w:right="339" w:bottom="1440" w:gutter="0" w:footer="0" w:header="0"/>
        </w:sectPr>
      </w:pPr>
    </w:p>
    <w:bookmarkStart w:id="211" w:name="page212"/>
    <w:bookmarkEnd w:id="21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INCOME AND ESTATE TAX CONSEQUENCES TO NON-U.S. HOLDERS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purchased in this offering that is held as a capital asset by a non-U.S. holder (as defined below).</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“non-U.S. holder” means a beneficial owner of our Class A common stock (other than an entity treated as a partnership for United States federal income tax purposes) that is not, for United States federal income tax purposes, any of the following:</w:t>
      </w:r>
    </w:p>
    <w:p>
      <w:pPr>
        <w:spacing w:after="0" w:line="116" w:lineRule="exact"/>
        <w:rPr>
          <w:sz w:val="20"/>
          <w:szCs w:val="20"/>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financial institution, insurance company, tax-exempt organization, trader, broker or dealer in securities “controlled foreign corporation,” “passive foreign investment company,” a partnership or other pass-through entity for United States federal income tax purposes (or an investor in such a pass-through entity), a person who acquired shares of our Class A common stock as compensation or otherwise in connection with the performance of services, or a person who has acquired shares of our Class A common stock as part of a straddle, hedge, conversion transaction or other integrated investment). We cannot assure you that a change in law will not alter significantly the tax considerations that we describe in this summary.</w:t>
      </w:r>
    </w:p>
    <w:p>
      <w:pPr>
        <w:spacing w:after="0" w:line="11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2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If you are considering the purchase of our Class A common stock, you should consult your own tax advisors concerning the particular United States federal income and estate tax consequences to you of the purchase, ownership and disposition of our Class A common stock, as well as the consequences to you arising under other United States federal tax laws and the laws of any other taxing jurisdiction.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event that we make a distribution of cash or other property (other than certain pro rata distributions of our stock) in respect of our Class A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21" w:right="339" w:bottom="1440" w:gutter="0" w:footer="0" w:header="0"/>
        </w:sectPr>
      </w:pPr>
    </w:p>
    <w:bookmarkStart w:id="212" w:name="page213"/>
    <w:bookmarkEnd w:id="21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“—Gain on Disposition of Class A Common Stock”).</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non-U.S. holder who wishes to claim the benefit of an applicable treaty rate and avoid backup withholding, as discussed below, for dividends will be required (a) to provide the applicable withholding agent with a properly executed IRS Form W-BEN or Form W-8BEN-E (or other applicable form) certifying under penalty of perjury that such holder is not a United States person as defined under the Code and is eligible for treaty benefits or (b) if our Class A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Subject to the discussion of backup withholding below, any gain realized by a non-U.S. holder on the sale or other disposition of our Class A common stock generally will not be subject to United States federal income tax unless:</w:t>
      </w:r>
    </w:p>
    <w:p>
      <w:pPr>
        <w:spacing w:after="0" w:line="116" w:lineRule="exact"/>
        <w:rPr>
          <w:sz w:val="20"/>
          <w:szCs w:val="20"/>
          <w:color w:val="auto"/>
        </w:rPr>
      </w:pPr>
    </w:p>
    <w:p>
      <w:pPr>
        <w:ind w:left="660" w:hanging="328"/>
        <w:spacing w:after="0" w:line="277" w:lineRule="auto"/>
        <w:tabs>
          <w:tab w:leader="none" w:pos="6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21" w:right="339" w:bottom="1440" w:gutter="0" w:footer="0" w:header="0"/>
        </w:sectPr>
      </w:pPr>
    </w:p>
    <w:bookmarkStart w:id="213" w:name="page214"/>
    <w:bookmarkEnd w:id="21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federal income tax purposes). We believe we are not and do not anticipate becoming a “United States real property holding corporation”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Class A common stock held by an individual non-U.S. holder at the time of death will be included in such holder’s gross estate for United States federal estate tax purposes, unless an applicable estate tax treaty provides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or other disposition of our Class A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21" w:right="339" w:bottom="1440" w:gutter="0" w:footer="0" w:header="0"/>
        </w:sectPr>
      </w:pPr>
    </w:p>
    <w:bookmarkStart w:id="214" w:name="page215"/>
    <w:bookmarkEnd w:id="21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4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 2020, we had a total of shares of our Class A common stock outstanding (or shares of our Class A common stock if the underwriters exercise in full their option to purchase additional shares of Class A common stock). All of these shares of Class A common stock will be freely tradable without restriction or further registration under the Securities Act by persons other than our “affiliates.” Under the Securities Act, an</w:t>
      </w:r>
    </w:p>
    <w:p>
      <w:pPr>
        <w:jc w:val="both"/>
        <w:spacing w:after="0" w:line="255" w:lineRule="auto"/>
        <w:rPr>
          <w:sz w:val="20"/>
          <w:szCs w:val="20"/>
          <w:color w:val="auto"/>
        </w:rPr>
      </w:pPr>
      <w:r>
        <w:rPr>
          <w:rFonts w:ascii="Arial" w:cs="Arial" w:eastAsia="Arial" w:hAnsi="Arial"/>
          <w:sz w:val="18"/>
          <w:szCs w:val="18"/>
          <w:color w:val="auto"/>
        </w:rPr>
        <w:t>“affiliate” of an issuer is a person that directly or indirectly controls, is controlled by, or is under common control with that issuer. The shares of our Class C common stock held by the Pre-IPO Blocker Holders are “restricted securities,” as defined in Rule 144, and may not be sold absent registration under the Securities Act or compliance with Rule 144 thereunder or in reliance on another exemption from registration.</w:t>
      </w:r>
    </w:p>
    <w:p>
      <w:pPr>
        <w:spacing w:after="0" w:line="13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addition, subject to certain limitations and exceptions, pursuant to the terms of the amended and restated limited liability company agreement of ZoomInfo OpCo or ZoomInfo HoldCo, holders of OpCo Units or HoldCo Units may (subject to the terms of the applicable limited liability company agreement) exchange OpCo Units or HoldCo Units (together with a corresponding number of shares of Class B common stock), as applicable, for shares of our Class A common stock on a one-for-one basis, subject to customary conversion rate adjustments for stock splits, stock dividends, and reclassifications.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w:t>
      </w:r>
    </w:p>
    <w:p>
      <w:pPr>
        <w:spacing w:after="0" w:line="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under certain circumstances, subject to certain exceptions. As of , 2020, the Pre-IPO OpCo Unitholders and the Pre-IPO HoldCo Unitholders held OpCo Units and HoldCo Units, respectively, all of which are exchangeable for shares of our Class A common stock, and the Pre-IPO Blocker Holders held shares of Class C common stock, all of which are convertible into shares of our Class A common stock. Any shares we issue upon</w:t>
      </w:r>
    </w:p>
    <w:p>
      <w:pPr>
        <w:jc w:val="both"/>
        <w:spacing w:after="0" w:line="253" w:lineRule="auto"/>
        <w:rPr>
          <w:sz w:val="20"/>
          <w:szCs w:val="20"/>
          <w:color w:val="auto"/>
        </w:rPr>
      </w:pPr>
      <w:r>
        <w:rPr>
          <w:rFonts w:ascii="Arial" w:cs="Arial" w:eastAsia="Arial" w:hAnsi="Arial"/>
          <w:sz w:val="18"/>
          <w:szCs w:val="18"/>
          <w:color w:val="auto"/>
        </w:rPr>
        <w:t>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 Moreover, as a result of the registration rights agreement, all or a portion of these shares may be eligible for future sale without restriction, subject to the lock-up arrangements described below. See “—Registration Rights” and “Certain Relationships and Related Person Transactions —Registration Rights Agreement.”</w:t>
      </w:r>
    </w:p>
    <w:p>
      <w:pPr>
        <w:spacing w:after="0" w:line="1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certain limitations and exceptions, pursuant to the terms of the amended and restated limited liability company agreement of ZoomInfo OpCo, the holders of Class P Units, which have a weighted-average per unit participation threshold (</w:t>
      </w:r>
      <w:r>
        <w:rPr>
          <w:rFonts w:ascii="Arial" w:cs="Arial" w:eastAsia="Arial" w:hAnsi="Arial"/>
          <w:sz w:val="18"/>
          <w:szCs w:val="18"/>
          <w:i w:val="1"/>
          <w:iCs w:val="1"/>
          <w:color w:val="auto"/>
        </w:rPr>
        <w:t>i.e.</w:t>
      </w:r>
      <w:r>
        <w:rPr>
          <w:rFonts w:ascii="Arial" w:cs="Arial" w:eastAsia="Arial" w:hAnsi="Arial"/>
          <w:sz w:val="18"/>
          <w:szCs w:val="18"/>
          <w:color w:val="auto"/>
        </w:rPr>
        <w:t>, the strike price) of $5.53 per Class P Unit, are able to exchange their Class P 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18,650,000 shares of Class A common stock may be granted under the 2020 Plan. In connection with the IPO, 513,440 restricted stock units, 47,620 LTIP Units, 577,879 stock options, which we refer to as “leverage restoration options,” with a strike price equal to the public offering price per share of Class A common stock, and 630,000 Class P Units with a participation threshold (</w:t>
      </w:r>
      <w:r>
        <w:rPr>
          <w:rFonts w:ascii="Arial" w:cs="Arial" w:eastAsia="Arial" w:hAnsi="Arial"/>
          <w:sz w:val="16"/>
          <w:szCs w:val="16"/>
          <w:i w:val="1"/>
          <w:iCs w:val="1"/>
          <w:color w:val="auto"/>
        </w:rPr>
        <w:t>i</w:t>
      </w:r>
      <w:r>
        <w:rPr>
          <w:rFonts w:ascii="Arial" w:cs="Arial" w:eastAsia="Arial" w:hAnsi="Arial"/>
          <w:sz w:val="16"/>
          <w:szCs w:val="16"/>
          <w:color w:val="auto"/>
        </w:rPr>
        <w:t>.</w:t>
      </w:r>
      <w:r>
        <w:rPr>
          <w:rFonts w:ascii="Arial" w:cs="Arial" w:eastAsia="Arial" w:hAnsi="Arial"/>
          <w:sz w:val="16"/>
          <w:szCs w:val="16"/>
          <w:i w:val="1"/>
          <w:iCs w:val="1"/>
          <w:color w:val="auto"/>
        </w:rPr>
        <w:t>e</w:t>
      </w:r>
      <w:r>
        <w:rPr>
          <w:rFonts w:ascii="Arial" w:cs="Arial" w:eastAsia="Arial" w:hAnsi="Arial"/>
          <w:sz w:val="16"/>
          <w:szCs w:val="16"/>
          <w:color w:val="auto"/>
        </w:rPr>
        <w:t>., strike price) equal to the initial public offering price per share of Class A common stock in the IPO were granted under the 2020 Plan. See “Executive Compensation—Compensation Arrangements Adopted in Connection with the IPO—2020 Omnibus Incentive Plan.” We have filed a registration statement on Form S-8 under the Securities Act to register shares of Class A common stock or securities convertible into or exchangeable for shares of Class A common stock issued under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21" w:right="339" w:bottom="1440" w:gutter="0" w:footer="0" w:header="0"/>
        </w:sectPr>
      </w:pPr>
    </w:p>
    <w:bookmarkStart w:id="215" w:name="page216"/>
    <w:bookmarkEnd w:id="21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covered by the 2020 Plan. Such Form S-8 registration statement automatically became effective upon filing. Accordingly, shares of Class A common stock registered under such registration statements are available for sale in the open market.</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liability company agreements of ZoomInfo OpCo and ZoomInfo HoldCo permit ZoomInfo OpCo and ZoomInfo HoldCo, respectively, to issue an unlimited number of additional limited liability company interests of ZoomInfo OpCo or ZoomInfo HoldCo, as applicable, with designations, preferences, rights, powers, and duties that are different from, and may be senior to, those applicable to the OpCo Units or the HoldCo Units, as applicable, and which may be exchangeable for shares of our Class A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the IPO, we entered into a registration rights agreement with certain of our pre-IPO owners pursuant to which we granted them and their affiliates the right, under certain circumstances and subject to certain restrictions, to require us to register under the Securities Act shares of Class A common stock delivered in exchange for OpCo Units or HoldCo Units, as applicable, or upon the conversion of shares of Class C common stock. Following completion of this offering and assuming exchange of all OpCo Units and HoldCo Units held by the Pre-IPO OpCo Unitholders and the Pre-IPO HoldCo Unitholders, respectively, and conversion of all shares of Class C common stock held by the Pre-IPO Blocker Holders, the shares covered by registration rights represent approximately % of our outstanding Class A common stock (or %, if the underwriters exercise in full their option to purchase additional shares). These shares also may be sold under Rule 144 under the Securities Act, depending on their holding period and subject to restrictions in the case of shares held by persons deemed to be our affiliates. See “Certain Relationships and Related Person Transactions—Registration Rights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connection with the IPO, we, our executive officers, our directors, the holders of all of our Class C common stock, the holders of substantially all of our outstanding OpCo Units, and certain holders of our HoldCo Units agreed, subject to enumerated exceptions, that we and they will not offer, sell, contract to sell or otherwise dispose of, directly or indirectly, any shares of our Class A common stock or securities convertible into or exercisable or exchangeable for shares of our Class A common stock, including our Class B and Class C common stock, or enter into any swap or other arrangement that transfers to another, in whole or in part, any of the economic consequences of ownership of our Class A common stock, whether any of these transactions are to be settled by delivery of our Class A common stock or other securities, in cash or otherwise, or publicly disclose the intention to undertake any of the foregoing, without, in each case, the prior written consent of certain underwriters for a period of 180 days after June 3, 2020. The lock-up agreements do not preclude holders of OpCo Units or HoldCo Units from exchanging such units (together with a corresponding number of shares of our Class B common stock) for shares of our Class A common stock or holders of shares of Class C common stock from converting such shares into shares of our Class A common stock, provided that shares of Class A common stock acquired in connection with any such exchanges or conversions, as applicable, will be subject to the restrictions provided for in the lock-up agreements. For a discussion of the exceptions to the lock-up agreements, see “Underwriting.”</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this offering, J.P. Morgan Securities LLC and Morgan Stanley &amp; Co. LLC, as representatives of the several underwriters of the IPO,</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have agreed to release the restrictions under the lock-up agreements that were executed in connection with the IPO with respect to up to shares (or up to shares including the underwriters option to purchase additional shares) of our Class A common stock in this offering that are held by the</w:t>
      </w:r>
    </w:p>
    <w:p>
      <w:pPr>
        <w:jc w:val="both"/>
        <w:spacing w:after="0" w:line="260" w:lineRule="auto"/>
        <w:rPr>
          <w:sz w:val="20"/>
          <w:szCs w:val="20"/>
          <w:color w:val="auto"/>
        </w:rPr>
      </w:pPr>
      <w:r>
        <w:rPr>
          <w:rFonts w:ascii="Arial" w:cs="Arial" w:eastAsia="Arial" w:hAnsi="Arial"/>
          <w:sz w:val="18"/>
          <w:szCs w:val="18"/>
          <w:color w:val="auto"/>
        </w:rPr>
        <w:t>selling stockholders, which includes shares owned by entities affiliated with certain of our directors, provided that the release of shares of our Class A common stock held by the selling stockholders is limited to the shares actually sold in this offering.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21" w:right="339" w:bottom="1440" w:gutter="0" w:footer="0" w:header="0"/>
        </w:sectPr>
      </w:pPr>
    </w:p>
    <w:bookmarkStart w:id="216" w:name="page217"/>
    <w:bookmarkEnd w:id="21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to the existing lock-up agreements that were executed in connection with the IPO, the selling stockholders have entered into lock-up</w:t>
      </w:r>
    </w:p>
    <w:p>
      <w:pPr>
        <w:spacing w:after="0" w:line="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agreements in connection with this offering, on substantially similar terms, which expire days from the date of this prospectus. See “Underwriting”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 registration statement of which this prospectus forms a part,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on the Nasdaq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3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21" w:right="339" w:bottom="1440" w:gutter="0" w:footer="0" w:header="0"/>
        </w:sectPr>
      </w:pPr>
    </w:p>
    <w:bookmarkStart w:id="217" w:name="page218"/>
    <w:bookmarkEnd w:id="21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w:t>
      </w:r>
    </w:p>
    <w:p>
      <w:pPr>
        <w:spacing w:after="0" w:line="46" w:lineRule="exact"/>
        <w:rPr>
          <w:sz w:val="20"/>
          <w:szCs w:val="20"/>
          <w:color w:val="auto"/>
        </w:rPr>
      </w:pPr>
    </w:p>
    <w:p>
      <w:pPr>
        <w:jc w:val="both"/>
        <w:ind w:firstLine="967"/>
        <w:spacing w:after="0" w:line="260" w:lineRule="auto"/>
        <w:rPr>
          <w:sz w:val="20"/>
          <w:szCs w:val="20"/>
          <w:color w:val="auto"/>
        </w:rPr>
      </w:pPr>
      <w:r>
        <w:rPr>
          <w:rFonts w:ascii="Arial" w:cs="Arial" w:eastAsia="Arial" w:hAnsi="Arial"/>
          <w:sz w:val="18"/>
          <w:szCs w:val="18"/>
          <w:color w:val="auto"/>
        </w:rPr>
        <w:t>and are acting as representatives, have severally agreed to purchase, and the selling stockholders have agreed to sell to them, the number of shares of Class A common stock indicated below:</w:t>
      </w:r>
    </w:p>
    <w:p>
      <w:pPr>
        <w:spacing w:after="0" w:line="177" w:lineRule="exact"/>
        <w:rPr>
          <w:sz w:val="20"/>
          <w:szCs w:val="20"/>
          <w:color w:val="auto"/>
        </w:rPr>
      </w:pPr>
    </w:p>
    <w:p>
      <w:pPr>
        <w:ind w:left="20"/>
        <w:spacing w:after="0"/>
        <w:tabs>
          <w:tab w:leader="none" w:pos="97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40640</wp:posOffset>
            </wp:positionV>
            <wp:extent cx="11315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the selling stockholders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 The underwriting agreement also provides that if an underwriter defaults, the purchase commitments of non-defaulting underwriters may also be increased or the offering may be terminated.</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underwriters initially propose to offer part of the shares of Class A common stock directly to the public at the offering price listed on the cover</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page of this prospectus and part to certain dealers at a price that represents a concession not in excess of $ per share under the public offering price. After the initial offering of the shares of Class A common stock, the offering price and other selling terms may from time to time be varied by the representatives. Sales of shares of Class A common stock made outside of the United States may be made by affiliates of the underwriters.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selling stockholders have granted to the underwriters an option, exercisable for 30 days from the date of this prospectus, to purchase up</w:t>
      </w:r>
    </w:p>
    <w:p>
      <w:pPr>
        <w:spacing w:after="0" w:line="3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to additional shares of Class A common stock at the public offering price listed on the cover page of this prospectus, less the underwriting discount.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per share and total public offering price, the underwriting discount and proceeds to the selling stockholders. These</w:t>
      </w:r>
    </w:p>
    <w:p>
      <w:pPr>
        <w:spacing w:after="0" w:line="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amounts are shown assuming both no exercise and full exercise of the underwriters’ option to purchase up to an additional shares of Class A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488"/>
              <w:spacing w:after="0"/>
              <w:rPr>
                <w:sz w:val="20"/>
                <w:szCs w:val="20"/>
                <w:color w:val="auto"/>
              </w:rPr>
            </w:pPr>
            <w:r>
              <w:rPr>
                <w:rFonts w:ascii="Arial" w:cs="Arial" w:eastAsia="Arial" w:hAnsi="Arial"/>
                <w:sz w:val="14"/>
                <w:szCs w:val="14"/>
                <w:b w:val="1"/>
                <w:bCs w:val="1"/>
                <w:color w:val="auto"/>
              </w:rPr>
              <w:t>Total</w:t>
            </w:r>
          </w:p>
        </w:tc>
      </w:tr>
      <w:tr>
        <w:trPr>
          <w:trHeight w:val="197"/>
        </w:trPr>
        <w:tc>
          <w:tcPr>
            <w:tcW w:w="59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No Exercise</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Full Exercise</w:t>
            </w: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660" w:type="dxa"/>
            <w:vAlign w:val="bottom"/>
            <w:tcBorders>
              <w:bottom w:val="single" w:sz="8" w:color="CCEEFF"/>
            </w:tcBorders>
            <w:shd w:val="clear" w:color="auto" w:fill="CCEEFF"/>
          </w:tcPr>
          <w:p>
            <w:pPr>
              <w:jc w:val="right"/>
              <w:ind w:right="145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5"/>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gridSpan w:val="3"/>
            <w:shd w:val="clear" w:color="auto" w:fill="CCEEFF"/>
          </w:tcPr>
          <w:p>
            <w:pPr>
              <w:jc w:val="right"/>
              <w:ind w:right="1488"/>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Underwriting discount to be paid by the selling stockholders</w:t>
            </w:r>
          </w:p>
        </w:tc>
        <w:tc>
          <w:tcPr>
            <w:tcW w:w="1660" w:type="dxa"/>
            <w:vAlign w:val="bottom"/>
          </w:tcPr>
          <w:p>
            <w:pPr>
              <w:jc w:val="right"/>
              <w:ind w:right="145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80" w:type="dxa"/>
            <w:vAlign w:val="bottom"/>
          </w:tcPr>
          <w:p>
            <w:pPr>
              <w:jc w:val="right"/>
              <w:ind w:right="1195"/>
              <w:spacing w:after="0"/>
              <w:rPr>
                <w:sz w:val="20"/>
                <w:szCs w:val="20"/>
                <w:color w:val="auto"/>
              </w:rPr>
            </w:pPr>
            <w:r>
              <w:rPr>
                <w:rFonts w:ascii="Arial" w:cs="Arial" w:eastAsia="Arial" w:hAnsi="Arial"/>
                <w:sz w:val="18"/>
                <w:szCs w:val="18"/>
                <w:color w:val="auto"/>
                <w:w w:val="79"/>
              </w:rPr>
              <w:t>$</w:t>
            </w:r>
          </w:p>
        </w:tc>
        <w:tc>
          <w:tcPr>
            <w:tcW w:w="2060" w:type="dxa"/>
            <w:vAlign w:val="bottom"/>
            <w:gridSpan w:val="3"/>
          </w:tcPr>
          <w:p>
            <w:pPr>
              <w:jc w:val="right"/>
              <w:ind w:right="1488"/>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to the selling stockholders</w:t>
            </w:r>
          </w:p>
        </w:tc>
        <w:tc>
          <w:tcPr>
            <w:tcW w:w="1660" w:type="dxa"/>
            <w:vAlign w:val="bottom"/>
            <w:shd w:val="clear" w:color="auto" w:fill="CCEEFF"/>
          </w:tcPr>
          <w:p>
            <w:pPr>
              <w:jc w:val="right"/>
              <w:ind w:right="145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95"/>
              <w:spacing w:after="0"/>
              <w:rPr>
                <w:sz w:val="20"/>
                <w:szCs w:val="20"/>
                <w:color w:val="auto"/>
              </w:rPr>
            </w:pPr>
            <w:r>
              <w:rPr>
                <w:rFonts w:ascii="Arial" w:cs="Arial" w:eastAsia="Arial" w:hAnsi="Arial"/>
                <w:sz w:val="18"/>
                <w:szCs w:val="18"/>
                <w:color w:val="auto"/>
                <w:w w:val="79"/>
              </w:rPr>
              <w:t>$</w:t>
            </w:r>
          </w:p>
        </w:tc>
        <w:tc>
          <w:tcPr>
            <w:tcW w:w="2060" w:type="dxa"/>
            <w:vAlign w:val="bottom"/>
            <w:gridSpan w:val="3"/>
            <w:shd w:val="clear" w:color="auto" w:fill="CCEEFF"/>
          </w:tcPr>
          <w:p>
            <w:pPr>
              <w:jc w:val="right"/>
              <w:ind w:right="1488"/>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estimated offering expenses payable by us, exclusive of the underwriting discount, are approximately $ . The selling stockholders will bear the underwriting discount attributable to their sale of shares of our Class A common stock, and we will bear the remaining expenses. We have agreed to</w:t>
      </w:r>
    </w:p>
    <w:p>
      <w:pPr>
        <w:spacing w:after="0" w:line="290" w:lineRule="auto"/>
        <w:rPr>
          <w:sz w:val="20"/>
          <w:szCs w:val="20"/>
          <w:color w:val="auto"/>
        </w:rPr>
      </w:pPr>
      <w:r>
        <w:rPr>
          <w:rFonts w:ascii="Arial" w:cs="Arial" w:eastAsia="Arial" w:hAnsi="Arial"/>
          <w:sz w:val="17"/>
          <w:szCs w:val="17"/>
          <w:color w:val="auto"/>
        </w:rPr>
        <w:t>reimburse the underwriters for expenses relating to clearance of this offering with the Financial Industry Regulatory Authority, Inc. up to $ . The underwriters have agreed to reimburse us for certain expenses incurred by us in connection with this offering upon closing of the offering.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21" w:right="339" w:bottom="1440" w:gutter="0" w:footer="0" w:header="0"/>
        </w:sectPr>
      </w:pPr>
    </w:p>
    <w:bookmarkStart w:id="218" w:name="page219"/>
    <w:bookmarkEnd w:id="21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listed on the Nasdaq under the trading symbol “ZI.”</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IPO, we, our executive officers, our directors, the holders of all of our Class C common stock, the holders of substantially all of our outstanding OpCo Units, and certain holders of our HoldCo Units have agreed that, without the prior written consent of certain underwriters on behalf of the underwriters, we and they will not, during the period ending 180 days after June 3, 2020 (the “restricted period”):</w:t>
      </w:r>
    </w:p>
    <w:p>
      <w:pPr>
        <w:spacing w:after="0" w:line="111" w:lineRule="exact"/>
        <w:rPr>
          <w:sz w:val="20"/>
          <w:szCs w:val="20"/>
          <w:color w:val="auto"/>
        </w:rPr>
      </w:pPr>
    </w:p>
    <w:p>
      <w:pPr>
        <w:jc w:val="both"/>
        <w:ind w:left="660" w:hanging="328"/>
        <w:spacing w:after="0" w:line="259"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offer,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our Class A common stock, including our Class B and Class C common stock (the “securities”), whether any such transaction is to be settled by delivery of such securities, in cash or otherwise;</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such securities, whether any such transaction is to be settled by delivery of such securities, in cash or otherwise;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our case, publicly file any registration statement with the SEC relating to the offering of any such securities;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in each case, publicly disclose the intention to undertake any of the foregoing. In addition, each such officer, director, stockholder, or unitholder has agreed that such person will not, without the prior written consent of J.P. Morgan Securities LLC and Morgan Stanley &amp; Co. LLC, during the restricted period, make any demand for, or exercise any right with respect to, the registration of any such securities.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restrictions described in the immediately preceding paragraph are subject to certain exceptions, including customary exceptions related to open-market transactions in our Class A common stock, issuances or transfers in connection with incentive plans, establishment of Rule 10b5-1 plans, exchanges of OpCo Units and HoldCo Units and corresponding number of shares of Class B common stock for shares of Class A common stock, and conversions of shares of Class C common stock into shares of Class A common stock.</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J.P. Morgan Securities LLC and Morgan Stanley &amp; Co. LLC, in their sole discretion, may release the securities of our officers, directors, stockholders, and unitholders subject to the lock-up agreements described above in whole or in part at any time, and the majority (based on the relative percentage of shares of our Class A common stock being underwritten by such underwriters) of J.P. Morgan Securities LLC, Morgan Stanley &amp; Co. LLC, Barclays Capital Inc. and Credit Suisse Securities (USA) LLC, in their sole discretion, may release us from the lock-up agreement described above in whole or in party from time to time.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this offering, J.P. Morgan Securities LLC and Morgan Stanley &amp; Co. LLC, as representatives of the several underwriters of the IPO,</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have agreed to release the restrictions under the lock-up agreements that were executed in connection with the IPO with respect to up to shares (or up to shares including the underwriters option to purchase additional shares) of our Class A common stock in this offering that are held by the</w:t>
      </w:r>
    </w:p>
    <w:p>
      <w:pPr>
        <w:jc w:val="both"/>
        <w:spacing w:after="0" w:line="260" w:lineRule="auto"/>
        <w:rPr>
          <w:sz w:val="20"/>
          <w:szCs w:val="20"/>
          <w:color w:val="auto"/>
        </w:rPr>
      </w:pPr>
      <w:r>
        <w:rPr>
          <w:rFonts w:ascii="Arial" w:cs="Arial" w:eastAsia="Arial" w:hAnsi="Arial"/>
          <w:sz w:val="18"/>
          <w:szCs w:val="18"/>
          <w:color w:val="auto"/>
        </w:rPr>
        <w:t>selling stockholders, which includes shares owned by entities affiliated with certain of our directors, provided that the release of shares of our common stock held by the selling stockholders is limited to the shares actually sold in this offering.</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to the existing lock-up agreements that were executed in connection with the IPO, the selling stockholders have entered into lock-up</w:t>
      </w:r>
    </w:p>
    <w:p>
      <w:pPr>
        <w:spacing w:after="0" w:line="35" w:lineRule="exact"/>
        <w:rPr>
          <w:sz w:val="20"/>
          <w:szCs w:val="20"/>
          <w:color w:val="auto"/>
        </w:rPr>
      </w:pPr>
    </w:p>
    <w:p>
      <w:pPr>
        <w:spacing w:after="0"/>
        <w:tabs>
          <w:tab w:leader="none" w:pos="6900" w:val="left"/>
        </w:tabs>
        <w:rPr>
          <w:sz w:val="20"/>
          <w:szCs w:val="20"/>
          <w:color w:val="auto"/>
        </w:rPr>
      </w:pPr>
      <w:r>
        <w:rPr>
          <w:rFonts w:ascii="Arial" w:cs="Arial" w:eastAsia="Arial" w:hAnsi="Arial"/>
          <w:sz w:val="18"/>
          <w:szCs w:val="18"/>
          <w:color w:val="auto"/>
        </w:rPr>
        <w:t>agreements in connection with this offering, on substantially similar terms, which expire</w:t>
      </w:r>
      <w:r>
        <w:rPr>
          <w:sz w:val="20"/>
          <w:szCs w:val="20"/>
          <w:color w:val="auto"/>
        </w:rPr>
        <w:tab/>
      </w:r>
      <w:r>
        <w:rPr>
          <w:rFonts w:ascii="Arial" w:cs="Arial" w:eastAsia="Arial" w:hAnsi="Arial"/>
          <w:sz w:val="16"/>
          <w:szCs w:val="16"/>
          <w:color w:val="auto"/>
        </w:rPr>
        <w:t>days from the date of this prospectus.</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order to facilitate the offering of the Class A common stock, the underwriters may engage in transactions that stabilize, maintain, or otherwise affect the price of the Class A common stock. Specifically, the underwriters may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21" w:right="339" w:bottom="1440" w:gutter="0" w:footer="0" w:header="0"/>
        </w:sectPr>
      </w:pPr>
    </w:p>
    <w:bookmarkStart w:id="219" w:name="page220"/>
    <w:bookmarkEnd w:id="21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shares in this offering. As an additional means of facilitating this offering, the underwriters may bid for, and purchase, shares of Class A common stock in the open market to stabilize the price of the Class A common stock. 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purchase common stock in the open market in stabilizing transactions or to cover short sales, the representatives can require the underwriters that sold those shares as part of this offering to repay the underwriting discount received by them.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The underwriters may carry out these transactions on the Nasdaq, in the over-the-counter market, or otherwise.</w:t>
      </w:r>
    </w:p>
    <w:p>
      <w:pPr>
        <w:spacing w:after="0" w:line="1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the selling stockholders, and the underwriters have agreed to indemnify each other against certain liabilities, including liabilities under the Securities Act, or to contribute to payments that may be required to be made in respect of those liabilities.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 A prospectus in electronic format may be made available on websites maintained by one or more underwriters or selling group members, if any, participating in this offering. The representatives may agree to allocate a number of shares of Class A common stock to underwriters and selling group members, if any, for sale to their online brokerage account holders. Internet distributions will be allocated by the representatives to underwriters and selling group members, if any, that may make internet distributions on the same basis as other allocations.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or our respective affiliates, for which they received or will receive customary fees, commissions, and expenses.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in the United States, no action has been taken by us, the underwriters, or the selling stockholders that would permit a public offering of the shares of Class A common stock offered by this prospectus in any jurisdiction where action for that purpose is required. The shares of Class A common stock offered by this prospectus may not be offered or sold, directly or indirectly, nor may this prospectus or any other offering material or advertisements 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21" w:right="339" w:bottom="1440" w:gutter="0" w:footer="0" w:header="0"/>
        </w:sectPr>
      </w:pPr>
    </w:p>
    <w:bookmarkStart w:id="220" w:name="page221"/>
    <w:bookmarkEnd w:id="22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Class A common stock offered by this prospectus in any jurisdiction in which such an offer or a solicitation is unlawful.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shares of our Class A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our Class A common stock must be made in accordance with an exemption from, or in a transaction not subject to, the prospectus requirements of applicable securities laws.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 and United Kingdom</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offer to the public of any shares of our Class A common stock may be made in that Member State, except that an offer to the public in that Relevant State of any shares of our Class A common stock may be made at any time under the following exemptions under the Prospectus Directive:</w:t>
      </w:r>
    </w:p>
    <w:p>
      <w:pPr>
        <w:spacing w:after="0" w:line="130" w:lineRule="exact"/>
        <w:rPr>
          <w:sz w:val="20"/>
          <w:szCs w:val="20"/>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71"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underwriter of a prospectus pursuant to Article 3 of the Prospectus Directive, or supplement a prospectus pursuant to Article 16 of the Prospectus Directive.</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Each person located in a Relevant State to whom any offer of shares of Class A common stock is made or who receives any communication in respect of an offer of shares of Class A common stock, or who initially acquires any shares of Class A common stock, will be deemed to have represented, warranted, acknowledged and agreed to and with us and each underwriter that (1) it is a “qualified investor” within the meaning of the law in that Relevant State implementing Article 2(1)(e) of the Prospectus Directive; and (2) in the case of any shares of Class A common stock acquired by it as a financial intermediary as that term is used in Article 3(2) of the Prospectus Directive, the shares of Class A common stock acquired by it in the offer have not been acquired on behalf of, nor have they been acquired with a view to their offer or resale to, persons in any Relevant State other than qualified investors, as that term is defined in the Prospectus Directive, or in circumstances in which the prior consent of the representatives has been given to the offer or resale, or where shares of Class A common stock have been acquired by it on behalf of</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21" w:right="339" w:bottom="1440" w:gutter="0" w:footer="0" w:header="0"/>
        </w:sectPr>
      </w:pPr>
    </w:p>
    <w:bookmarkStart w:id="221" w:name="page222"/>
    <w:bookmarkEnd w:id="22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persons in any Relevant State other than qualified investors, the offer of those shares of Class A common stock to it is not treated under the Prospectus Directive as having been made to such persons.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the underwriters and our and their respective affiliates will rely upon the truth and accuracy of the foregoing representations, acknowledgments and agreements.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prospectus has been prepared on the basis that any offer of shares of Class A common stock in any Relevant State will be made pursuant to an exemption under the Prospectus Directive from the requirement to publish a prospectus for offers of shares of Class A common stock. Accordingly, any person making or intending to make an offer in that Relevant State of shares of Class A common stock which are the subject of the offering contemplated in this prospectus may only do so in circumstances in which no obligation arises for us or any of underwriter to publish a prospectus pursuant to Article 3 of the Prospectus Directive in relation to such offer. Neither we nor the underwriters have authorized, nor do they authorize, the making of any offer of shares of Class A common stock in circumstances in which an obligation arises for us or the underwriters to publish a prospectus for such offer.</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the purposes of this provision: (i) the expression an “offer to the public” in relation to any shares of our Class A common stock in any Relevant State means the communication in any form and by any means of sufficient information on the terms of the offer and any shares of our Class A common stock to be offered so as to enable an investor to decide to purchase any shares of our Class A common stock, as the same may be varied in that Relevant State by any measure implementing the Prospectus Directive in that Relevant State; and (ii) the expression “Prospectus Directive” means Prospectus Regulation (EU) 2017/1129 (as amended) and includes any relevant implementing measure in each Relevant State.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jc w:val="both"/>
        <w:ind w:left="660" w:hanging="328"/>
        <w:spacing w:after="0" w:line="259" w:lineRule="auto"/>
        <w:tabs>
          <w:tab w:leader="none" w:pos="65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Class A common stock in circumstances in which Section 21(1) of the FSMA does not apply to us; and</w:t>
      </w:r>
    </w:p>
    <w:p>
      <w:pPr>
        <w:spacing w:after="0" w:line="132"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prospectus is not intended to constitute an offer or solicitation to purchase or invest in our shares of Class A common stock. The shares of Class A common stock may not be publicly offered, directly or indirectly, in Switzerland within the meaning of the Swiss Financial Services Act (“FinSA”) and no application has or will be made to admit the shares of Class A common stock to trading on any trading venue (exchange or multilateral trading facility) in Switzerland. Neither this prospectus nor any other offering or marketing material relating to the shares of Class A common stock constitutes a prospectus pursuant to the FinSA, and neither this prospectus nor any other offering or marketing material relating to the shares of Class A common stock may be publicly distributed or otherwise made publicly available in Switzerland.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21" w:right="339" w:bottom="1440" w:gutter="0" w:footer="0" w:header="0"/>
        </w:sectPr>
      </w:pPr>
    </w:p>
    <w:bookmarkStart w:id="222" w:name="page223"/>
    <w:bookmarkEnd w:id="22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that are or are intended to be disposed of only to persons outside Hong Kong or only to “professional investors” within the meaning of the Securities and Futures Ordinance (Cap. 571, Laws of Hong Kong) and any rules made thereunder.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 the shares of our Class A common stock are subscribed or purchased under Section 275 of the SFA by a relevant person which is:</w:t>
      </w:r>
    </w:p>
    <w:p>
      <w:pPr>
        <w:spacing w:after="0" w:line="183" w:lineRule="exact"/>
        <w:rPr>
          <w:sz w:val="20"/>
          <w:szCs w:val="20"/>
          <w:color w:val="auto"/>
        </w:rPr>
      </w:pPr>
    </w:p>
    <w:p>
      <w:pPr>
        <w:ind w:left="660" w:hanging="328"/>
        <w:spacing w:after="0" w:line="277" w:lineRule="auto"/>
        <w:tabs>
          <w:tab w:leader="none" w:pos="65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Class A common stock pursuant to an offer made under Section 275 of the SFA except:</w:t>
      </w:r>
    </w:p>
    <w:p>
      <w:pPr>
        <w:spacing w:after="0" w:line="130" w:lineRule="exact"/>
        <w:rPr>
          <w:sz w:val="20"/>
          <w:szCs w:val="20"/>
          <w:color w:val="auto"/>
        </w:rPr>
      </w:pPr>
    </w:p>
    <w:p>
      <w:pPr>
        <w:ind w:left="660" w:right="20" w:hanging="328"/>
        <w:spacing w:after="0" w:line="277" w:lineRule="auto"/>
        <w:tabs>
          <w:tab w:leader="none" w:pos="65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121" w:right="339" w:bottom="1440" w:gutter="0" w:footer="0" w:header="0"/>
        </w:sectPr>
      </w:pPr>
    </w:p>
    <w:bookmarkStart w:id="223" w:name="page224"/>
    <w:bookmarkEnd w:id="22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Singapore SFA Product Classification - In connection with Section 309B of the SFA and the CMP Regulations 2018, unless otherwise specified before an offer of shares of our Class A common stock, we have determined, and hereby notify, all relevant persons (as defined in Section 309A(1) of the SFA), that shares of our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Non-QII Investors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w:t>
      </w:r>
      <w:r>
        <w:rPr>
          <w:rFonts w:ascii="Arial" w:cs="Arial" w:eastAsia="Arial" w:hAnsi="Arial"/>
          <w:sz w:val="18"/>
          <w:szCs w:val="18"/>
          <w:i w:val="1"/>
          <w:iCs w:val="1"/>
          <w:color w:val="auto"/>
        </w:rPr>
        <w:t>en bloc</w:t>
      </w:r>
      <w:r>
        <w:rPr>
          <w:rFonts w:ascii="Arial" w:cs="Arial" w:eastAsia="Arial" w:hAnsi="Arial"/>
          <w:sz w:val="18"/>
          <w:szCs w:val="18"/>
          <w:color w:val="auto"/>
        </w:rPr>
        <w:t xml:space="preserve"> without subdivision to a single investor.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offer in Australia of the shares of Class A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21" w:right="339" w:bottom="1440" w:gutter="0" w:footer="0" w:header="0"/>
        </w:sectPr>
      </w:pPr>
    </w:p>
    <w:bookmarkStart w:id="224" w:name="page225"/>
    <w:bookmarkEnd w:id="22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complies with Chapter 6D of the Corporations Act. Any person acquiring shares of Class A common stock must observe such Australian on-sale restrictions.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21" w:right="339" w:bottom="1440" w:gutter="0" w:footer="0" w:header="0"/>
        </w:sectPr>
      </w:pPr>
    </w:p>
    <w:bookmarkStart w:id="225" w:name="page226"/>
    <w:bookmarkEnd w:id="22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validity of the shares of Class A common stock will be passed upon for us by Simpson Thacher &amp; Bartlett LLP, New York, New York. Certain legal matters in connection with this offering will be passed upon for the underwriters by Latham &amp; Watkins LLP, New York, New York.</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balance sheets of ZoomInfo Technologies Inc. as of December 31, 2019 and November 14, 2019 and the consolidated financial statements of DiscoverOrg Holdings, LLC as of December 31, 2019 and 2018 and for the years then ended have been included herein and in the registration statement in reliance upon the reports of KPMG LLP, independent registered public accounting firm, appearing elsewhere herein, and upon the authority of said firm as experts in accounting and auditing. The audit report covering the December 31, 2019 consolidated financial statements of DiscoverOrg Holdings, LLC refers to a change in the method of accounting for leases due to the adoption of Accounting Standards Codification Topic 842,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consolidated financial statements of Zoom Information, Inc. and Subsidiaries as of January 31, 2019 and December 31, 2018 and for the period from January 1, 2019 through January 31, 2019 and the year ended December 31, 2018 have been audited by RSM US LLP, independent auditors, as stated in their report thereon, and are included in this prospectus and registration statement in reliance upon such report and upon the authority of such firm as experts in accounting and auditing.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Arial" w:cs="Arial" w:eastAsia="Arial" w:hAnsi="Arial"/>
          <w:sz w:val="17"/>
          <w:szCs w:val="17"/>
          <w:i w:val="1"/>
          <w:iCs w:val="1"/>
          <w:color w:val="auto"/>
        </w:rPr>
        <w:t>http://www.sec.gov.</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We maintain an internet site at </w:t>
      </w:r>
      <w:r>
        <w:rPr>
          <w:rFonts w:ascii="Arial" w:cs="Arial" w:eastAsia="Arial" w:hAnsi="Arial"/>
          <w:sz w:val="18"/>
          <w:szCs w:val="18"/>
          <w:i w:val="1"/>
          <w:iCs w:val="1"/>
          <w:color w:val="auto"/>
        </w:rPr>
        <w:t>http://www.zoominfo.com</w:t>
      </w:r>
      <w:r>
        <w:rPr>
          <w:rFonts w:ascii="Arial" w:cs="Arial" w:eastAsia="Arial" w:hAnsi="Arial"/>
          <w:sz w:val="18"/>
          <w:szCs w:val="18"/>
          <w:color w:val="auto"/>
        </w:rPr>
        <w:t>. The information on, or accessible from, our website is not part of this prospectus by reference or otherwise.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We are subject to the informational requirements of the Exchange Act and are required to file reports and other information with the SEC at </w:t>
      </w:r>
      <w:r>
        <w:rPr>
          <w:rFonts w:ascii="Arial" w:cs="Arial" w:eastAsia="Arial" w:hAnsi="Arial"/>
          <w:sz w:val="17"/>
          <w:szCs w:val="17"/>
          <w:i w:val="1"/>
          <w:iCs w:val="1"/>
          <w:color w:val="auto"/>
        </w:rPr>
        <w:t xml:space="preserve">http://www.sec.gov. </w:t>
      </w:r>
      <w:r>
        <w:rPr>
          <w:rFonts w:ascii="Arial" w:cs="Arial" w:eastAsia="Arial" w:hAnsi="Arial"/>
          <w:sz w:val="17"/>
          <w:szCs w:val="17"/>
          <w:color w:val="auto"/>
        </w:rPr>
        <w:t>You may inspect copies of these materials without charge at the SEC’s website. We intend to make available to our Class A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annual reports containing consolidated financial statements audited by an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21" w:right="339" w:bottom="1440" w:gutter="0" w:footer="0" w:header="0"/>
        </w:sectPr>
      </w:pPr>
    </w:p>
    <w:bookmarkStart w:id="226" w:name="page227"/>
    <w:bookmarkEnd w:id="226"/>
    <w:p>
      <w:pPr>
        <w:jc w:val="center"/>
        <w:ind w:right="-5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040" w:type="dxa"/>
            <w:vAlign w:val="bottom"/>
            <w:gridSpan w:val="2"/>
          </w:tcPr>
          <w:p>
            <w:pPr>
              <w:jc w:val="center"/>
              <w:ind w:right="2720"/>
              <w:spacing w:after="0"/>
              <w:rPr>
                <w:sz w:val="20"/>
                <w:szCs w:val="20"/>
                <w:color w:val="auto"/>
              </w:rPr>
            </w:pPr>
            <w:r>
              <w:rPr>
                <w:rFonts w:ascii="Arial" w:cs="Arial" w:eastAsia="Arial" w:hAnsi="Arial"/>
                <w:sz w:val="18"/>
                <w:szCs w:val="18"/>
                <w:b w:val="1"/>
                <w:bCs w:val="1"/>
                <w:color w:val="auto"/>
              </w:rPr>
              <w:t>INDEX TO FINANCIAL STATEMENTS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10480" w:type="dxa"/>
            <w:vAlign w:val="bottom"/>
            <w:gridSpan w:val="4"/>
          </w:tcPr>
          <w:p>
            <w:pPr>
              <w:ind w:left="40"/>
              <w:spacing w:after="0"/>
              <w:rPr>
                <w:sz w:val="20"/>
                <w:szCs w:val="20"/>
                <w:color w:val="auto"/>
              </w:rPr>
            </w:pPr>
            <w:r>
              <w:rPr>
                <w:rFonts w:ascii="Arial" w:cs="Arial" w:eastAsia="Arial" w:hAnsi="Arial"/>
                <w:sz w:val="18"/>
                <w:szCs w:val="18"/>
                <w:b w:val="1"/>
                <w:bCs w:val="1"/>
                <w:color w:val="auto"/>
              </w:rPr>
              <w:t>Audited Balance Sheet of ZoomInfo Technologies Inc.</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Arial" w:cs="Arial" w:eastAsia="Arial" w:hAnsi="Arial"/>
                <w:sz w:val="18"/>
                <w:szCs w:val="18"/>
                <w:u w:val="single" w:color="auto"/>
                <w:color w:val="0000FF"/>
              </w:rPr>
            </w:pPr>
            <w:hyperlink w:anchor="page228">
              <w:r>
                <w:rPr>
                  <w:rFonts w:ascii="Arial" w:cs="Arial" w:eastAsia="Arial" w:hAnsi="Arial"/>
                  <w:sz w:val="18"/>
                  <w:szCs w:val="18"/>
                  <w:u w:val="single" w:color="auto"/>
                  <w:color w:val="0000FF"/>
                </w:rPr>
                <w:t>Report of Independent Registered Public Accounting Firm</w:t>
              </w:r>
            </w:hyperlink>
          </w:p>
        </w:tc>
        <w:tc>
          <w:tcPr>
            <w:tcW w:w="540" w:type="dxa"/>
            <w:vAlign w:val="bottom"/>
          </w:tcPr>
          <w:p>
            <w:pPr>
              <w:jc w:val="center"/>
              <w:ind w:left="90"/>
              <w:spacing w:after="0"/>
              <w:rPr>
                <w:rFonts w:ascii="Arial" w:cs="Arial" w:eastAsia="Arial" w:hAnsi="Arial"/>
                <w:sz w:val="18"/>
                <w:szCs w:val="18"/>
                <w:color w:val="auto"/>
                <w:w w:val="88"/>
              </w:rPr>
            </w:pPr>
            <w:hyperlink w:anchor="page228">
              <w:r>
                <w:rPr>
                  <w:rFonts w:ascii="Arial" w:cs="Arial" w:eastAsia="Arial" w:hAnsi="Arial"/>
                  <w:sz w:val="18"/>
                  <w:szCs w:val="18"/>
                  <w:color w:val="auto"/>
                  <w:w w:val="88"/>
                </w:rPr>
                <w:t>F-2</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Arial" w:cs="Arial" w:eastAsia="Arial" w:hAnsi="Arial"/>
                <w:sz w:val="18"/>
                <w:szCs w:val="18"/>
                <w:u w:val="single" w:color="auto"/>
                <w:color w:val="0000FF"/>
              </w:rPr>
            </w:pPr>
            <w:hyperlink w:anchor="page228">
              <w:r>
                <w:rPr>
                  <w:rFonts w:ascii="Arial" w:cs="Arial" w:eastAsia="Arial" w:hAnsi="Arial"/>
                  <w:sz w:val="18"/>
                  <w:szCs w:val="18"/>
                  <w:u w:val="single" w:color="auto"/>
                  <w:color w:val="0000FF"/>
                </w:rPr>
                <w:t>Balance Sheets as of December 31, 2019 and November 14, 2019</w:t>
              </w:r>
            </w:hyperlink>
          </w:p>
        </w:tc>
        <w:tc>
          <w:tcPr>
            <w:tcW w:w="540" w:type="dxa"/>
            <w:vAlign w:val="bottom"/>
          </w:tcPr>
          <w:p>
            <w:pPr>
              <w:jc w:val="center"/>
              <w:ind w:left="90"/>
              <w:spacing w:after="0"/>
              <w:rPr>
                <w:rFonts w:ascii="Arial" w:cs="Arial" w:eastAsia="Arial" w:hAnsi="Arial"/>
                <w:sz w:val="18"/>
                <w:szCs w:val="18"/>
                <w:color w:val="auto"/>
                <w:w w:val="88"/>
              </w:rPr>
            </w:pPr>
            <w:hyperlink w:anchor="page228">
              <w:r>
                <w:rPr>
                  <w:rFonts w:ascii="Arial" w:cs="Arial" w:eastAsia="Arial" w:hAnsi="Arial"/>
                  <w:sz w:val="18"/>
                  <w:szCs w:val="18"/>
                  <w:color w:val="auto"/>
                  <w:w w:val="88"/>
                </w:rPr>
                <w:t>F-3</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Arial" w:cs="Arial" w:eastAsia="Arial" w:hAnsi="Arial"/>
                <w:sz w:val="18"/>
                <w:szCs w:val="18"/>
                <w:u w:val="single" w:color="auto"/>
                <w:color w:val="0000FF"/>
              </w:rPr>
            </w:pPr>
            <w:hyperlink w:anchor="page229">
              <w:r>
                <w:rPr>
                  <w:rFonts w:ascii="Arial" w:cs="Arial" w:eastAsia="Arial" w:hAnsi="Arial"/>
                  <w:sz w:val="18"/>
                  <w:szCs w:val="18"/>
                  <w:u w:val="single" w:color="auto"/>
                  <w:color w:val="0000FF"/>
                </w:rPr>
                <w:t>Notes to Balance Sheet</w:t>
              </w:r>
            </w:hyperlink>
          </w:p>
        </w:tc>
        <w:tc>
          <w:tcPr>
            <w:tcW w:w="540" w:type="dxa"/>
            <w:vAlign w:val="bottom"/>
          </w:tcPr>
          <w:p>
            <w:pPr>
              <w:jc w:val="center"/>
              <w:ind w:left="90"/>
              <w:spacing w:after="0"/>
              <w:rPr>
                <w:rFonts w:ascii="Arial" w:cs="Arial" w:eastAsia="Arial" w:hAnsi="Arial"/>
                <w:sz w:val="18"/>
                <w:szCs w:val="18"/>
                <w:color w:val="auto"/>
                <w:w w:val="88"/>
              </w:rPr>
            </w:pPr>
            <w:hyperlink w:anchor="page229">
              <w:r>
                <w:rPr>
                  <w:rFonts w:ascii="Arial" w:cs="Arial" w:eastAsia="Arial" w:hAnsi="Arial"/>
                  <w:sz w:val="18"/>
                  <w:szCs w:val="18"/>
                  <w:color w:val="auto"/>
                  <w:w w:val="88"/>
                </w:rPr>
                <w:t>F-4</w:t>
              </w:r>
            </w:hyperlink>
          </w:p>
        </w:tc>
        <w:tc>
          <w:tcPr>
            <w:tcW w:w="0" w:type="dxa"/>
            <w:vAlign w:val="bottom"/>
          </w:tcPr>
          <w:p>
            <w:pPr>
              <w:spacing w:after="0"/>
              <w:rPr>
                <w:sz w:val="1"/>
                <w:szCs w:val="1"/>
                <w:color w:val="auto"/>
              </w:rPr>
            </w:pPr>
          </w:p>
        </w:tc>
      </w:tr>
      <w:tr>
        <w:trPr>
          <w:trHeight w:val="485"/>
        </w:trPr>
        <w:tc>
          <w:tcPr>
            <w:tcW w:w="10480" w:type="dxa"/>
            <w:vAlign w:val="bottom"/>
            <w:gridSpan w:val="4"/>
          </w:tcPr>
          <w:p>
            <w:pPr>
              <w:ind w:left="40"/>
              <w:spacing w:after="0"/>
              <w:rPr>
                <w:sz w:val="20"/>
                <w:szCs w:val="20"/>
                <w:color w:val="auto"/>
              </w:rPr>
            </w:pPr>
            <w:r>
              <w:rPr>
                <w:rFonts w:ascii="Arial" w:cs="Arial" w:eastAsia="Arial" w:hAnsi="Arial"/>
                <w:sz w:val="18"/>
                <w:szCs w:val="18"/>
                <w:b w:val="1"/>
                <w:bCs w:val="1"/>
                <w:color w:val="auto"/>
              </w:rPr>
              <w:t>Unaudited Balance Sheet of ZoomInfo Technologies Inc.</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Arial" w:cs="Arial" w:eastAsia="Arial" w:hAnsi="Arial"/>
                <w:sz w:val="18"/>
                <w:szCs w:val="18"/>
                <w:u w:val="single" w:color="auto"/>
                <w:color w:val="0000FF"/>
              </w:rPr>
            </w:pPr>
            <w:hyperlink w:anchor="page231">
              <w:r>
                <w:rPr>
                  <w:rFonts w:ascii="Arial" w:cs="Arial" w:eastAsia="Arial" w:hAnsi="Arial"/>
                  <w:sz w:val="18"/>
                  <w:szCs w:val="18"/>
                  <w:u w:val="single" w:color="auto"/>
                  <w:color w:val="0000FF"/>
                </w:rPr>
                <w:t>Balance Sheets as of March 31, 2020 and December 31, 2019</w:t>
              </w:r>
            </w:hyperlink>
          </w:p>
        </w:tc>
        <w:tc>
          <w:tcPr>
            <w:tcW w:w="540" w:type="dxa"/>
            <w:vAlign w:val="bottom"/>
          </w:tcPr>
          <w:p>
            <w:pPr>
              <w:jc w:val="center"/>
              <w:ind w:left="90"/>
              <w:spacing w:after="0"/>
              <w:rPr>
                <w:rFonts w:ascii="Arial" w:cs="Arial" w:eastAsia="Arial" w:hAnsi="Arial"/>
                <w:sz w:val="18"/>
                <w:szCs w:val="18"/>
                <w:color w:val="auto"/>
                <w:w w:val="88"/>
              </w:rPr>
            </w:pPr>
            <w:hyperlink w:anchor="page231">
              <w:r>
                <w:rPr>
                  <w:rFonts w:ascii="Arial" w:cs="Arial" w:eastAsia="Arial" w:hAnsi="Arial"/>
                  <w:sz w:val="18"/>
                  <w:szCs w:val="18"/>
                  <w:color w:val="auto"/>
                  <w:w w:val="88"/>
                </w:rPr>
                <w:t>F-5</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Arial" w:cs="Arial" w:eastAsia="Arial" w:hAnsi="Arial"/>
                <w:sz w:val="18"/>
                <w:szCs w:val="18"/>
                <w:u w:val="single" w:color="auto"/>
                <w:color w:val="0000FF"/>
              </w:rPr>
            </w:pPr>
            <w:hyperlink w:anchor="page231">
              <w:r>
                <w:rPr>
                  <w:rFonts w:ascii="Arial" w:cs="Arial" w:eastAsia="Arial" w:hAnsi="Arial"/>
                  <w:sz w:val="18"/>
                  <w:szCs w:val="18"/>
                  <w:u w:val="single" w:color="auto"/>
                  <w:color w:val="0000FF"/>
                </w:rPr>
                <w:t>Notes to Balance Sheet</w:t>
              </w:r>
            </w:hyperlink>
          </w:p>
        </w:tc>
        <w:tc>
          <w:tcPr>
            <w:tcW w:w="540" w:type="dxa"/>
            <w:vAlign w:val="bottom"/>
          </w:tcPr>
          <w:p>
            <w:pPr>
              <w:jc w:val="center"/>
              <w:ind w:left="90"/>
              <w:spacing w:after="0"/>
              <w:rPr>
                <w:rFonts w:ascii="Arial" w:cs="Arial" w:eastAsia="Arial" w:hAnsi="Arial"/>
                <w:sz w:val="18"/>
                <w:szCs w:val="18"/>
                <w:color w:val="auto"/>
                <w:w w:val="88"/>
              </w:rPr>
            </w:pPr>
            <w:hyperlink w:anchor="page231">
              <w:r>
                <w:rPr>
                  <w:rFonts w:ascii="Arial" w:cs="Arial" w:eastAsia="Arial" w:hAnsi="Arial"/>
                  <w:sz w:val="18"/>
                  <w:szCs w:val="18"/>
                  <w:color w:val="auto"/>
                  <w:w w:val="88"/>
                </w:rPr>
                <w:t>F-6</w:t>
              </w:r>
            </w:hyperlink>
          </w:p>
        </w:tc>
        <w:tc>
          <w:tcPr>
            <w:tcW w:w="0" w:type="dxa"/>
            <w:vAlign w:val="bottom"/>
          </w:tcPr>
          <w:p>
            <w:pPr>
              <w:spacing w:after="0"/>
              <w:rPr>
                <w:sz w:val="1"/>
                <w:szCs w:val="1"/>
                <w:color w:val="auto"/>
              </w:rPr>
            </w:pPr>
          </w:p>
        </w:tc>
      </w:tr>
      <w:tr>
        <w:trPr>
          <w:trHeight w:val="485"/>
        </w:trPr>
        <w:tc>
          <w:tcPr>
            <w:tcW w:w="10480" w:type="dxa"/>
            <w:vAlign w:val="bottom"/>
            <w:gridSpan w:val="4"/>
          </w:tcPr>
          <w:p>
            <w:pPr>
              <w:ind w:left="40"/>
              <w:spacing w:after="0"/>
              <w:rPr>
                <w:sz w:val="20"/>
                <w:szCs w:val="20"/>
                <w:color w:val="auto"/>
              </w:rPr>
            </w:pPr>
            <w:r>
              <w:rPr>
                <w:rFonts w:ascii="Arial" w:cs="Arial" w:eastAsia="Arial" w:hAnsi="Arial"/>
                <w:sz w:val="18"/>
                <w:szCs w:val="18"/>
                <w:b w:val="1"/>
                <w:bCs w:val="1"/>
                <w:color w:val="auto"/>
              </w:rPr>
              <w:t>Audited Consolidated Financial Statements of DiscoverOrg Holdings, LLC (“ZoomInfo OpCo”) and Subsidiaries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Arial" w:cs="Arial" w:eastAsia="Arial" w:hAnsi="Arial"/>
                <w:sz w:val="18"/>
                <w:szCs w:val="18"/>
                <w:u w:val="single" w:color="auto"/>
                <w:color w:val="0000FF"/>
              </w:rPr>
            </w:pPr>
            <w:hyperlink w:anchor="page233">
              <w:r>
                <w:rPr>
                  <w:rFonts w:ascii="Arial" w:cs="Arial" w:eastAsia="Arial" w:hAnsi="Arial"/>
                  <w:sz w:val="18"/>
                  <w:szCs w:val="18"/>
                  <w:u w:val="single" w:color="auto"/>
                  <w:color w:val="0000FF"/>
                </w:rPr>
                <w:t>Report of Independent Registered Public Accounting Firm</w:t>
              </w:r>
            </w:hyperlink>
          </w:p>
        </w:tc>
        <w:tc>
          <w:tcPr>
            <w:tcW w:w="540" w:type="dxa"/>
            <w:vAlign w:val="bottom"/>
          </w:tcPr>
          <w:p>
            <w:pPr>
              <w:jc w:val="center"/>
              <w:ind w:left="90"/>
              <w:spacing w:after="0"/>
              <w:rPr>
                <w:rFonts w:ascii="Arial" w:cs="Arial" w:eastAsia="Arial" w:hAnsi="Arial"/>
                <w:sz w:val="18"/>
                <w:szCs w:val="18"/>
                <w:color w:val="auto"/>
                <w:w w:val="88"/>
              </w:rPr>
            </w:pPr>
            <w:hyperlink w:anchor="page233">
              <w:r>
                <w:rPr>
                  <w:rFonts w:ascii="Arial" w:cs="Arial" w:eastAsia="Arial" w:hAnsi="Arial"/>
                  <w:sz w:val="18"/>
                  <w:szCs w:val="18"/>
                  <w:color w:val="auto"/>
                  <w:w w:val="88"/>
                </w:rPr>
                <w:t>F-7</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Arial" w:cs="Arial" w:eastAsia="Arial" w:hAnsi="Arial"/>
                <w:sz w:val="18"/>
                <w:szCs w:val="18"/>
                <w:u w:val="single" w:color="auto"/>
                <w:color w:val="0000FF"/>
              </w:rPr>
            </w:pPr>
            <w:hyperlink w:anchor="page233">
              <w:r>
                <w:rPr>
                  <w:rFonts w:ascii="Arial" w:cs="Arial" w:eastAsia="Arial" w:hAnsi="Arial"/>
                  <w:sz w:val="18"/>
                  <w:szCs w:val="18"/>
                  <w:u w:val="single" w:color="auto"/>
                  <w:color w:val="0000FF"/>
                </w:rPr>
                <w:t>Consolidated Balance Sheets as of December 31, 2019 and December 31, 2018</w:t>
              </w:r>
            </w:hyperlink>
          </w:p>
        </w:tc>
        <w:tc>
          <w:tcPr>
            <w:tcW w:w="540" w:type="dxa"/>
            <w:vAlign w:val="bottom"/>
          </w:tcPr>
          <w:p>
            <w:pPr>
              <w:jc w:val="center"/>
              <w:ind w:left="90"/>
              <w:spacing w:after="0"/>
              <w:rPr>
                <w:rFonts w:ascii="Arial" w:cs="Arial" w:eastAsia="Arial" w:hAnsi="Arial"/>
                <w:sz w:val="18"/>
                <w:szCs w:val="18"/>
                <w:color w:val="auto"/>
                <w:w w:val="88"/>
              </w:rPr>
            </w:pPr>
            <w:hyperlink w:anchor="page233">
              <w:r>
                <w:rPr>
                  <w:rFonts w:ascii="Arial" w:cs="Arial" w:eastAsia="Arial" w:hAnsi="Arial"/>
                  <w:sz w:val="18"/>
                  <w:szCs w:val="18"/>
                  <w:color w:val="auto"/>
                  <w:w w:val="88"/>
                </w:rPr>
                <w:t>F-8</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Arial" w:cs="Arial" w:eastAsia="Arial" w:hAnsi="Arial"/>
                <w:sz w:val="18"/>
                <w:szCs w:val="18"/>
                <w:u w:val="single" w:color="auto"/>
                <w:color w:val="0000FF"/>
              </w:rPr>
            </w:pPr>
            <w:hyperlink w:anchor="page234">
              <w:r>
                <w:rPr>
                  <w:rFonts w:ascii="Arial" w:cs="Arial" w:eastAsia="Arial" w:hAnsi="Arial"/>
                  <w:sz w:val="18"/>
                  <w:szCs w:val="18"/>
                  <w:u w:val="single" w:color="auto"/>
                  <w:color w:val="0000FF"/>
                </w:rPr>
                <w:t>Consolidated Statements of Operations for the Years Ended December 31, 2019 and December 31, 2018</w:t>
              </w:r>
            </w:hyperlink>
          </w:p>
        </w:tc>
        <w:tc>
          <w:tcPr>
            <w:tcW w:w="540" w:type="dxa"/>
            <w:vAlign w:val="bottom"/>
          </w:tcPr>
          <w:p>
            <w:pPr>
              <w:jc w:val="center"/>
              <w:ind w:left="90"/>
              <w:spacing w:after="0"/>
              <w:rPr>
                <w:rFonts w:ascii="Arial" w:cs="Arial" w:eastAsia="Arial" w:hAnsi="Arial"/>
                <w:sz w:val="18"/>
                <w:szCs w:val="18"/>
                <w:color w:val="auto"/>
                <w:w w:val="88"/>
              </w:rPr>
            </w:pPr>
            <w:hyperlink w:anchor="page234">
              <w:r>
                <w:rPr>
                  <w:rFonts w:ascii="Arial" w:cs="Arial" w:eastAsia="Arial" w:hAnsi="Arial"/>
                  <w:sz w:val="18"/>
                  <w:szCs w:val="18"/>
                  <w:color w:val="auto"/>
                  <w:w w:val="88"/>
                </w:rPr>
                <w:t>F-9</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Arial" w:cs="Arial" w:eastAsia="Arial" w:hAnsi="Arial"/>
                <w:sz w:val="18"/>
                <w:szCs w:val="18"/>
                <w:u w:val="single" w:color="auto"/>
                <w:color w:val="0000FF"/>
              </w:rPr>
            </w:pPr>
            <w:hyperlink w:anchor="page235">
              <w:r>
                <w:rPr>
                  <w:rFonts w:ascii="Arial" w:cs="Arial" w:eastAsia="Arial" w:hAnsi="Arial"/>
                  <w:sz w:val="18"/>
                  <w:szCs w:val="18"/>
                  <w:u w:val="single" w:color="auto"/>
                  <w:color w:val="0000FF"/>
                </w:rPr>
                <w:t>Consolidated Statements of Comprehensive Loss for the Years Ended December 31, 2019 and December 31, 2018</w:t>
              </w:r>
            </w:hyperlink>
          </w:p>
        </w:tc>
        <w:tc>
          <w:tcPr>
            <w:tcW w:w="540" w:type="dxa"/>
            <w:vAlign w:val="bottom"/>
          </w:tcPr>
          <w:p>
            <w:pPr>
              <w:jc w:val="center"/>
              <w:ind w:left="110"/>
              <w:spacing w:after="0"/>
              <w:rPr>
                <w:rFonts w:ascii="Arial" w:cs="Arial" w:eastAsia="Arial" w:hAnsi="Arial"/>
                <w:sz w:val="18"/>
                <w:szCs w:val="18"/>
                <w:color w:val="auto"/>
                <w:w w:val="91"/>
              </w:rPr>
            </w:pPr>
            <w:hyperlink w:anchor="page235">
              <w:r>
                <w:rPr>
                  <w:rFonts w:ascii="Arial" w:cs="Arial" w:eastAsia="Arial" w:hAnsi="Arial"/>
                  <w:sz w:val="18"/>
                  <w:szCs w:val="18"/>
                  <w:color w:val="auto"/>
                  <w:w w:val="91"/>
                </w:rPr>
                <w:t>F-10</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Arial" w:cs="Arial" w:eastAsia="Arial" w:hAnsi="Arial"/>
                <w:sz w:val="18"/>
                <w:szCs w:val="18"/>
                <w:u w:val="single" w:color="auto"/>
                <w:color w:val="0000FF"/>
              </w:rPr>
            </w:pPr>
            <w:hyperlink w:anchor="page236">
              <w:r>
                <w:rPr>
                  <w:rFonts w:ascii="Arial" w:cs="Arial" w:eastAsia="Arial" w:hAnsi="Arial"/>
                  <w:sz w:val="18"/>
                  <w:szCs w:val="18"/>
                  <w:u w:val="single" w:color="auto"/>
                  <w:color w:val="0000FF"/>
                </w:rPr>
                <w:t>Consolidated Statements of Changes in Members’ Deficit for the Years Ended December 31, 2019 and December 31, 2018</w:t>
              </w:r>
            </w:hyperlink>
          </w:p>
        </w:tc>
        <w:tc>
          <w:tcPr>
            <w:tcW w:w="540" w:type="dxa"/>
            <w:vAlign w:val="bottom"/>
          </w:tcPr>
          <w:p>
            <w:pPr>
              <w:jc w:val="center"/>
              <w:ind w:left="90"/>
              <w:spacing w:after="0"/>
              <w:rPr>
                <w:rFonts w:ascii="Arial" w:cs="Arial" w:eastAsia="Arial" w:hAnsi="Arial"/>
                <w:sz w:val="18"/>
                <w:szCs w:val="18"/>
                <w:color w:val="auto"/>
                <w:w w:val="86"/>
              </w:rPr>
            </w:pPr>
            <w:hyperlink w:anchor="page236">
              <w:r>
                <w:rPr>
                  <w:rFonts w:ascii="Arial" w:cs="Arial" w:eastAsia="Arial" w:hAnsi="Arial"/>
                  <w:sz w:val="18"/>
                  <w:szCs w:val="18"/>
                  <w:color w:val="auto"/>
                  <w:w w:val="86"/>
                </w:rPr>
                <w:t>F-11</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Arial" w:cs="Arial" w:eastAsia="Arial" w:hAnsi="Arial"/>
                <w:sz w:val="18"/>
                <w:szCs w:val="18"/>
                <w:u w:val="single" w:color="auto"/>
                <w:color w:val="0000FF"/>
              </w:rPr>
            </w:pPr>
            <w:hyperlink w:anchor="page237">
              <w:r>
                <w:rPr>
                  <w:rFonts w:ascii="Arial" w:cs="Arial" w:eastAsia="Arial" w:hAnsi="Arial"/>
                  <w:sz w:val="18"/>
                  <w:szCs w:val="18"/>
                  <w:u w:val="single" w:color="auto"/>
                  <w:color w:val="0000FF"/>
                </w:rPr>
                <w:t>Consolidated Statements of Cash Flows for the Years Ended December 31, 2019 and December 31, 2018</w:t>
              </w:r>
            </w:hyperlink>
          </w:p>
        </w:tc>
        <w:tc>
          <w:tcPr>
            <w:tcW w:w="540" w:type="dxa"/>
            <w:vAlign w:val="bottom"/>
          </w:tcPr>
          <w:p>
            <w:pPr>
              <w:jc w:val="center"/>
              <w:ind w:left="110"/>
              <w:spacing w:after="0"/>
              <w:rPr>
                <w:rFonts w:ascii="Arial" w:cs="Arial" w:eastAsia="Arial" w:hAnsi="Arial"/>
                <w:sz w:val="18"/>
                <w:szCs w:val="18"/>
                <w:color w:val="auto"/>
                <w:w w:val="91"/>
              </w:rPr>
            </w:pPr>
            <w:hyperlink w:anchor="page237">
              <w:r>
                <w:rPr>
                  <w:rFonts w:ascii="Arial" w:cs="Arial" w:eastAsia="Arial" w:hAnsi="Arial"/>
                  <w:sz w:val="18"/>
                  <w:szCs w:val="18"/>
                  <w:color w:val="auto"/>
                  <w:w w:val="91"/>
                </w:rPr>
                <w:t>F-12</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Arial" w:cs="Arial" w:eastAsia="Arial" w:hAnsi="Arial"/>
                <w:sz w:val="18"/>
                <w:szCs w:val="18"/>
                <w:u w:val="single" w:color="auto"/>
                <w:color w:val="0000FF"/>
              </w:rPr>
            </w:pPr>
            <w:hyperlink w:anchor="page238">
              <w:r>
                <w:rPr>
                  <w:rFonts w:ascii="Arial" w:cs="Arial" w:eastAsia="Arial" w:hAnsi="Arial"/>
                  <w:sz w:val="18"/>
                  <w:szCs w:val="18"/>
                  <w:u w:val="single" w:color="auto"/>
                  <w:color w:val="0000FF"/>
                </w:rPr>
                <w:t>Notes to Consolidated Financial Statements</w:t>
              </w:r>
            </w:hyperlink>
          </w:p>
        </w:tc>
        <w:tc>
          <w:tcPr>
            <w:tcW w:w="540" w:type="dxa"/>
            <w:vAlign w:val="bottom"/>
          </w:tcPr>
          <w:p>
            <w:pPr>
              <w:jc w:val="center"/>
              <w:ind w:left="110"/>
              <w:spacing w:after="0"/>
              <w:rPr>
                <w:rFonts w:ascii="Arial" w:cs="Arial" w:eastAsia="Arial" w:hAnsi="Arial"/>
                <w:sz w:val="18"/>
                <w:szCs w:val="18"/>
                <w:color w:val="auto"/>
                <w:w w:val="91"/>
              </w:rPr>
            </w:pPr>
            <w:hyperlink w:anchor="page238">
              <w:r>
                <w:rPr>
                  <w:rFonts w:ascii="Arial" w:cs="Arial" w:eastAsia="Arial" w:hAnsi="Arial"/>
                  <w:sz w:val="18"/>
                  <w:szCs w:val="18"/>
                  <w:color w:val="auto"/>
                  <w:w w:val="91"/>
                </w:rPr>
                <w:t>F-13</w:t>
              </w:r>
            </w:hyperlink>
          </w:p>
        </w:tc>
        <w:tc>
          <w:tcPr>
            <w:tcW w:w="0" w:type="dxa"/>
            <w:vAlign w:val="bottom"/>
          </w:tcPr>
          <w:p>
            <w:pPr>
              <w:spacing w:after="0"/>
              <w:rPr>
                <w:sz w:val="1"/>
                <w:szCs w:val="1"/>
                <w:color w:val="auto"/>
              </w:rPr>
            </w:pPr>
          </w:p>
        </w:tc>
      </w:tr>
      <w:tr>
        <w:trPr>
          <w:trHeight w:val="485"/>
        </w:trPr>
        <w:tc>
          <w:tcPr>
            <w:tcW w:w="10480" w:type="dxa"/>
            <w:vAlign w:val="bottom"/>
            <w:gridSpan w:val="4"/>
          </w:tcPr>
          <w:p>
            <w:pPr>
              <w:ind w:left="40"/>
              <w:spacing w:after="0"/>
              <w:rPr>
                <w:sz w:val="20"/>
                <w:szCs w:val="20"/>
                <w:color w:val="auto"/>
              </w:rPr>
            </w:pPr>
            <w:r>
              <w:rPr>
                <w:rFonts w:ascii="Arial" w:cs="Arial" w:eastAsia="Arial" w:hAnsi="Arial"/>
                <w:sz w:val="18"/>
                <w:szCs w:val="18"/>
                <w:b w:val="1"/>
                <w:bCs w:val="1"/>
                <w:color w:val="auto"/>
              </w:rPr>
              <w:t>Unaudited Consolidated Financial Statements of ZoomInfo Holdings LLC (“ZoomInfo OpCo”) and Subsidiaries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80" w:type="dxa"/>
            <w:vAlign w:val="bottom"/>
            <w:gridSpan w:val="4"/>
          </w:tcPr>
          <w:p>
            <w:pPr>
              <w:ind w:left="40"/>
              <w:spacing w:after="0"/>
              <w:rPr>
                <w:rFonts w:ascii="Arial" w:cs="Arial" w:eastAsia="Arial" w:hAnsi="Arial"/>
                <w:sz w:val="18"/>
                <w:szCs w:val="18"/>
                <w:u w:val="single" w:color="auto"/>
                <w:color w:val="0000FF"/>
              </w:rPr>
            </w:pPr>
            <w:hyperlink w:anchor="page270">
              <w:r>
                <w:rPr>
                  <w:rFonts w:ascii="Arial" w:cs="Arial" w:eastAsia="Arial" w:hAnsi="Arial"/>
                  <w:sz w:val="18"/>
                  <w:szCs w:val="18"/>
                  <w:u w:val="single" w:color="auto"/>
                  <w:color w:val="0000FF"/>
                </w:rPr>
                <w:t>Consolidated Balance Sheets as of March 31, 2020 and December 31, 2019</w:t>
              </w:r>
            </w:hyperlink>
          </w:p>
        </w:tc>
        <w:tc>
          <w:tcPr>
            <w:tcW w:w="540" w:type="dxa"/>
            <w:vAlign w:val="bottom"/>
          </w:tcPr>
          <w:p>
            <w:pPr>
              <w:jc w:val="center"/>
              <w:ind w:left="110"/>
              <w:spacing w:after="0"/>
              <w:rPr>
                <w:rFonts w:ascii="Arial" w:cs="Arial" w:eastAsia="Arial" w:hAnsi="Arial"/>
                <w:sz w:val="18"/>
                <w:szCs w:val="18"/>
                <w:color w:val="auto"/>
                <w:w w:val="91"/>
              </w:rPr>
            </w:pPr>
            <w:hyperlink w:anchor="page270">
              <w:r>
                <w:rPr>
                  <w:rFonts w:ascii="Arial" w:cs="Arial" w:eastAsia="Arial" w:hAnsi="Arial"/>
                  <w:sz w:val="18"/>
                  <w:szCs w:val="18"/>
                  <w:color w:val="auto"/>
                  <w:w w:val="91"/>
                </w:rPr>
                <w:t>F-44</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ind w:left="40"/>
              <w:spacing w:after="0"/>
              <w:rPr>
                <w:rFonts w:ascii="Arial" w:cs="Arial" w:eastAsia="Arial" w:hAnsi="Arial"/>
                <w:sz w:val="18"/>
                <w:szCs w:val="18"/>
                <w:u w:val="single" w:color="auto"/>
                <w:color w:val="0000FF"/>
              </w:rPr>
            </w:pPr>
            <w:hyperlink w:anchor="page270">
              <w:r>
                <w:rPr>
                  <w:rFonts w:ascii="Arial" w:cs="Arial" w:eastAsia="Arial" w:hAnsi="Arial"/>
                  <w:sz w:val="18"/>
                  <w:szCs w:val="18"/>
                  <w:u w:val="single" w:color="auto"/>
                  <w:color w:val="0000FF"/>
                </w:rPr>
                <w:t>Consolidated Statements of Operations for the Three Months Ended March 31, 2020 and March 31, 2019</w:t>
              </w:r>
            </w:hyperlink>
          </w:p>
        </w:tc>
        <w:tc>
          <w:tcPr>
            <w:tcW w:w="540" w:type="dxa"/>
            <w:vAlign w:val="bottom"/>
          </w:tcPr>
          <w:p>
            <w:pPr>
              <w:jc w:val="center"/>
              <w:ind w:left="110"/>
              <w:spacing w:after="0"/>
              <w:rPr>
                <w:rFonts w:ascii="Arial" w:cs="Arial" w:eastAsia="Arial" w:hAnsi="Arial"/>
                <w:sz w:val="18"/>
                <w:szCs w:val="18"/>
                <w:color w:val="auto"/>
                <w:w w:val="91"/>
              </w:rPr>
            </w:pPr>
            <w:hyperlink w:anchor="page270">
              <w:r>
                <w:rPr>
                  <w:rFonts w:ascii="Arial" w:cs="Arial" w:eastAsia="Arial" w:hAnsi="Arial"/>
                  <w:sz w:val="18"/>
                  <w:szCs w:val="18"/>
                  <w:color w:val="auto"/>
                  <w:w w:val="91"/>
                </w:rPr>
                <w:t>F-45</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ind w:left="40"/>
              <w:spacing w:after="0"/>
              <w:rPr>
                <w:rFonts w:ascii="Arial" w:cs="Arial" w:eastAsia="Arial" w:hAnsi="Arial"/>
                <w:sz w:val="18"/>
                <w:szCs w:val="18"/>
                <w:u w:val="single" w:color="auto"/>
                <w:color w:val="0000FF"/>
              </w:rPr>
            </w:pPr>
            <w:hyperlink w:anchor="page271">
              <w:r>
                <w:rPr>
                  <w:rFonts w:ascii="Arial" w:cs="Arial" w:eastAsia="Arial" w:hAnsi="Arial"/>
                  <w:sz w:val="18"/>
                  <w:szCs w:val="18"/>
                  <w:u w:val="single" w:color="auto"/>
                  <w:color w:val="0000FF"/>
                </w:rPr>
                <w:t>Consolidated Statements of Comprehensive Loss for the Three Months Ended March 31, 2020 and March 31, 2019</w:t>
              </w:r>
            </w:hyperlink>
          </w:p>
        </w:tc>
        <w:tc>
          <w:tcPr>
            <w:tcW w:w="540" w:type="dxa"/>
            <w:vAlign w:val="bottom"/>
          </w:tcPr>
          <w:p>
            <w:pPr>
              <w:jc w:val="center"/>
              <w:ind w:left="110"/>
              <w:spacing w:after="0"/>
              <w:rPr>
                <w:rFonts w:ascii="Arial" w:cs="Arial" w:eastAsia="Arial" w:hAnsi="Arial"/>
                <w:sz w:val="18"/>
                <w:szCs w:val="18"/>
                <w:color w:val="auto"/>
                <w:w w:val="91"/>
              </w:rPr>
            </w:pPr>
            <w:hyperlink w:anchor="page271">
              <w:r>
                <w:rPr>
                  <w:rFonts w:ascii="Arial" w:cs="Arial" w:eastAsia="Arial" w:hAnsi="Arial"/>
                  <w:sz w:val="18"/>
                  <w:szCs w:val="18"/>
                  <w:color w:val="auto"/>
                  <w:w w:val="91"/>
                </w:rPr>
                <w:t>F-46</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ind w:left="40"/>
              <w:spacing w:after="0"/>
              <w:rPr>
                <w:rFonts w:ascii="Arial" w:cs="Arial" w:eastAsia="Arial" w:hAnsi="Arial"/>
                <w:sz w:val="18"/>
                <w:szCs w:val="18"/>
                <w:u w:val="single" w:color="auto"/>
                <w:color w:val="0000FF"/>
              </w:rPr>
            </w:pPr>
            <w:hyperlink w:anchor="page272">
              <w:r>
                <w:rPr>
                  <w:rFonts w:ascii="Arial" w:cs="Arial" w:eastAsia="Arial" w:hAnsi="Arial"/>
                  <w:sz w:val="18"/>
                  <w:szCs w:val="18"/>
                  <w:u w:val="single" w:color="auto"/>
                  <w:color w:val="0000FF"/>
                </w:rPr>
                <w:t>Consolidated Statements of Changes in Members’ Deficit for the Three Months Ended March 31, 2020 and March 31, 2019</w:t>
              </w:r>
            </w:hyperlink>
          </w:p>
        </w:tc>
        <w:tc>
          <w:tcPr>
            <w:tcW w:w="540" w:type="dxa"/>
            <w:vAlign w:val="bottom"/>
          </w:tcPr>
          <w:p>
            <w:pPr>
              <w:jc w:val="center"/>
              <w:ind w:left="110"/>
              <w:spacing w:after="0"/>
              <w:rPr>
                <w:rFonts w:ascii="Arial" w:cs="Arial" w:eastAsia="Arial" w:hAnsi="Arial"/>
                <w:sz w:val="18"/>
                <w:szCs w:val="18"/>
                <w:color w:val="auto"/>
                <w:w w:val="91"/>
              </w:rPr>
            </w:pPr>
            <w:hyperlink w:anchor="page272">
              <w:r>
                <w:rPr>
                  <w:rFonts w:ascii="Arial" w:cs="Arial" w:eastAsia="Arial" w:hAnsi="Arial"/>
                  <w:sz w:val="18"/>
                  <w:szCs w:val="18"/>
                  <w:color w:val="auto"/>
                  <w:w w:val="91"/>
                </w:rPr>
                <w:t>F-47</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ind w:left="40"/>
              <w:spacing w:after="0"/>
              <w:rPr>
                <w:rFonts w:ascii="Arial" w:cs="Arial" w:eastAsia="Arial" w:hAnsi="Arial"/>
                <w:sz w:val="18"/>
                <w:szCs w:val="18"/>
                <w:u w:val="single" w:color="auto"/>
                <w:color w:val="0000FF"/>
              </w:rPr>
            </w:pPr>
            <w:hyperlink w:anchor="page273">
              <w:r>
                <w:rPr>
                  <w:rFonts w:ascii="Arial" w:cs="Arial" w:eastAsia="Arial" w:hAnsi="Arial"/>
                  <w:sz w:val="18"/>
                  <w:szCs w:val="18"/>
                  <w:u w:val="single" w:color="auto"/>
                  <w:color w:val="0000FF"/>
                </w:rPr>
                <w:t>Consolidated Statements of Cash Flow for Three Months Ended March 31, 2020 and March 31, 2019</w:t>
              </w:r>
            </w:hyperlink>
          </w:p>
        </w:tc>
        <w:tc>
          <w:tcPr>
            <w:tcW w:w="540" w:type="dxa"/>
            <w:vAlign w:val="bottom"/>
          </w:tcPr>
          <w:p>
            <w:pPr>
              <w:jc w:val="center"/>
              <w:ind w:left="110"/>
              <w:spacing w:after="0"/>
              <w:rPr>
                <w:rFonts w:ascii="Arial" w:cs="Arial" w:eastAsia="Arial" w:hAnsi="Arial"/>
                <w:sz w:val="18"/>
                <w:szCs w:val="18"/>
                <w:color w:val="auto"/>
                <w:w w:val="91"/>
              </w:rPr>
            </w:pPr>
            <w:hyperlink w:anchor="page273">
              <w:r>
                <w:rPr>
                  <w:rFonts w:ascii="Arial" w:cs="Arial" w:eastAsia="Arial" w:hAnsi="Arial"/>
                  <w:sz w:val="18"/>
                  <w:szCs w:val="18"/>
                  <w:color w:val="auto"/>
                  <w:w w:val="91"/>
                </w:rPr>
                <w:t>F-48</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ind w:left="40"/>
              <w:spacing w:after="0"/>
              <w:rPr>
                <w:rFonts w:ascii="Arial" w:cs="Arial" w:eastAsia="Arial" w:hAnsi="Arial"/>
                <w:sz w:val="18"/>
                <w:szCs w:val="18"/>
                <w:u w:val="single" w:color="auto"/>
                <w:color w:val="0000FF"/>
              </w:rPr>
            </w:pPr>
            <w:hyperlink w:anchor="page274">
              <w:r>
                <w:rPr>
                  <w:rFonts w:ascii="Arial" w:cs="Arial" w:eastAsia="Arial" w:hAnsi="Arial"/>
                  <w:sz w:val="18"/>
                  <w:szCs w:val="18"/>
                  <w:u w:val="single" w:color="auto"/>
                  <w:color w:val="0000FF"/>
                </w:rPr>
                <w:t>Notes to Unaudited Consolidated Financial Statements</w:t>
              </w:r>
            </w:hyperlink>
          </w:p>
        </w:tc>
        <w:tc>
          <w:tcPr>
            <w:tcW w:w="540" w:type="dxa"/>
            <w:vAlign w:val="bottom"/>
          </w:tcPr>
          <w:p>
            <w:pPr>
              <w:jc w:val="center"/>
              <w:ind w:left="110"/>
              <w:spacing w:after="0"/>
              <w:rPr>
                <w:rFonts w:ascii="Arial" w:cs="Arial" w:eastAsia="Arial" w:hAnsi="Arial"/>
                <w:sz w:val="18"/>
                <w:szCs w:val="18"/>
                <w:color w:val="auto"/>
                <w:w w:val="91"/>
              </w:rPr>
            </w:pPr>
            <w:hyperlink w:anchor="page274">
              <w:r>
                <w:rPr>
                  <w:rFonts w:ascii="Arial" w:cs="Arial" w:eastAsia="Arial" w:hAnsi="Arial"/>
                  <w:sz w:val="18"/>
                  <w:szCs w:val="18"/>
                  <w:color w:val="auto"/>
                  <w:w w:val="91"/>
                </w:rPr>
                <w:t>F-49</w:t>
              </w:r>
            </w:hyperlink>
          </w:p>
        </w:tc>
        <w:tc>
          <w:tcPr>
            <w:tcW w:w="0" w:type="dxa"/>
            <w:vAlign w:val="bottom"/>
          </w:tcPr>
          <w:p>
            <w:pPr>
              <w:spacing w:after="0"/>
              <w:rPr>
                <w:sz w:val="1"/>
                <w:szCs w:val="1"/>
                <w:color w:val="auto"/>
              </w:rPr>
            </w:pPr>
          </w:p>
        </w:tc>
      </w:tr>
      <w:tr>
        <w:trPr>
          <w:trHeight w:val="485"/>
        </w:trPr>
        <w:tc>
          <w:tcPr>
            <w:tcW w:w="10480" w:type="dxa"/>
            <w:vAlign w:val="bottom"/>
            <w:gridSpan w:val="4"/>
          </w:tcPr>
          <w:p>
            <w:pPr>
              <w:ind w:left="40"/>
              <w:spacing w:after="0"/>
              <w:rPr>
                <w:sz w:val="20"/>
                <w:szCs w:val="20"/>
                <w:color w:val="auto"/>
              </w:rPr>
            </w:pPr>
            <w:r>
              <w:rPr>
                <w:rFonts w:ascii="Arial" w:cs="Arial" w:eastAsia="Arial" w:hAnsi="Arial"/>
                <w:sz w:val="18"/>
                <w:szCs w:val="18"/>
                <w:b w:val="1"/>
                <w:bCs w:val="1"/>
                <w:color w:val="auto"/>
              </w:rPr>
              <w:t>Audited Consolidated Financial Statements of Zoom Information, Inc. (“Pre-Acquisition ZI”) and Subsidiaries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Arial" w:cs="Arial" w:eastAsia="Arial" w:hAnsi="Arial"/>
                <w:sz w:val="18"/>
                <w:szCs w:val="18"/>
                <w:u w:val="single" w:color="auto"/>
                <w:color w:val="0000FF"/>
              </w:rPr>
            </w:pPr>
            <w:hyperlink w:anchor="page297">
              <w:r>
                <w:rPr>
                  <w:rFonts w:ascii="Arial" w:cs="Arial" w:eastAsia="Arial" w:hAnsi="Arial"/>
                  <w:sz w:val="18"/>
                  <w:szCs w:val="18"/>
                  <w:u w:val="single" w:color="auto"/>
                  <w:color w:val="0000FF"/>
                </w:rPr>
                <w:t>Report of Independent Registered Public Accounting Firm</w:t>
              </w:r>
            </w:hyperlink>
          </w:p>
        </w:tc>
        <w:tc>
          <w:tcPr>
            <w:tcW w:w="540" w:type="dxa"/>
            <w:vAlign w:val="bottom"/>
          </w:tcPr>
          <w:p>
            <w:pPr>
              <w:jc w:val="center"/>
              <w:ind w:left="110"/>
              <w:spacing w:after="0"/>
              <w:rPr>
                <w:rFonts w:ascii="Arial" w:cs="Arial" w:eastAsia="Arial" w:hAnsi="Arial"/>
                <w:sz w:val="18"/>
                <w:szCs w:val="18"/>
                <w:color w:val="auto"/>
                <w:w w:val="91"/>
              </w:rPr>
            </w:pPr>
            <w:hyperlink w:anchor="page297">
              <w:r>
                <w:rPr>
                  <w:rFonts w:ascii="Arial" w:cs="Arial" w:eastAsia="Arial" w:hAnsi="Arial"/>
                  <w:sz w:val="18"/>
                  <w:szCs w:val="18"/>
                  <w:color w:val="auto"/>
                  <w:w w:val="91"/>
                </w:rPr>
                <w:t>F-71</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Arial" w:cs="Arial" w:eastAsia="Arial" w:hAnsi="Arial"/>
                <w:sz w:val="18"/>
                <w:szCs w:val="18"/>
                <w:u w:val="single" w:color="auto"/>
                <w:color w:val="0000FF"/>
              </w:rPr>
            </w:pPr>
            <w:hyperlink w:anchor="page297">
              <w:r>
                <w:rPr>
                  <w:rFonts w:ascii="Arial" w:cs="Arial" w:eastAsia="Arial" w:hAnsi="Arial"/>
                  <w:sz w:val="18"/>
                  <w:szCs w:val="18"/>
                  <w:u w:val="single" w:color="auto"/>
                  <w:color w:val="0000FF"/>
                </w:rPr>
                <w:t>Consolidated Balance Sheets as of January 31, 2019 and December 31, 2018</w:t>
              </w:r>
            </w:hyperlink>
          </w:p>
        </w:tc>
        <w:tc>
          <w:tcPr>
            <w:tcW w:w="540" w:type="dxa"/>
            <w:vAlign w:val="bottom"/>
          </w:tcPr>
          <w:p>
            <w:pPr>
              <w:jc w:val="center"/>
              <w:ind w:left="110"/>
              <w:spacing w:after="0"/>
              <w:rPr>
                <w:rFonts w:ascii="Arial" w:cs="Arial" w:eastAsia="Arial" w:hAnsi="Arial"/>
                <w:sz w:val="18"/>
                <w:szCs w:val="18"/>
                <w:color w:val="auto"/>
                <w:w w:val="91"/>
              </w:rPr>
            </w:pPr>
            <w:hyperlink w:anchor="page297">
              <w:r>
                <w:rPr>
                  <w:rFonts w:ascii="Arial" w:cs="Arial" w:eastAsia="Arial" w:hAnsi="Arial"/>
                  <w:sz w:val="18"/>
                  <w:szCs w:val="18"/>
                  <w:color w:val="auto"/>
                  <w:w w:val="91"/>
                </w:rPr>
                <w:t>F-72</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Arial" w:cs="Arial" w:eastAsia="Arial" w:hAnsi="Arial"/>
                <w:sz w:val="18"/>
                <w:szCs w:val="18"/>
                <w:u w:val="single" w:color="auto"/>
                <w:color w:val="0000FF"/>
                <w:w w:val="91"/>
              </w:rPr>
            </w:pPr>
            <w:hyperlink w:anchor="page298">
              <w:r>
                <w:rPr>
                  <w:rFonts w:ascii="Arial" w:cs="Arial" w:eastAsia="Arial" w:hAnsi="Arial"/>
                  <w:sz w:val="18"/>
                  <w:szCs w:val="18"/>
                  <w:u w:val="single" w:color="auto"/>
                  <w:color w:val="0000FF"/>
                  <w:w w:val="91"/>
                </w:rPr>
                <w:t>Consolidated Statements of Operations for the Period from January 1, 2019 Through January 31, 2019 and the Year Ended December 31, 2018</w:t>
              </w:r>
            </w:hyperlink>
          </w:p>
        </w:tc>
        <w:tc>
          <w:tcPr>
            <w:tcW w:w="540" w:type="dxa"/>
            <w:vAlign w:val="bottom"/>
          </w:tcPr>
          <w:p>
            <w:pPr>
              <w:jc w:val="center"/>
              <w:ind w:left="110"/>
              <w:spacing w:after="0"/>
              <w:rPr>
                <w:rFonts w:ascii="Arial" w:cs="Arial" w:eastAsia="Arial" w:hAnsi="Arial"/>
                <w:sz w:val="18"/>
                <w:szCs w:val="18"/>
                <w:color w:val="auto"/>
                <w:w w:val="91"/>
              </w:rPr>
            </w:pPr>
            <w:hyperlink w:anchor="page298">
              <w:r>
                <w:rPr>
                  <w:rFonts w:ascii="Arial" w:cs="Arial" w:eastAsia="Arial" w:hAnsi="Arial"/>
                  <w:sz w:val="18"/>
                  <w:szCs w:val="18"/>
                  <w:color w:val="auto"/>
                  <w:w w:val="91"/>
                </w:rPr>
                <w:t>F-73</w:t>
              </w:r>
            </w:hyperlink>
          </w:p>
        </w:tc>
        <w:tc>
          <w:tcPr>
            <w:tcW w:w="0" w:type="dxa"/>
            <w:vAlign w:val="bottom"/>
          </w:tcPr>
          <w:p>
            <w:pPr>
              <w:spacing w:after="0"/>
              <w:rPr>
                <w:sz w:val="1"/>
                <w:szCs w:val="1"/>
                <w:color w:val="auto"/>
              </w:rPr>
            </w:pPr>
          </w:p>
        </w:tc>
      </w:tr>
      <w:tr>
        <w:trPr>
          <w:trHeight w:val="190"/>
        </w:trPr>
        <w:tc>
          <w:tcPr>
            <w:tcW w:w="10480" w:type="dxa"/>
            <w:vAlign w:val="bottom"/>
            <w:gridSpan w:val="4"/>
          </w:tcPr>
          <w:p>
            <w:pPr>
              <w:spacing w:after="0" w:line="190" w:lineRule="exact"/>
              <w:rPr>
                <w:rFonts w:ascii="Arial" w:cs="Arial" w:eastAsia="Arial" w:hAnsi="Arial"/>
                <w:sz w:val="18"/>
                <w:szCs w:val="18"/>
                <w:color w:val="0000FF"/>
                <w:w w:val="94"/>
              </w:rPr>
            </w:pPr>
            <w:hyperlink w:anchor="page299">
              <w:r>
                <w:rPr>
                  <w:rFonts w:ascii="Arial" w:cs="Arial" w:eastAsia="Arial" w:hAnsi="Arial"/>
                  <w:sz w:val="18"/>
                  <w:szCs w:val="18"/>
                  <w:color w:val="0000FF"/>
                  <w:w w:val="94"/>
                </w:rPr>
                <w:t>Consolidated Statements of Convertible Preferred Stock and Stockholders’ Equity for the Period from January 1, 2019 Through January 31,</w:t>
              </w:r>
            </w:hyperlink>
          </w:p>
        </w:tc>
        <w:tc>
          <w:tcPr>
            <w:tcW w:w="540" w:type="dxa"/>
            <w:vAlign w:val="bottom"/>
            <w:vMerge w:val="restart"/>
          </w:tcPr>
          <w:p>
            <w:pPr>
              <w:jc w:val="center"/>
              <w:ind w:left="110"/>
              <w:spacing w:after="0"/>
              <w:rPr>
                <w:rFonts w:ascii="Arial" w:cs="Arial" w:eastAsia="Arial" w:hAnsi="Arial"/>
                <w:sz w:val="18"/>
                <w:szCs w:val="18"/>
                <w:color w:val="auto"/>
                <w:w w:val="91"/>
              </w:rPr>
            </w:pPr>
            <w:hyperlink w:anchor="page299">
              <w:r>
                <w:rPr>
                  <w:rFonts w:ascii="Arial" w:cs="Arial" w:eastAsia="Arial" w:hAnsi="Arial"/>
                  <w:sz w:val="18"/>
                  <w:szCs w:val="18"/>
                  <w:color w:val="auto"/>
                  <w:w w:val="91"/>
                </w:rPr>
                <w:t>F-74</w:t>
              </w:r>
            </w:hyperlink>
          </w:p>
        </w:tc>
        <w:tc>
          <w:tcPr>
            <w:tcW w:w="0" w:type="dxa"/>
            <w:vAlign w:val="bottom"/>
          </w:tcPr>
          <w:p>
            <w:pPr>
              <w:spacing w:after="0"/>
              <w:rPr>
                <w:sz w:val="1"/>
                <w:szCs w:val="1"/>
                <w:color w:val="auto"/>
              </w:rPr>
            </w:pPr>
          </w:p>
        </w:tc>
      </w:tr>
      <w:tr>
        <w:trPr>
          <w:trHeight w:val="155"/>
        </w:trPr>
        <w:tc>
          <w:tcPr>
            <w:tcW w:w="160" w:type="dxa"/>
            <w:vAlign w:val="bottom"/>
            <w:tcBorders>
              <w:top w:val="single" w:sz="8" w:color="0000FF"/>
            </w:tcBorders>
          </w:tcPr>
          <w:p>
            <w:pPr>
              <w:spacing w:after="0"/>
              <w:rPr>
                <w:sz w:val="13"/>
                <w:szCs w:val="13"/>
                <w:color w:val="auto"/>
              </w:rPr>
            </w:pPr>
          </w:p>
        </w:tc>
        <w:tc>
          <w:tcPr>
            <w:tcW w:w="3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299">
              <w:r>
                <w:rPr>
                  <w:rFonts w:ascii="Arial" w:cs="Arial" w:eastAsia="Arial" w:hAnsi="Arial"/>
                  <w:sz w:val="18"/>
                  <w:szCs w:val="18"/>
                  <w:color w:val="0000FF"/>
                  <w:w w:val="88"/>
                </w:rPr>
                <w:t>2019 and the Year Ended December 31, 2018</w:t>
              </w:r>
            </w:hyperlink>
          </w:p>
        </w:tc>
        <w:tc>
          <w:tcPr>
            <w:tcW w:w="664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0480" w:type="dxa"/>
            <w:vAlign w:val="bottom"/>
            <w:gridSpan w:val="4"/>
          </w:tcPr>
          <w:p>
            <w:pPr>
              <w:spacing w:after="0"/>
              <w:rPr>
                <w:rFonts w:ascii="Arial" w:cs="Arial" w:eastAsia="Arial" w:hAnsi="Arial"/>
                <w:sz w:val="18"/>
                <w:szCs w:val="18"/>
                <w:u w:val="single" w:color="auto"/>
                <w:color w:val="0000FF"/>
                <w:w w:val="91"/>
              </w:rPr>
            </w:pPr>
            <w:hyperlink w:anchor="page300">
              <w:r>
                <w:rPr>
                  <w:rFonts w:ascii="Arial" w:cs="Arial" w:eastAsia="Arial" w:hAnsi="Arial"/>
                  <w:sz w:val="18"/>
                  <w:szCs w:val="18"/>
                  <w:u w:val="single" w:color="auto"/>
                  <w:color w:val="0000FF"/>
                  <w:w w:val="91"/>
                </w:rPr>
                <w:t>Consolidated Statements of Cash Flows for the Period from January 1, 2019 through January 31, 2019 and the Year Ended December 31, 2018</w:t>
              </w:r>
            </w:hyperlink>
          </w:p>
        </w:tc>
        <w:tc>
          <w:tcPr>
            <w:tcW w:w="540" w:type="dxa"/>
            <w:vAlign w:val="bottom"/>
          </w:tcPr>
          <w:p>
            <w:pPr>
              <w:jc w:val="center"/>
              <w:ind w:left="110"/>
              <w:spacing w:after="0"/>
              <w:rPr>
                <w:rFonts w:ascii="Arial" w:cs="Arial" w:eastAsia="Arial" w:hAnsi="Arial"/>
                <w:sz w:val="18"/>
                <w:szCs w:val="18"/>
                <w:color w:val="auto"/>
                <w:w w:val="91"/>
              </w:rPr>
            </w:pPr>
            <w:hyperlink w:anchor="page300">
              <w:r>
                <w:rPr>
                  <w:rFonts w:ascii="Arial" w:cs="Arial" w:eastAsia="Arial" w:hAnsi="Arial"/>
                  <w:sz w:val="18"/>
                  <w:szCs w:val="18"/>
                  <w:color w:val="auto"/>
                  <w:w w:val="91"/>
                </w:rPr>
                <w:t>F-75</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Arial" w:cs="Arial" w:eastAsia="Arial" w:hAnsi="Arial"/>
                <w:sz w:val="18"/>
                <w:szCs w:val="18"/>
                <w:u w:val="single" w:color="auto"/>
                <w:color w:val="0000FF"/>
              </w:rPr>
            </w:pPr>
            <w:hyperlink w:anchor="page301">
              <w:r>
                <w:rPr>
                  <w:rFonts w:ascii="Arial" w:cs="Arial" w:eastAsia="Arial" w:hAnsi="Arial"/>
                  <w:sz w:val="18"/>
                  <w:szCs w:val="18"/>
                  <w:u w:val="single" w:color="auto"/>
                  <w:color w:val="0000FF"/>
                </w:rPr>
                <w:t>Notes to Consolidated Financial Statements</w:t>
              </w:r>
            </w:hyperlink>
          </w:p>
        </w:tc>
        <w:tc>
          <w:tcPr>
            <w:tcW w:w="540" w:type="dxa"/>
            <w:vAlign w:val="bottom"/>
          </w:tcPr>
          <w:p>
            <w:pPr>
              <w:jc w:val="center"/>
              <w:ind w:left="110"/>
              <w:spacing w:after="0"/>
              <w:rPr>
                <w:rFonts w:ascii="Arial" w:cs="Arial" w:eastAsia="Arial" w:hAnsi="Arial"/>
                <w:sz w:val="18"/>
                <w:szCs w:val="18"/>
                <w:color w:val="auto"/>
                <w:w w:val="91"/>
              </w:rPr>
            </w:pPr>
            <w:hyperlink w:anchor="page301">
              <w:r>
                <w:rPr>
                  <w:rFonts w:ascii="Arial" w:cs="Arial" w:eastAsia="Arial" w:hAnsi="Arial"/>
                  <w:sz w:val="18"/>
                  <w:szCs w:val="18"/>
                  <w:color w:val="auto"/>
                  <w:w w:val="91"/>
                </w:rPr>
                <w:t>F-76</w:t>
              </w:r>
            </w:hyperlink>
          </w:p>
        </w:tc>
        <w:tc>
          <w:tcPr>
            <w:tcW w:w="0" w:type="dxa"/>
            <w:vAlign w:val="bottom"/>
          </w:tcPr>
          <w:p>
            <w:pPr>
              <w:spacing w:after="0"/>
              <w:rPr>
                <w:sz w:val="1"/>
                <w:szCs w:val="1"/>
                <w:color w:val="auto"/>
              </w:rPr>
            </w:pPr>
          </w:p>
        </w:tc>
      </w:tr>
      <w:tr>
        <w:trPr>
          <w:trHeight w:val="891"/>
        </w:trPr>
        <w:tc>
          <w:tcPr>
            <w:tcW w:w="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040" w:type="dxa"/>
            <w:vAlign w:val="bottom"/>
            <w:gridSpan w:val="2"/>
          </w:tcPr>
          <w:p>
            <w:pPr>
              <w:jc w:val="center"/>
              <w:ind w:right="2720"/>
              <w:spacing w:after="0"/>
              <w:rPr>
                <w:sz w:val="20"/>
                <w:szCs w:val="20"/>
                <w:color w:val="auto"/>
              </w:rPr>
            </w:pPr>
            <w:r>
              <w:rPr>
                <w:rFonts w:ascii="Arial" w:cs="Arial" w:eastAsia="Arial" w:hAnsi="Arial"/>
                <w:sz w:val="18"/>
                <w:szCs w:val="18"/>
                <w:color w:val="auto"/>
                <w:w w:val="88"/>
              </w:rPr>
              <w:t>F-1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40" w:top="121" w:right="539" w:bottom="1440" w:gutter="0" w:footer="0" w:header="0"/>
        </w:sectPr>
      </w:pPr>
    </w:p>
    <w:bookmarkStart w:id="227" w:name="page228"/>
    <w:bookmarkEnd w:id="22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ZoomInfo Technologies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audited the accompanying balance sheets of ZoomInfo Technologies Inc. (the Company) as of December 31, 2019 and November 14, 2019, and the related notes (collectively, the financial statements). In our opinion, the financial statements present fairly, in all material respects, the financial position of the Company as of December 31, 2019 and November 14, 2019, in conformity with U.S. generally accepted accounting principles.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21" w:right="339" w:bottom="1440" w:gutter="0" w:footer="0" w:header="0"/>
        </w:sectPr>
      </w:pPr>
    </w:p>
    <w:bookmarkStart w:id="228" w:name="page229"/>
    <w:bookmarkEnd w:id="22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ZoomInfo Technologies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dollars)</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22"/>
                <w:szCs w:val="22"/>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November 14, 2019</w:t>
            </w:r>
          </w:p>
        </w:tc>
        <w:tc>
          <w:tcPr>
            <w:tcW w:w="0" w:type="dxa"/>
            <w:vAlign w:val="bottom"/>
          </w:tcPr>
          <w:p>
            <w:pPr>
              <w:spacing w:after="0"/>
              <w:rPr>
                <w:sz w:val="1"/>
                <w:szCs w:val="1"/>
                <w:color w:val="auto"/>
              </w:rPr>
            </w:pPr>
          </w:p>
        </w:tc>
      </w:tr>
      <w:tr>
        <w:trPr>
          <w:trHeight w:val="236"/>
        </w:trPr>
        <w:tc>
          <w:tcPr>
            <w:tcW w:w="7980" w:type="dxa"/>
            <w:vAlign w:val="bottom"/>
            <w:tcBorders>
              <w:top w:val="single" w:sz="8" w:color="CCEEFF"/>
              <w:bottom w:val="single" w:sz="8" w:color="CCEEFF"/>
            </w:tcBorders>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18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w w:val="93"/>
              </w:rPr>
              <w:t>Class A Common Stock, par value $0.01 per share, 1,000 shares authorized, none issued and outstanding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Class B Common Stock, par value $0.01 per share, 1,000 shares authorized, 100 issued and outstanding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500"/>
              <w:spacing w:after="0"/>
              <w:rPr>
                <w:sz w:val="20"/>
                <w:szCs w:val="20"/>
                <w:color w:val="auto"/>
              </w:rPr>
            </w:pPr>
            <w:r>
              <w:rPr>
                <w:rFonts w:ascii="Arial" w:cs="Arial" w:eastAsia="Arial" w:hAnsi="Arial"/>
                <w:sz w:val="18"/>
                <w:szCs w:val="18"/>
                <w:color w:val="auto"/>
              </w:rPr>
              <w:t>F-3</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7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9" w:name="page230"/>
    <w:bookmarkEnd w:id="22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ZoomInfo Technologies Inc. (the “Corporation”) was organized as a Delaware corporation on November 14, 2019. The Corporation’s fiscal year end is December 31. Pursuant to a reorganization into a holding corporation structure, the Corporation will become a holding corporation, and its sole asset is expected to be an equity interest in DiscoverOrg Holdings, LLC.</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Corporation will be the managing member of DiscoverOrg Holdings, LLC and will operate and control all of the businesses and affairs of DiscoverOrg Holdings, LLC and, through DiscoverOrg Holdings, LLC and its subsidiaries, continue to conduct the business now conducted by these entities.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Balance Sheet has been prepared in accordance with generally accepted accounting principles in the United States (“U.S.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Stockholder’s Equity</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Corporation is authorized to issue 1,000 shares of Class A Common Stock, par value $0.01 per share (“Class A Common Stock”), and 1,000 shares of class B common stock, par value $0.01 per share (“Class B Common Stock”). Under the corporation’s certificate of incorporation in effect as of November 14, 2019, all shares of Class A Common Stock and Class B Common Stock are identical. In exchange for $1.00, the Corporation has issued 100 shares of Class B common stock, all of which were held by DiscoverOrg Holdings, LLC as of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Subsequent Events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21" w:right="339" w:bottom="1440" w:gutter="0" w:footer="0" w:header="0"/>
        </w:sectPr>
      </w:pPr>
    </w:p>
    <w:bookmarkStart w:id="230" w:name="page231"/>
    <w:bookmarkEnd w:id="23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ZoomInfo Technologies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dollars)</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9"/>
                <w:szCs w:val="19"/>
                <w:color w:val="auto"/>
              </w:rPr>
            </w:pPr>
          </w:p>
        </w:tc>
        <w:tc>
          <w:tcPr>
            <w:tcW w:w="134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Cash</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18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w w:val="93"/>
              </w:rPr>
              <w:t>Class A Common Stock, par value $0.01 per share, 1,000 shares authorized, none issued and outstanding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Class B Common Stock, par value $0.01 per share, 1,000 shares authorized, 100 issued and outstanding</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500"/>
              <w:spacing w:after="0"/>
              <w:rPr>
                <w:sz w:val="20"/>
                <w:szCs w:val="20"/>
                <w:color w:val="auto"/>
              </w:rPr>
            </w:pPr>
            <w:r>
              <w:rPr>
                <w:rFonts w:ascii="Arial" w:cs="Arial" w:eastAsia="Arial" w:hAnsi="Arial"/>
                <w:sz w:val="18"/>
                <w:szCs w:val="18"/>
                <w:color w:val="auto"/>
              </w:rPr>
              <w:t>F-5</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7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1" w:name="page232"/>
    <w:bookmarkEnd w:id="23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ZoomInfo Technologies Inc. (the “Corporation”) was organized as a Delaware corporation on November 14, 2019. The Corporation’s fiscal year end is December 31. Pursuant to a reorganization into a holding corporation structure, the Corporation will become a holding corporation, and its sole asset is expected to be an equity interest in DiscoverOrg Holdings, LLC.</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Corporation will be the managing member of DiscoverOrg Holdings, LLC and will operate and control all of the businesses and affairs of DiscoverOrg Holdings, LLC and, through DiscoverOrg Holdings, LLC and its subsidiaries, continue to conduct the business now conducted by these entities.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Balance Sheet has been prepared in accordance with generally accepted accounting principles in the United States (“U.S.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Stockholder’s Equity</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Corporation is authorized to issue 1,000 shares of Class A Common Stock, par value $0.01 per share (“Class A Common Stock”), and 1,000 shares of class B common stock, par value $0.01 per share (“Class B Common Stock”). Under the corporation’s certificate of incorporation in effect as of November 14, 2019, all shares of Class A Common Stock and Class B Common Stock are identical. In exchange for $1.00, the Corporation has issued 100 shares of Class B common stock, all of which were held by DiscoverOrg Holdings, LLC as of March 31,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Subsequent Events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21" w:right="339" w:bottom="1440" w:gutter="0" w:footer="0" w:header="0"/>
        </w:sectPr>
      </w:pPr>
    </w:p>
    <w:bookmarkStart w:id="232" w:name="page233"/>
    <w:bookmarkEnd w:id="23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DiscoverOrg Holdings, LLC: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DiscoverOrg Holdings, LLC and subsidiaries (the Company) as of December 31, 2019 and 2018, the related consolidated statements of operations, comprehensive loss, changes in members’ deficit, and cash flows for the years then ended,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U.S. generally accepted accounting principles.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leases as of January 1, 2019 due to the adoption of Accounting Standards Codification Topic 842, </w:t>
      </w:r>
      <w:r>
        <w:rPr>
          <w:rFonts w:ascii="Arial" w:cs="Arial" w:eastAsia="Arial" w:hAnsi="Arial"/>
          <w:sz w:val="18"/>
          <w:szCs w:val="18"/>
          <w:i w:val="1"/>
          <w:iCs w:val="1"/>
          <w:color w:val="auto"/>
        </w:rPr>
        <w:t>Leases.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 except for the effects of the reverse unit split described in Note 18, as to which the date is May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21" w:right="339" w:bottom="1440" w:gutter="0" w:footer="0" w:header="0"/>
        </w:sectPr>
      </w:pPr>
    </w:p>
    <w:bookmarkStart w:id="233" w:name="page234"/>
    <w:bookmarkEnd w:id="23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2"/>
                <w:szCs w:val="22"/>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36"/>
        </w:trPr>
        <w:tc>
          <w:tcPr>
            <w:tcW w:w="798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31.0</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costs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Income tax receivable</w:t>
            </w: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Related party receivable</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45.0</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8"/>
        </w:trPr>
        <w:tc>
          <w:tcPr>
            <w:tcW w:w="7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88.7</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966.8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445.7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costs, net of current portion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r>
      <w:tr>
        <w:trPr>
          <w:trHeight w:val="263"/>
        </w:trPr>
        <w:tc>
          <w:tcPr>
            <w:tcW w:w="79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1,561.9</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591.0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5"/>
        </w:trPr>
        <w:tc>
          <w:tcPr>
            <w:tcW w:w="79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243"/>
        </w:trPr>
        <w:tc>
          <w:tcPr>
            <w:tcW w:w="7980" w:type="dxa"/>
            <w:vAlign w:val="bottom"/>
          </w:tcPr>
          <w:p>
            <w:pPr>
              <w:ind w:left="1740"/>
              <w:spacing w:after="0"/>
              <w:rPr>
                <w:sz w:val="20"/>
                <w:szCs w:val="20"/>
                <w:color w:val="auto"/>
              </w:rPr>
            </w:pPr>
            <w:r>
              <w:rPr>
                <w:rFonts w:ascii="Arial" w:cs="Arial" w:eastAsia="Arial" w:hAnsi="Arial"/>
                <w:sz w:val="18"/>
                <w:szCs w:val="18"/>
                <w:b w:val="1"/>
                <w:bCs w:val="1"/>
                <w:color w:val="auto"/>
              </w:rPr>
              <w:t>Liabilities, Series A Preferred Units, and Members' Deficit</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Unearned revenue, current portion</w:t>
            </w: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52.2</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Related party payable</w:t>
            </w: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1.9</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65.6</w:t>
            </w:r>
          </w:p>
        </w:tc>
      </w:tr>
      <w:tr>
        <w:trPr>
          <w:trHeight w:val="128"/>
        </w:trPr>
        <w:tc>
          <w:tcPr>
            <w:tcW w:w="79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 net of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1,194.6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631.8</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10.2</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r>
      <w:tr>
        <w:trPr>
          <w:trHeight w:val="236"/>
        </w:trPr>
        <w:tc>
          <w:tcPr>
            <w:tcW w:w="798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1,575.5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710.1</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9"/>
        </w:trPr>
        <w:tc>
          <w:tcPr>
            <w:tcW w:w="7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Series A Preferred Units</w:t>
            </w: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148"/>
        </w:trPr>
        <w:tc>
          <w:tcPr>
            <w:tcW w:w="7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Members’ deficit: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20"/>
              <w:spacing w:after="0"/>
              <w:rPr>
                <w:sz w:val="20"/>
                <w:szCs w:val="20"/>
                <w:color w:val="auto"/>
              </w:rPr>
            </w:pPr>
            <w:r>
              <w:rPr>
                <w:rFonts w:ascii="Arial" w:cs="Arial" w:eastAsia="Arial" w:hAnsi="Arial"/>
                <w:sz w:val="18"/>
                <w:szCs w:val="18"/>
                <w:color w:val="auto"/>
              </w:rPr>
              <w:t>Members' equity (deficit)</w:t>
            </w: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(119.1)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6"/>
        </w:trPr>
        <w:tc>
          <w:tcPr>
            <w:tcW w:w="7980" w:type="dxa"/>
            <w:vAlign w:val="bottom"/>
          </w:tcPr>
          <w:p>
            <w:pPr>
              <w:ind w:left="460"/>
              <w:spacing w:after="0"/>
              <w:rPr>
                <w:sz w:val="20"/>
                <w:szCs w:val="20"/>
                <w:color w:val="auto"/>
              </w:rPr>
            </w:pPr>
            <w:r>
              <w:rPr>
                <w:rFonts w:ascii="Arial" w:cs="Arial" w:eastAsia="Arial" w:hAnsi="Arial"/>
                <w:sz w:val="18"/>
                <w:szCs w:val="18"/>
                <w:color w:val="auto"/>
              </w:rPr>
              <w:t>Total equity (deficit)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(119.1)</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79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r>
      <w:tr>
        <w:trPr>
          <w:trHeight w:val="263"/>
        </w:trPr>
        <w:tc>
          <w:tcPr>
            <w:tcW w:w="7980" w:type="dxa"/>
            <w:vAlign w:val="bottom"/>
          </w:tcPr>
          <w:p>
            <w:pPr>
              <w:ind w:left="460"/>
              <w:spacing w:after="0"/>
              <w:rPr>
                <w:sz w:val="20"/>
                <w:szCs w:val="20"/>
                <w:color w:val="auto"/>
              </w:rPr>
            </w:pPr>
            <w:r>
              <w:rPr>
                <w:rFonts w:ascii="Arial" w:cs="Arial" w:eastAsia="Arial" w:hAnsi="Arial"/>
                <w:sz w:val="18"/>
                <w:szCs w:val="18"/>
                <w:color w:val="auto"/>
              </w:rPr>
              <w:t>Total liabilities, Series A Preferred Units, and Members' Deficit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1,561.9</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591.0</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788"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240"/>
          </w:cols>
          <w:pgMar w:left="320" w:top="121" w:right="339" w:bottom="788" w:gutter="0" w:footer="0" w:header="0"/>
          <w:type w:val="continuous"/>
        </w:sectPr>
      </w:pPr>
    </w:p>
    <w:bookmarkStart w:id="234" w:name="page235"/>
    <w:bookmarkEnd w:id="23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62"/>
        </w:trPr>
        <w:tc>
          <w:tcPr>
            <w:tcW w:w="7980" w:type="dxa"/>
            <w:vAlign w:val="bottom"/>
          </w:tcPr>
          <w:p>
            <w:pPr>
              <w:spacing w:after="0"/>
              <w:rPr>
                <w:sz w:val="22"/>
                <w:szCs w:val="22"/>
                <w:color w:val="auto"/>
              </w:rPr>
            </w:pPr>
          </w:p>
        </w:tc>
        <w:tc>
          <w:tcPr>
            <w:tcW w:w="26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22"/>
                <w:szCs w:val="22"/>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7"/>
                <w:szCs w:val="17"/>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293.3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144.3</w:t>
            </w:r>
          </w:p>
        </w:tc>
      </w:tr>
      <w:tr>
        <w:trPr>
          <w:trHeight w:val="270"/>
        </w:trPr>
        <w:tc>
          <w:tcPr>
            <w:tcW w:w="7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tcPr>
          <w:p>
            <w:pPr>
              <w:ind w:left="220"/>
              <w:spacing w:after="0"/>
              <w:rPr>
                <w:sz w:val="20"/>
                <w:szCs w:val="20"/>
                <w:color w:val="auto"/>
              </w:rPr>
            </w:pPr>
            <w:r>
              <w:rPr>
                <w:rFonts w:ascii="Arial" w:cs="Arial" w:eastAsia="Arial" w:hAnsi="Arial"/>
                <w:sz w:val="18"/>
                <w:szCs w:val="18"/>
                <w:color w:val="auto"/>
              </w:rPr>
              <w:t>Cost of service</w:t>
            </w:r>
            <w:r>
              <w:rPr>
                <w:rFonts w:ascii="Arial" w:cs="Arial" w:eastAsia="Arial" w:hAnsi="Arial"/>
                <w:sz w:val="23"/>
                <w:szCs w:val="23"/>
                <w:color w:val="auto"/>
                <w:vertAlign w:val="superscript"/>
              </w:rPr>
              <w:t>(1)</w:t>
            </w:r>
          </w:p>
        </w:tc>
        <w:tc>
          <w:tcPr>
            <w:tcW w:w="98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30.1</w:t>
            </w: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acquired technology</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3"/>
              </w:rPr>
              <w:t>224.7</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3"/>
              </w:rPr>
              <w:t>106.5</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79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spacing w:after="0" w:line="225" w:lineRule="auto"/>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 of other acquired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Restructuring and transaction-related expenses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from operations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90.2</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30.1</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35.1</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17.6</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31750</wp:posOffset>
            </wp:positionV>
            <wp:extent cx="9944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57" w:lineRule="exact"/>
        <w:rPr>
          <w:sz w:val="20"/>
          <w:szCs w:val="20"/>
          <w:color w:val="auto"/>
        </w:rPr>
      </w:pPr>
    </w:p>
    <w:p>
      <w:pPr>
        <w:jc w:val="right"/>
        <w:ind w:right="660"/>
        <w:spacing w:after="0"/>
        <w:rPr>
          <w:sz w:val="20"/>
          <w:szCs w:val="20"/>
          <w:color w:val="auto"/>
        </w:rPr>
      </w:pPr>
      <w:r>
        <w:rPr>
          <w:rFonts w:ascii="Arial" w:cs="Arial" w:eastAsia="Arial" w:hAnsi="Arial"/>
          <w:sz w:val="15"/>
          <w:szCs w:val="15"/>
          <w:color w:val="auto"/>
        </w:rPr>
        <w:t>188.6</w:t>
      </w:r>
    </w:p>
    <w:p>
      <w:pPr>
        <w:spacing w:after="0" w:line="111"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31750</wp:posOffset>
            </wp:positionV>
            <wp:extent cx="9944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160"/>
        <w:spacing w:after="0"/>
        <w:rPr>
          <w:sz w:val="20"/>
          <w:szCs w:val="20"/>
          <w:color w:val="auto"/>
        </w:rPr>
      </w:pPr>
      <w:r>
        <w:rPr>
          <w:rFonts w:ascii="Arial" w:cs="Arial" w:eastAsia="Arial" w:hAnsi="Arial"/>
          <w:sz w:val="15"/>
          <w:szCs w:val="15"/>
          <w:color w:val="auto"/>
        </w:rPr>
        <w:t>42.4</w:t>
      </w:r>
    </w:p>
    <w:p>
      <w:pPr>
        <w:spacing w:after="0" w:line="98"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6.1</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5"/>
          <w:szCs w:val="15"/>
          <w:color w:val="auto"/>
        </w:rPr>
        <w:t>20.8</w:t>
      </w:r>
    </w:p>
    <w:p>
      <w:pPr>
        <w:spacing w:after="0" w:line="98"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7.0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31750</wp:posOffset>
            </wp:positionV>
            <wp:extent cx="9944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57" w:lineRule="exact"/>
        <w:rPr>
          <w:sz w:val="20"/>
          <w:szCs w:val="20"/>
          <w:color w:val="auto"/>
        </w:rPr>
      </w:pPr>
    </w:p>
    <w:p>
      <w:pPr>
        <w:jc w:val="right"/>
        <w:ind w:right="160"/>
        <w:spacing w:after="0"/>
        <w:rPr>
          <w:sz w:val="20"/>
          <w:szCs w:val="20"/>
          <w:color w:val="auto"/>
        </w:rPr>
      </w:pPr>
      <w:r>
        <w:rPr>
          <w:rFonts w:ascii="Arial" w:cs="Arial" w:eastAsia="Arial" w:hAnsi="Arial"/>
          <w:sz w:val="15"/>
          <w:szCs w:val="15"/>
          <w:color w:val="auto"/>
        </w:rPr>
        <w:t>79.9</w:t>
      </w:r>
    </w:p>
    <w:p>
      <w:pPr>
        <w:spacing w:after="0" w:line="111" w:lineRule="exact"/>
        <w:rPr>
          <w:sz w:val="20"/>
          <w:szCs w:val="20"/>
          <w:color w:val="auto"/>
        </w:rPr>
      </w:pPr>
    </w:p>
    <w:p>
      <w:pPr>
        <w:jc w:val="right"/>
        <w:ind w:right="160"/>
        <w:spacing w:after="0"/>
        <w:rPr>
          <w:sz w:val="20"/>
          <w:szCs w:val="20"/>
          <w:color w:val="auto"/>
        </w:rPr>
      </w:pPr>
      <w:r>
        <w:rPr>
          <w:rFonts w:ascii="Arial" w:cs="Arial" w:eastAsia="Arial" w:hAnsi="Arial"/>
          <w:sz w:val="15"/>
          <w:szCs w:val="15"/>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53975</wp:posOffset>
            </wp:positionV>
            <wp:extent cx="9944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8280" w:space="720"/>
            <w:col w:w="1060" w:space="720"/>
            <w:col w:w="460"/>
          </w:cols>
          <w:pgMar w:left="320" w:top="121" w:right="33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Loss on debt extinguishment</w:t>
            </w: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w w:val="85"/>
              </w:rPr>
              <w:t>18.2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shd w:val="clear" w:color="auto" w:fill="CCEEFF"/>
          </w:tcPr>
          <w:p>
            <w:pPr>
              <w:spacing w:after="0"/>
              <w:rPr>
                <w:sz w:val="23"/>
                <w:szCs w:val="23"/>
                <w:color w:val="auto"/>
              </w:rPr>
            </w:pPr>
          </w:p>
        </w:tc>
        <w:tc>
          <w:tcPr>
            <w:tcW w:w="446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Benefit from income taxes</w:t>
            </w: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2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2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00" w:type="dxa"/>
            <w:vAlign w:val="bottom"/>
            <w:gridSpan w:val="2"/>
          </w:tcPr>
          <w:p>
            <w:pPr>
              <w:spacing w:after="0"/>
              <w:rPr>
                <w:sz w:val="20"/>
                <w:szCs w:val="20"/>
                <w:color w:val="auto"/>
              </w:rPr>
            </w:pPr>
            <w:r>
              <w:rPr>
                <w:rFonts w:ascii="Arial" w:cs="Arial" w:eastAsia="Arial" w:hAnsi="Arial"/>
                <w:sz w:val="14"/>
                <w:szCs w:val="14"/>
                <w:color w:val="auto"/>
              </w:rPr>
              <w:t>(1)  Amounts include equity-based compensation expense, as follows:</w:t>
            </w:r>
          </w:p>
        </w:tc>
        <w:tc>
          <w:tcPr>
            <w:tcW w:w="2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8.3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4"/>
                <w:szCs w:val="14"/>
                <w:color w:val="auto"/>
              </w:rPr>
              <w:t>15.8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8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7.5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equity-based compensation expense</w:t>
            </w:r>
          </w:p>
        </w:tc>
        <w:tc>
          <w:tcPr>
            <w:tcW w:w="3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32.7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660" w:type="dxa"/>
            <w:vAlign w:val="bottom"/>
            <w:gridSpan w:val="3"/>
          </w:tcPr>
          <w:p>
            <w:pPr>
              <w:jc w:val="right"/>
              <w:ind w:right="2720"/>
              <w:spacing w:after="0"/>
              <w:rPr>
                <w:sz w:val="20"/>
                <w:szCs w:val="20"/>
                <w:color w:val="auto"/>
              </w:rPr>
            </w:pPr>
            <w:r>
              <w:rPr>
                <w:rFonts w:ascii="Arial" w:cs="Arial" w:eastAsia="Arial" w:hAnsi="Arial"/>
                <w:sz w:val="18"/>
                <w:szCs w:val="18"/>
                <w:color w:val="auto"/>
              </w:rPr>
              <w:t>F-9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235" w:name="page236"/>
    <w:bookmarkEnd w:id="23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63"/>
        </w:trPr>
        <w:tc>
          <w:tcPr>
            <w:tcW w:w="45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66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22"/>
                <w:szCs w:val="22"/>
                <w:color w:val="auto"/>
              </w:rPr>
            </w:pPr>
          </w:p>
        </w:tc>
      </w:tr>
      <w:tr>
        <w:trPr>
          <w:trHeight w:val="196"/>
        </w:trPr>
        <w:tc>
          <w:tcPr>
            <w:tcW w:w="4560" w:type="dxa"/>
            <w:vAlign w:val="bottom"/>
            <w:tcBorders>
              <w:bottom w:val="single" w:sz="8" w:color="CCEEFF"/>
            </w:tcBorders>
          </w:tcPr>
          <w:p>
            <w:pPr>
              <w:spacing w:after="0"/>
              <w:rPr>
                <w:sz w:val="17"/>
                <w:szCs w:val="17"/>
                <w:color w:val="auto"/>
              </w:rPr>
            </w:pPr>
          </w:p>
        </w:tc>
        <w:tc>
          <w:tcPr>
            <w:tcW w:w="34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7"/>
                <w:szCs w:val="17"/>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40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unrealized loss on interest rate swaps</w:t>
            </w:r>
          </w:p>
        </w:tc>
        <w:tc>
          <w:tcPr>
            <w:tcW w:w="3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3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8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44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(84.0)</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865"/>
        </w:trPr>
        <w:tc>
          <w:tcPr>
            <w:tcW w:w="4560" w:type="dxa"/>
            <w:vAlign w:val="bottom"/>
          </w:tcPr>
          <w:p>
            <w:pPr>
              <w:spacing w:after="0"/>
              <w:rPr>
                <w:sz w:val="24"/>
                <w:szCs w:val="24"/>
                <w:color w:val="auto"/>
              </w:rPr>
            </w:pPr>
          </w:p>
        </w:tc>
        <w:tc>
          <w:tcPr>
            <w:tcW w:w="4400" w:type="dxa"/>
            <w:vAlign w:val="bottom"/>
            <w:gridSpan w:val="2"/>
          </w:tcPr>
          <w:p>
            <w:pPr>
              <w:jc w:val="right"/>
              <w:ind w:right="3088"/>
              <w:spacing w:after="0"/>
              <w:rPr>
                <w:sz w:val="20"/>
                <w:szCs w:val="20"/>
                <w:color w:val="auto"/>
              </w:rPr>
            </w:pPr>
            <w:r>
              <w:rPr>
                <w:rFonts w:ascii="Arial" w:cs="Arial" w:eastAsia="Arial" w:hAnsi="Arial"/>
                <w:sz w:val="18"/>
                <w:szCs w:val="18"/>
                <w:color w:val="auto"/>
              </w:rPr>
              <w:t>F-10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36" w:name="page237"/>
    <w:bookmarkEnd w:id="23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Members' Deficit</w:t>
            </w:r>
          </w:p>
        </w:tc>
        <w:tc>
          <w:tcPr>
            <w:tcW w:w="1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Members’ Deficit</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Comprehensive Loss</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2017</w:t>
            </w: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Member distributions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Equity-based compensation</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Equity-based compensation</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Member distributions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paid for unit repurchases</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Accrued unit repurchases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Impact of adoption of new accounting standard (ASC 842)</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20" w:type="dxa"/>
            <w:vAlign w:val="bottom"/>
          </w:tcPr>
          <w:p>
            <w:pPr>
              <w:ind w:left="116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94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F-11</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7" w:name="page238"/>
    <w:bookmarkEnd w:id="23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63"/>
        </w:trPr>
        <w:tc>
          <w:tcPr>
            <w:tcW w:w="7980" w:type="dxa"/>
            <w:vAlign w:val="bottom"/>
          </w:tcPr>
          <w:p>
            <w:pPr>
              <w:spacing w:after="0"/>
              <w:rPr>
                <w:sz w:val="22"/>
                <w:szCs w:val="22"/>
                <w:color w:val="auto"/>
              </w:rPr>
            </w:pPr>
          </w:p>
        </w:tc>
        <w:tc>
          <w:tcPr>
            <w:tcW w:w="270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22"/>
                <w:szCs w:val="22"/>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r>
      <w:tr>
        <w:trPr>
          <w:trHeight w:val="22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19"/>
                <w:szCs w:val="19"/>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(28.6)</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3"/>
        </w:trPr>
        <w:tc>
          <w:tcPr>
            <w:tcW w:w="798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17.3</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debt discounts and issuance costs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r>
      <w:tr>
        <w:trPr>
          <w:trHeight w:val="224"/>
        </w:trPr>
        <w:tc>
          <w:tcPr>
            <w:tcW w:w="7980" w:type="dxa"/>
            <w:vAlign w:val="bottom"/>
          </w:tcPr>
          <w:p>
            <w:pPr>
              <w:ind w:left="460"/>
              <w:spacing w:after="0"/>
              <w:rPr>
                <w:sz w:val="20"/>
                <w:szCs w:val="20"/>
                <w:color w:val="auto"/>
              </w:rPr>
            </w:pPr>
            <w:r>
              <w:rPr>
                <w:rFonts w:ascii="Arial" w:cs="Arial" w:eastAsia="Arial" w:hAnsi="Arial"/>
                <w:sz w:val="16"/>
                <w:szCs w:val="16"/>
                <w:color w:val="auto"/>
              </w:rPr>
              <w:t>Amortization of deferred commissions costs</w:t>
            </w:r>
          </w:p>
        </w:tc>
        <w:tc>
          <w:tcPr>
            <w:tcW w:w="94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1.5</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Asset impairments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ind w:left="460"/>
              <w:spacing w:after="0"/>
              <w:rPr>
                <w:sz w:val="20"/>
                <w:szCs w:val="20"/>
                <w:color w:val="auto"/>
              </w:rPr>
            </w:pPr>
            <w:r>
              <w:rPr>
                <w:rFonts w:ascii="Arial" w:cs="Arial" w:eastAsia="Arial" w:hAnsi="Arial"/>
                <w:sz w:val="16"/>
                <w:szCs w:val="16"/>
                <w:color w:val="auto"/>
              </w:rPr>
              <w:t>Loss on early extinguishment of debt</w:t>
            </w:r>
          </w:p>
        </w:tc>
        <w:tc>
          <w:tcPr>
            <w:tcW w:w="94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consideration valuation adjustments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980" w:type="dxa"/>
            <w:vAlign w:val="bottom"/>
          </w:tcPr>
          <w:p>
            <w:pPr>
              <w:ind w:left="460"/>
              <w:spacing w:after="0"/>
              <w:rPr>
                <w:sz w:val="20"/>
                <w:szCs w:val="20"/>
                <w:color w:val="auto"/>
              </w:rPr>
            </w:pPr>
            <w:r>
              <w:rPr>
                <w:rFonts w:ascii="Arial" w:cs="Arial" w:eastAsia="Arial" w:hAnsi="Arial"/>
                <w:sz w:val="16"/>
                <w:szCs w:val="16"/>
                <w:color w:val="auto"/>
              </w:rPr>
              <w:t>Equity-based compensation expense</w:t>
            </w:r>
          </w:p>
        </w:tc>
        <w:tc>
          <w:tcPr>
            <w:tcW w:w="94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32.7</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24"/>
        </w:trPr>
        <w:tc>
          <w:tcPr>
            <w:tcW w:w="7980" w:type="dxa"/>
            <w:vAlign w:val="bottom"/>
          </w:tcPr>
          <w:p>
            <w:pPr>
              <w:ind w:left="460"/>
              <w:spacing w:after="0"/>
              <w:rPr>
                <w:sz w:val="20"/>
                <w:szCs w:val="20"/>
                <w:color w:val="auto"/>
              </w:rPr>
            </w:pPr>
            <w:r>
              <w:rPr>
                <w:rFonts w:ascii="Arial" w:cs="Arial" w:eastAsia="Arial" w:hAnsi="Arial"/>
                <w:sz w:val="16"/>
                <w:szCs w:val="16"/>
                <w:color w:val="auto"/>
              </w:rPr>
              <w:t>Paid-in-kind (PIK) accrued interest</w:t>
            </w:r>
          </w:p>
        </w:tc>
        <w:tc>
          <w:tcPr>
            <w:tcW w:w="94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16.4</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Provision for bad debt expense</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r>
      <w:tr>
        <w:trPr>
          <w:trHeight w:val="224"/>
        </w:trPr>
        <w:tc>
          <w:tcPr>
            <w:tcW w:w="79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acquisitions: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r>
      <w:tr>
        <w:trPr>
          <w:trHeight w:val="223"/>
        </w:trPr>
        <w:tc>
          <w:tcPr>
            <w:tcW w:w="798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0.6</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costs and other assets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23"/>
        </w:trPr>
        <w:tc>
          <w:tcPr>
            <w:tcW w:w="7980" w:type="dxa"/>
            <w:vAlign w:val="bottom"/>
          </w:tcPr>
          <w:p>
            <w:pPr>
              <w:ind w:left="460"/>
              <w:spacing w:after="0"/>
              <w:rPr>
                <w:sz w:val="20"/>
                <w:szCs w:val="20"/>
                <w:color w:val="auto"/>
              </w:rPr>
            </w:pPr>
            <w:r>
              <w:rPr>
                <w:rFonts w:ascii="Arial" w:cs="Arial" w:eastAsia="Arial" w:hAnsi="Arial"/>
                <w:sz w:val="16"/>
                <w:szCs w:val="16"/>
                <w:color w:val="auto"/>
              </w:rPr>
              <w:t>Income tax receivable</w:t>
            </w:r>
          </w:p>
        </w:tc>
        <w:tc>
          <w:tcPr>
            <w:tcW w:w="94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1.9</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Related party receivable</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r>
      <w:tr>
        <w:trPr>
          <w:trHeight w:val="223"/>
        </w:trPr>
        <w:tc>
          <w:tcPr>
            <w:tcW w:w="798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94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24"/>
        </w:trPr>
        <w:tc>
          <w:tcPr>
            <w:tcW w:w="7980" w:type="dxa"/>
            <w:vAlign w:val="bottom"/>
          </w:tcPr>
          <w:p>
            <w:pPr>
              <w:ind w:left="460"/>
              <w:spacing w:after="0"/>
              <w:rPr>
                <w:sz w:val="20"/>
                <w:szCs w:val="20"/>
                <w:color w:val="auto"/>
              </w:rPr>
            </w:pPr>
            <w:r>
              <w:rPr>
                <w:rFonts w:ascii="Arial" w:cs="Arial" w:eastAsia="Arial" w:hAnsi="Arial"/>
                <w:sz w:val="16"/>
                <w:szCs w:val="16"/>
                <w:color w:val="auto"/>
              </w:rPr>
              <w:t>Unearned revenue</w:t>
            </w:r>
          </w:p>
        </w:tc>
        <w:tc>
          <w:tcPr>
            <w:tcW w:w="94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15.0</w:t>
            </w:r>
          </w:p>
        </w:tc>
      </w:tr>
      <w:tr>
        <w:trPr>
          <w:trHeight w:val="33"/>
        </w:trPr>
        <w:tc>
          <w:tcPr>
            <w:tcW w:w="7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43.8</w:t>
            </w:r>
          </w:p>
        </w:tc>
      </w:tr>
      <w:tr>
        <w:trPr>
          <w:trHeight w:val="94"/>
        </w:trPr>
        <w:tc>
          <w:tcPr>
            <w:tcW w:w="7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6"/>
                <w:szCs w:val="16"/>
                <w:color w:val="auto"/>
              </w:rPr>
              <w:t>Purchases of property and equipment and other assets</w:t>
            </w:r>
          </w:p>
        </w:tc>
        <w:tc>
          <w:tcPr>
            <w:tcW w:w="94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(723.1)</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64"/>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(736.7)</w:t>
            </w:r>
          </w:p>
        </w:tc>
        <w:tc>
          <w:tcPr>
            <w:tcW w:w="12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r>
      <w:tr>
        <w:trPr>
          <w:trHeight w:val="88"/>
        </w:trPr>
        <w:tc>
          <w:tcPr>
            <w:tcW w:w="79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on long-term debt</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(649.8)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23"/>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long-term debt</w:t>
            </w:r>
          </w:p>
        </w:tc>
        <w:tc>
          <w:tcPr>
            <w:tcW w:w="94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w w:val="86"/>
              </w:rPr>
              <w:t>1,220.8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67.3</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23"/>
        </w:trPr>
        <w:tc>
          <w:tcPr>
            <w:tcW w:w="7980" w:type="dxa"/>
            <w:vAlign w:val="bottom"/>
          </w:tcPr>
          <w:p>
            <w:pPr>
              <w:ind w:left="220"/>
              <w:spacing w:after="0"/>
              <w:rPr>
                <w:sz w:val="20"/>
                <w:szCs w:val="20"/>
                <w:color w:val="auto"/>
              </w:rPr>
            </w:pPr>
            <w:r>
              <w:rPr>
                <w:rFonts w:ascii="Arial" w:cs="Arial" w:eastAsia="Arial" w:hAnsi="Arial"/>
                <w:sz w:val="16"/>
                <w:szCs w:val="16"/>
                <w:color w:val="auto"/>
              </w:rPr>
              <w:t>Repurchase outstanding equity / member units</w:t>
            </w:r>
          </w:p>
        </w:tc>
        <w:tc>
          <w:tcPr>
            <w:tcW w:w="94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preferred unit offering, net of transaction costs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200.2</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ind w:left="220"/>
              <w:spacing w:after="0"/>
              <w:rPr>
                <w:sz w:val="20"/>
                <w:szCs w:val="20"/>
                <w:color w:val="auto"/>
              </w:rPr>
            </w:pPr>
            <w:r>
              <w:rPr>
                <w:rFonts w:ascii="Arial" w:cs="Arial" w:eastAsia="Arial" w:hAnsi="Arial"/>
                <w:sz w:val="16"/>
                <w:szCs w:val="16"/>
                <w:color w:val="auto"/>
              </w:rPr>
              <w:t>Payments of deferred consideration</w:t>
            </w:r>
          </w:p>
        </w:tc>
        <w:tc>
          <w:tcPr>
            <w:tcW w:w="94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Distributions to members</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w:t>
            </w:r>
          </w:p>
        </w:tc>
      </w:tr>
      <w:tr>
        <w:trPr>
          <w:trHeight w:val="264"/>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725.8</w:t>
            </w:r>
          </w:p>
        </w:tc>
        <w:tc>
          <w:tcPr>
            <w:tcW w:w="12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(29.9)</w:t>
            </w:r>
          </w:p>
        </w:tc>
      </w:tr>
      <w:tr>
        <w:trPr>
          <w:trHeight w:val="88"/>
        </w:trPr>
        <w:tc>
          <w:tcPr>
            <w:tcW w:w="79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4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0.8</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w:t>
            </w:r>
          </w:p>
        </w:tc>
      </w:tr>
      <w:tr>
        <w:trPr>
          <w:trHeight w:val="247"/>
        </w:trPr>
        <w:tc>
          <w:tcPr>
            <w:tcW w:w="79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9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Interest paid in cash:</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40.2</w:t>
            </w:r>
          </w:p>
        </w:tc>
      </w:tr>
      <w:tr>
        <w:trPr>
          <w:trHeight w:val="108"/>
        </w:trPr>
        <w:tc>
          <w:tcPr>
            <w:tcW w:w="7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24"/>
        </w:trPr>
        <w:tc>
          <w:tcPr>
            <w:tcW w:w="7980" w:type="dxa"/>
            <w:vAlign w:val="bottom"/>
          </w:tcPr>
          <w:p>
            <w:pPr>
              <w:ind w:left="220"/>
              <w:spacing w:after="0"/>
              <w:rPr>
                <w:sz w:val="20"/>
                <w:szCs w:val="20"/>
                <w:color w:val="auto"/>
              </w:rPr>
            </w:pPr>
            <w:r>
              <w:rPr>
                <w:rFonts w:ascii="Arial" w:cs="Arial" w:eastAsia="Arial" w:hAnsi="Arial"/>
                <w:sz w:val="16"/>
                <w:szCs w:val="16"/>
                <w:color w:val="auto"/>
              </w:rPr>
              <w:t>Deferred and variable consideration from acquisition of a business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9"/>
                <w:szCs w:val="19"/>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1.1</w:t>
            </w:r>
          </w:p>
        </w:tc>
      </w:tr>
      <w:tr>
        <w:trPr>
          <w:trHeight w:val="33"/>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unit repurchases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79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40"/>
          </w:cols>
          <w:pgMar w:left="320" w:top="121" w:right="339" w:bottom="790" w:gutter="0" w:footer="0" w:header="0"/>
          <w:type w:val="continuous"/>
        </w:sectPr>
      </w:pPr>
    </w:p>
    <w:bookmarkStart w:id="238" w:name="page239"/>
    <w:bookmarkEnd w:id="238"/>
    <w:p>
      <w:pPr>
        <w:jc w:val="center"/>
        <w:ind w:right="-49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DiscoverOrg Holdings, LLC and Subsidiaries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 millions, except unit counts, unless otherwise noted)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rFonts w:ascii="Arial" w:cs="Arial" w:eastAsia="Arial" w:hAnsi="Arial"/>
                <w:sz w:val="18"/>
                <w:szCs w:val="18"/>
                <w:u w:val="single" w:color="auto"/>
                <w:color w:val="0000FF"/>
              </w:rPr>
            </w:pPr>
            <w:hyperlink w:anchor="page239">
              <w:r>
                <w:rPr>
                  <w:rFonts w:ascii="Arial" w:cs="Arial" w:eastAsia="Arial" w:hAnsi="Arial"/>
                  <w:sz w:val="18"/>
                  <w:szCs w:val="18"/>
                  <w:u w:val="single" w:color="auto"/>
                  <w:color w:val="0000FF"/>
                </w:rPr>
                <w:t>Note 1</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39">
              <w:r>
                <w:rPr>
                  <w:rFonts w:ascii="Arial" w:cs="Arial" w:eastAsia="Arial" w:hAnsi="Arial"/>
                  <w:sz w:val="18"/>
                  <w:szCs w:val="18"/>
                  <w:u w:val="single" w:color="auto"/>
                  <w:color w:val="0000FF"/>
                </w:rPr>
                <w:t>Organization</w:t>
              </w:r>
            </w:hyperlink>
          </w:p>
        </w:tc>
        <w:tc>
          <w:tcPr>
            <w:tcW w:w="2520" w:type="dxa"/>
            <w:vAlign w:val="bottom"/>
          </w:tcPr>
          <w:p>
            <w:pPr>
              <w:ind w:left="2180"/>
              <w:spacing w:after="0"/>
              <w:rPr>
                <w:rFonts w:ascii="Arial" w:cs="Arial" w:eastAsia="Arial" w:hAnsi="Arial"/>
                <w:sz w:val="18"/>
                <w:szCs w:val="18"/>
                <w:color w:val="auto"/>
                <w:w w:val="86"/>
              </w:rPr>
            </w:pPr>
            <w:hyperlink w:anchor="page239">
              <w:r>
                <w:rPr>
                  <w:rFonts w:ascii="Arial" w:cs="Arial" w:eastAsia="Arial" w:hAnsi="Arial"/>
                  <w:sz w:val="18"/>
                  <w:szCs w:val="18"/>
                  <w:color w:val="auto"/>
                  <w:w w:val="86"/>
                </w:rPr>
                <w:t>F-14</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40">
              <w:r>
                <w:rPr>
                  <w:rFonts w:ascii="Arial" w:cs="Arial" w:eastAsia="Arial" w:hAnsi="Arial"/>
                  <w:sz w:val="18"/>
                  <w:szCs w:val="18"/>
                  <w:u w:val="single" w:color="auto"/>
                  <w:color w:val="0000FF"/>
                </w:rPr>
                <w:t>Note 2</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40">
              <w:r>
                <w:rPr>
                  <w:rFonts w:ascii="Arial" w:cs="Arial" w:eastAsia="Arial" w:hAnsi="Arial"/>
                  <w:sz w:val="18"/>
                  <w:szCs w:val="18"/>
                  <w:u w:val="single" w:color="auto"/>
                  <w:color w:val="0000FF"/>
                </w:rPr>
                <w:t>Basis of Presentation and Summary of Significant Accounting Policies</w:t>
              </w:r>
            </w:hyperlink>
          </w:p>
        </w:tc>
        <w:tc>
          <w:tcPr>
            <w:tcW w:w="2520" w:type="dxa"/>
            <w:vAlign w:val="bottom"/>
          </w:tcPr>
          <w:p>
            <w:pPr>
              <w:ind w:left="2180"/>
              <w:spacing w:after="0"/>
              <w:rPr>
                <w:rFonts w:ascii="Arial" w:cs="Arial" w:eastAsia="Arial" w:hAnsi="Arial"/>
                <w:sz w:val="18"/>
                <w:szCs w:val="18"/>
                <w:color w:val="auto"/>
                <w:w w:val="86"/>
              </w:rPr>
            </w:pPr>
            <w:hyperlink w:anchor="page240">
              <w:r>
                <w:rPr>
                  <w:rFonts w:ascii="Arial" w:cs="Arial" w:eastAsia="Arial" w:hAnsi="Arial"/>
                  <w:sz w:val="18"/>
                  <w:szCs w:val="18"/>
                  <w:color w:val="auto"/>
                  <w:w w:val="86"/>
                </w:rPr>
                <w:t>F-14</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48">
              <w:r>
                <w:rPr>
                  <w:rFonts w:ascii="Arial" w:cs="Arial" w:eastAsia="Arial" w:hAnsi="Arial"/>
                  <w:sz w:val="18"/>
                  <w:szCs w:val="18"/>
                  <w:u w:val="single" w:color="auto"/>
                  <w:color w:val="0000FF"/>
                </w:rPr>
                <w:t>Note 3</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48">
              <w:r>
                <w:rPr>
                  <w:rFonts w:ascii="Arial" w:cs="Arial" w:eastAsia="Arial" w:hAnsi="Arial"/>
                  <w:sz w:val="18"/>
                  <w:szCs w:val="18"/>
                  <w:u w:val="single" w:color="auto"/>
                  <w:color w:val="0000FF"/>
                </w:rPr>
                <w:t>Revenue from Contracts with Customers</w:t>
              </w:r>
            </w:hyperlink>
          </w:p>
        </w:tc>
        <w:tc>
          <w:tcPr>
            <w:tcW w:w="2520" w:type="dxa"/>
            <w:vAlign w:val="bottom"/>
          </w:tcPr>
          <w:p>
            <w:pPr>
              <w:ind w:left="2180"/>
              <w:spacing w:after="0"/>
              <w:rPr>
                <w:rFonts w:ascii="Arial" w:cs="Arial" w:eastAsia="Arial" w:hAnsi="Arial"/>
                <w:sz w:val="18"/>
                <w:szCs w:val="18"/>
                <w:color w:val="auto"/>
                <w:w w:val="86"/>
              </w:rPr>
            </w:pPr>
            <w:hyperlink w:anchor="page248">
              <w:r>
                <w:rPr>
                  <w:rFonts w:ascii="Arial" w:cs="Arial" w:eastAsia="Arial" w:hAnsi="Arial"/>
                  <w:sz w:val="18"/>
                  <w:szCs w:val="18"/>
                  <w:color w:val="auto"/>
                  <w:w w:val="86"/>
                </w:rPr>
                <w:t>F-22</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49">
              <w:r>
                <w:rPr>
                  <w:rFonts w:ascii="Arial" w:cs="Arial" w:eastAsia="Arial" w:hAnsi="Arial"/>
                  <w:sz w:val="18"/>
                  <w:szCs w:val="18"/>
                  <w:u w:val="single" w:color="auto"/>
                  <w:color w:val="0000FF"/>
                </w:rPr>
                <w:t>Note 4</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49">
              <w:r>
                <w:rPr>
                  <w:rFonts w:ascii="Arial" w:cs="Arial" w:eastAsia="Arial" w:hAnsi="Arial"/>
                  <w:sz w:val="18"/>
                  <w:szCs w:val="18"/>
                  <w:u w:val="single" w:color="auto"/>
                  <w:color w:val="0000FF"/>
                </w:rPr>
                <w:t>Business Combinations</w:t>
              </w:r>
            </w:hyperlink>
          </w:p>
        </w:tc>
        <w:tc>
          <w:tcPr>
            <w:tcW w:w="2520" w:type="dxa"/>
            <w:vAlign w:val="bottom"/>
          </w:tcPr>
          <w:p>
            <w:pPr>
              <w:ind w:left="2180"/>
              <w:spacing w:after="0"/>
              <w:rPr>
                <w:rFonts w:ascii="Arial" w:cs="Arial" w:eastAsia="Arial" w:hAnsi="Arial"/>
                <w:sz w:val="18"/>
                <w:szCs w:val="18"/>
                <w:color w:val="auto"/>
                <w:w w:val="86"/>
              </w:rPr>
            </w:pPr>
            <w:hyperlink w:anchor="page249">
              <w:r>
                <w:rPr>
                  <w:rFonts w:ascii="Arial" w:cs="Arial" w:eastAsia="Arial" w:hAnsi="Arial"/>
                  <w:sz w:val="18"/>
                  <w:szCs w:val="18"/>
                  <w:color w:val="auto"/>
                  <w:w w:val="86"/>
                </w:rPr>
                <w:t>F-23</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53">
              <w:r>
                <w:rPr>
                  <w:rFonts w:ascii="Arial" w:cs="Arial" w:eastAsia="Arial" w:hAnsi="Arial"/>
                  <w:sz w:val="18"/>
                  <w:szCs w:val="18"/>
                  <w:u w:val="single" w:color="auto"/>
                  <w:color w:val="0000FF"/>
                </w:rPr>
                <w:t>Note 5</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53">
              <w:r>
                <w:rPr>
                  <w:rFonts w:ascii="Arial" w:cs="Arial" w:eastAsia="Arial" w:hAnsi="Arial"/>
                  <w:sz w:val="18"/>
                  <w:szCs w:val="18"/>
                  <w:u w:val="single" w:color="auto"/>
                  <w:color w:val="0000FF"/>
                </w:rPr>
                <w:t>Property and Equipment</w:t>
              </w:r>
            </w:hyperlink>
          </w:p>
        </w:tc>
        <w:tc>
          <w:tcPr>
            <w:tcW w:w="2520" w:type="dxa"/>
            <w:vAlign w:val="bottom"/>
          </w:tcPr>
          <w:p>
            <w:pPr>
              <w:ind w:left="2180"/>
              <w:spacing w:after="0"/>
              <w:rPr>
                <w:rFonts w:ascii="Arial" w:cs="Arial" w:eastAsia="Arial" w:hAnsi="Arial"/>
                <w:sz w:val="18"/>
                <w:szCs w:val="18"/>
                <w:color w:val="auto"/>
                <w:w w:val="86"/>
              </w:rPr>
            </w:pPr>
            <w:hyperlink w:anchor="page253">
              <w:r>
                <w:rPr>
                  <w:rFonts w:ascii="Arial" w:cs="Arial" w:eastAsia="Arial" w:hAnsi="Arial"/>
                  <w:sz w:val="18"/>
                  <w:szCs w:val="18"/>
                  <w:color w:val="auto"/>
                  <w:w w:val="86"/>
                </w:rPr>
                <w:t>F-27</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53">
              <w:r>
                <w:rPr>
                  <w:rFonts w:ascii="Arial" w:cs="Arial" w:eastAsia="Arial" w:hAnsi="Arial"/>
                  <w:sz w:val="18"/>
                  <w:szCs w:val="18"/>
                  <w:u w:val="single" w:color="auto"/>
                  <w:color w:val="0000FF"/>
                </w:rPr>
                <w:t>Note 6</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53">
              <w:r>
                <w:rPr>
                  <w:rFonts w:ascii="Arial" w:cs="Arial" w:eastAsia="Arial" w:hAnsi="Arial"/>
                  <w:sz w:val="18"/>
                  <w:szCs w:val="18"/>
                  <w:u w:val="single" w:color="auto"/>
                  <w:color w:val="0000FF"/>
                </w:rPr>
                <w:t>Goodwill and Acquired Intangible Assets</w:t>
              </w:r>
            </w:hyperlink>
          </w:p>
        </w:tc>
        <w:tc>
          <w:tcPr>
            <w:tcW w:w="2520" w:type="dxa"/>
            <w:vAlign w:val="bottom"/>
          </w:tcPr>
          <w:p>
            <w:pPr>
              <w:ind w:left="2180"/>
              <w:spacing w:after="0"/>
              <w:rPr>
                <w:rFonts w:ascii="Arial" w:cs="Arial" w:eastAsia="Arial" w:hAnsi="Arial"/>
                <w:sz w:val="18"/>
                <w:szCs w:val="18"/>
                <w:color w:val="auto"/>
                <w:w w:val="86"/>
              </w:rPr>
            </w:pPr>
            <w:hyperlink w:anchor="page253">
              <w:r>
                <w:rPr>
                  <w:rFonts w:ascii="Arial" w:cs="Arial" w:eastAsia="Arial" w:hAnsi="Arial"/>
                  <w:sz w:val="18"/>
                  <w:szCs w:val="18"/>
                  <w:color w:val="auto"/>
                  <w:w w:val="86"/>
                </w:rPr>
                <w:t>F-28</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55">
              <w:r>
                <w:rPr>
                  <w:rFonts w:ascii="Arial" w:cs="Arial" w:eastAsia="Arial" w:hAnsi="Arial"/>
                  <w:sz w:val="18"/>
                  <w:szCs w:val="18"/>
                  <w:u w:val="single" w:color="auto"/>
                  <w:color w:val="0000FF"/>
                </w:rPr>
                <w:t>Note 7</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55">
              <w:r>
                <w:rPr>
                  <w:rFonts w:ascii="Arial" w:cs="Arial" w:eastAsia="Arial" w:hAnsi="Arial"/>
                  <w:sz w:val="18"/>
                  <w:szCs w:val="18"/>
                  <w:u w:val="single" w:color="auto"/>
                  <w:color w:val="0000FF"/>
                </w:rPr>
                <w:t>Financing Arrangements</w:t>
              </w:r>
            </w:hyperlink>
          </w:p>
        </w:tc>
        <w:tc>
          <w:tcPr>
            <w:tcW w:w="2520" w:type="dxa"/>
            <w:vAlign w:val="bottom"/>
          </w:tcPr>
          <w:p>
            <w:pPr>
              <w:ind w:left="2180"/>
              <w:spacing w:after="0"/>
              <w:rPr>
                <w:rFonts w:ascii="Arial" w:cs="Arial" w:eastAsia="Arial" w:hAnsi="Arial"/>
                <w:sz w:val="18"/>
                <w:szCs w:val="18"/>
                <w:color w:val="auto"/>
                <w:w w:val="86"/>
              </w:rPr>
            </w:pPr>
            <w:hyperlink w:anchor="page255">
              <w:r>
                <w:rPr>
                  <w:rFonts w:ascii="Arial" w:cs="Arial" w:eastAsia="Arial" w:hAnsi="Arial"/>
                  <w:sz w:val="18"/>
                  <w:szCs w:val="18"/>
                  <w:color w:val="auto"/>
                  <w:w w:val="86"/>
                </w:rPr>
                <w:t>F-29</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57">
              <w:r>
                <w:rPr>
                  <w:rFonts w:ascii="Arial" w:cs="Arial" w:eastAsia="Arial" w:hAnsi="Arial"/>
                  <w:sz w:val="18"/>
                  <w:szCs w:val="18"/>
                  <w:u w:val="single" w:color="auto"/>
                  <w:color w:val="0000FF"/>
                </w:rPr>
                <w:t>Note 8</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57">
              <w:r>
                <w:rPr>
                  <w:rFonts w:ascii="Arial" w:cs="Arial" w:eastAsia="Arial" w:hAnsi="Arial"/>
                  <w:sz w:val="18"/>
                  <w:szCs w:val="18"/>
                  <w:u w:val="single" w:color="auto"/>
                  <w:color w:val="0000FF"/>
                </w:rPr>
                <w:t>Derivatives and Hedging Activities</w:t>
              </w:r>
            </w:hyperlink>
          </w:p>
        </w:tc>
        <w:tc>
          <w:tcPr>
            <w:tcW w:w="2520" w:type="dxa"/>
            <w:vAlign w:val="bottom"/>
          </w:tcPr>
          <w:p>
            <w:pPr>
              <w:ind w:left="2180"/>
              <w:spacing w:after="0"/>
              <w:rPr>
                <w:rFonts w:ascii="Arial" w:cs="Arial" w:eastAsia="Arial" w:hAnsi="Arial"/>
                <w:sz w:val="18"/>
                <w:szCs w:val="18"/>
                <w:color w:val="auto"/>
                <w:w w:val="86"/>
              </w:rPr>
            </w:pPr>
            <w:hyperlink w:anchor="page257">
              <w:r>
                <w:rPr>
                  <w:rFonts w:ascii="Arial" w:cs="Arial" w:eastAsia="Arial" w:hAnsi="Arial"/>
                  <w:sz w:val="18"/>
                  <w:szCs w:val="18"/>
                  <w:color w:val="auto"/>
                  <w:w w:val="86"/>
                </w:rPr>
                <w:t>F-31</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58">
              <w:r>
                <w:rPr>
                  <w:rFonts w:ascii="Arial" w:cs="Arial" w:eastAsia="Arial" w:hAnsi="Arial"/>
                  <w:sz w:val="18"/>
                  <w:szCs w:val="18"/>
                  <w:u w:val="single" w:color="auto"/>
                  <w:color w:val="0000FF"/>
                </w:rPr>
                <w:t>Note 9</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58">
              <w:r>
                <w:rPr>
                  <w:rFonts w:ascii="Arial" w:cs="Arial" w:eastAsia="Arial" w:hAnsi="Arial"/>
                  <w:sz w:val="18"/>
                  <w:szCs w:val="18"/>
                  <w:u w:val="single" w:color="auto"/>
                  <w:color w:val="0000FF"/>
                </w:rPr>
                <w:t>Fair Value Measurements</w:t>
              </w:r>
            </w:hyperlink>
          </w:p>
        </w:tc>
        <w:tc>
          <w:tcPr>
            <w:tcW w:w="2520" w:type="dxa"/>
            <w:vAlign w:val="bottom"/>
          </w:tcPr>
          <w:p>
            <w:pPr>
              <w:ind w:left="2180"/>
              <w:spacing w:after="0"/>
              <w:rPr>
                <w:rFonts w:ascii="Arial" w:cs="Arial" w:eastAsia="Arial" w:hAnsi="Arial"/>
                <w:sz w:val="18"/>
                <w:szCs w:val="18"/>
                <w:color w:val="auto"/>
                <w:w w:val="86"/>
              </w:rPr>
            </w:pPr>
            <w:hyperlink w:anchor="page258">
              <w:r>
                <w:rPr>
                  <w:rFonts w:ascii="Arial" w:cs="Arial" w:eastAsia="Arial" w:hAnsi="Arial"/>
                  <w:sz w:val="18"/>
                  <w:szCs w:val="18"/>
                  <w:color w:val="auto"/>
                  <w:w w:val="86"/>
                </w:rPr>
                <w:t>F-32</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60">
              <w:r>
                <w:rPr>
                  <w:rFonts w:ascii="Arial" w:cs="Arial" w:eastAsia="Arial" w:hAnsi="Arial"/>
                  <w:sz w:val="18"/>
                  <w:szCs w:val="18"/>
                  <w:u w:val="single" w:color="auto"/>
                  <w:color w:val="0000FF"/>
                </w:rPr>
                <w:t>Note 10</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60">
              <w:r>
                <w:rPr>
                  <w:rFonts w:ascii="Arial" w:cs="Arial" w:eastAsia="Arial" w:hAnsi="Arial"/>
                  <w:sz w:val="18"/>
                  <w:szCs w:val="18"/>
                  <w:u w:val="single" w:color="auto"/>
                  <w:color w:val="0000FF"/>
                </w:rPr>
                <w:t>Commitments and Contingencies</w:t>
              </w:r>
            </w:hyperlink>
          </w:p>
        </w:tc>
        <w:tc>
          <w:tcPr>
            <w:tcW w:w="2520" w:type="dxa"/>
            <w:vAlign w:val="bottom"/>
          </w:tcPr>
          <w:p>
            <w:pPr>
              <w:ind w:left="2180"/>
              <w:spacing w:after="0"/>
              <w:rPr>
                <w:rFonts w:ascii="Arial" w:cs="Arial" w:eastAsia="Arial" w:hAnsi="Arial"/>
                <w:sz w:val="18"/>
                <w:szCs w:val="18"/>
                <w:color w:val="auto"/>
                <w:w w:val="86"/>
              </w:rPr>
            </w:pPr>
            <w:hyperlink w:anchor="page260">
              <w:r>
                <w:rPr>
                  <w:rFonts w:ascii="Arial" w:cs="Arial" w:eastAsia="Arial" w:hAnsi="Arial"/>
                  <w:sz w:val="18"/>
                  <w:szCs w:val="18"/>
                  <w:color w:val="auto"/>
                  <w:w w:val="86"/>
                </w:rPr>
                <w:t>F-34</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60">
              <w:r>
                <w:rPr>
                  <w:rFonts w:ascii="Arial" w:cs="Arial" w:eastAsia="Arial" w:hAnsi="Arial"/>
                  <w:sz w:val="18"/>
                  <w:szCs w:val="18"/>
                  <w:u w:val="single" w:color="auto"/>
                  <w:color w:val="0000FF"/>
                </w:rPr>
                <w:t>Note 11</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60">
              <w:r>
                <w:rPr>
                  <w:rFonts w:ascii="Arial" w:cs="Arial" w:eastAsia="Arial" w:hAnsi="Arial"/>
                  <w:sz w:val="18"/>
                  <w:szCs w:val="18"/>
                  <w:u w:val="single" w:color="auto"/>
                  <w:color w:val="0000FF"/>
                </w:rPr>
                <w:t>Leases</w:t>
              </w:r>
            </w:hyperlink>
          </w:p>
        </w:tc>
        <w:tc>
          <w:tcPr>
            <w:tcW w:w="2520" w:type="dxa"/>
            <w:vAlign w:val="bottom"/>
          </w:tcPr>
          <w:p>
            <w:pPr>
              <w:ind w:left="2180"/>
              <w:spacing w:after="0"/>
              <w:rPr>
                <w:rFonts w:ascii="Arial" w:cs="Arial" w:eastAsia="Arial" w:hAnsi="Arial"/>
                <w:sz w:val="18"/>
                <w:szCs w:val="18"/>
                <w:color w:val="auto"/>
                <w:w w:val="86"/>
              </w:rPr>
            </w:pPr>
            <w:hyperlink w:anchor="page260">
              <w:r>
                <w:rPr>
                  <w:rFonts w:ascii="Arial" w:cs="Arial" w:eastAsia="Arial" w:hAnsi="Arial"/>
                  <w:sz w:val="18"/>
                  <w:szCs w:val="18"/>
                  <w:color w:val="auto"/>
                  <w:w w:val="86"/>
                </w:rPr>
                <w:t>F-35</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62">
              <w:r>
                <w:rPr>
                  <w:rFonts w:ascii="Arial" w:cs="Arial" w:eastAsia="Arial" w:hAnsi="Arial"/>
                  <w:sz w:val="18"/>
                  <w:szCs w:val="18"/>
                  <w:u w:val="single" w:color="auto"/>
                  <w:color w:val="0000FF"/>
                </w:rPr>
                <w:t>Note 12</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62">
              <w:r>
                <w:rPr>
                  <w:rFonts w:ascii="Arial" w:cs="Arial" w:eastAsia="Arial" w:hAnsi="Arial"/>
                  <w:sz w:val="18"/>
                  <w:szCs w:val="18"/>
                  <w:u w:val="single" w:color="auto"/>
                  <w:color w:val="0000FF"/>
                </w:rPr>
                <w:t>Members’ Deficit</w:t>
              </w:r>
            </w:hyperlink>
          </w:p>
        </w:tc>
        <w:tc>
          <w:tcPr>
            <w:tcW w:w="2520" w:type="dxa"/>
            <w:vAlign w:val="bottom"/>
          </w:tcPr>
          <w:p>
            <w:pPr>
              <w:ind w:left="2180"/>
              <w:spacing w:after="0"/>
              <w:rPr>
                <w:rFonts w:ascii="Arial" w:cs="Arial" w:eastAsia="Arial" w:hAnsi="Arial"/>
                <w:sz w:val="18"/>
                <w:szCs w:val="18"/>
                <w:color w:val="auto"/>
                <w:w w:val="86"/>
              </w:rPr>
            </w:pPr>
            <w:hyperlink w:anchor="page262">
              <w:r>
                <w:rPr>
                  <w:rFonts w:ascii="Arial" w:cs="Arial" w:eastAsia="Arial" w:hAnsi="Arial"/>
                  <w:sz w:val="18"/>
                  <w:szCs w:val="18"/>
                  <w:color w:val="auto"/>
                  <w:w w:val="86"/>
                </w:rPr>
                <w:t>F-36</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63">
              <w:r>
                <w:rPr>
                  <w:rFonts w:ascii="Arial" w:cs="Arial" w:eastAsia="Arial" w:hAnsi="Arial"/>
                  <w:sz w:val="18"/>
                  <w:szCs w:val="18"/>
                  <w:u w:val="single" w:color="auto"/>
                  <w:color w:val="0000FF"/>
                </w:rPr>
                <w:t>Note 13</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63">
              <w:r>
                <w:rPr>
                  <w:rFonts w:ascii="Arial" w:cs="Arial" w:eastAsia="Arial" w:hAnsi="Arial"/>
                  <w:sz w:val="18"/>
                  <w:szCs w:val="18"/>
                  <w:u w:val="single" w:color="auto"/>
                  <w:color w:val="0000FF"/>
                </w:rPr>
                <w:t>Redeemable Series A Preferred Units</w:t>
              </w:r>
            </w:hyperlink>
          </w:p>
        </w:tc>
        <w:tc>
          <w:tcPr>
            <w:tcW w:w="2520" w:type="dxa"/>
            <w:vAlign w:val="bottom"/>
          </w:tcPr>
          <w:p>
            <w:pPr>
              <w:ind w:left="2180"/>
              <w:spacing w:after="0"/>
              <w:rPr>
                <w:rFonts w:ascii="Arial" w:cs="Arial" w:eastAsia="Arial" w:hAnsi="Arial"/>
                <w:sz w:val="18"/>
                <w:szCs w:val="18"/>
                <w:color w:val="auto"/>
                <w:w w:val="86"/>
              </w:rPr>
            </w:pPr>
            <w:hyperlink w:anchor="page263">
              <w:r>
                <w:rPr>
                  <w:rFonts w:ascii="Arial" w:cs="Arial" w:eastAsia="Arial" w:hAnsi="Arial"/>
                  <w:sz w:val="18"/>
                  <w:szCs w:val="18"/>
                  <w:color w:val="auto"/>
                  <w:w w:val="86"/>
                </w:rPr>
                <w:t>F-37</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64">
              <w:r>
                <w:rPr>
                  <w:rFonts w:ascii="Arial" w:cs="Arial" w:eastAsia="Arial" w:hAnsi="Arial"/>
                  <w:sz w:val="18"/>
                  <w:szCs w:val="18"/>
                  <w:u w:val="single" w:color="auto"/>
                  <w:color w:val="0000FF"/>
                </w:rPr>
                <w:t>Note 14</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64">
              <w:r>
                <w:rPr>
                  <w:rFonts w:ascii="Arial" w:cs="Arial" w:eastAsia="Arial" w:hAnsi="Arial"/>
                  <w:sz w:val="18"/>
                  <w:szCs w:val="18"/>
                  <w:u w:val="single" w:color="auto"/>
                  <w:color w:val="0000FF"/>
                </w:rPr>
                <w:t>Employee Retirement Benefits</w:t>
              </w:r>
            </w:hyperlink>
          </w:p>
        </w:tc>
        <w:tc>
          <w:tcPr>
            <w:tcW w:w="2520" w:type="dxa"/>
            <w:vAlign w:val="bottom"/>
          </w:tcPr>
          <w:p>
            <w:pPr>
              <w:ind w:left="2180"/>
              <w:spacing w:after="0"/>
              <w:rPr>
                <w:rFonts w:ascii="Arial" w:cs="Arial" w:eastAsia="Arial" w:hAnsi="Arial"/>
                <w:sz w:val="18"/>
                <w:szCs w:val="18"/>
                <w:color w:val="auto"/>
                <w:w w:val="86"/>
              </w:rPr>
            </w:pPr>
            <w:hyperlink w:anchor="page264">
              <w:r>
                <w:rPr>
                  <w:rFonts w:ascii="Arial" w:cs="Arial" w:eastAsia="Arial" w:hAnsi="Arial"/>
                  <w:sz w:val="18"/>
                  <w:szCs w:val="18"/>
                  <w:color w:val="auto"/>
                  <w:w w:val="86"/>
                </w:rPr>
                <w:t>F-38</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64">
              <w:r>
                <w:rPr>
                  <w:rFonts w:ascii="Arial" w:cs="Arial" w:eastAsia="Arial" w:hAnsi="Arial"/>
                  <w:sz w:val="18"/>
                  <w:szCs w:val="18"/>
                  <w:u w:val="single" w:color="auto"/>
                  <w:color w:val="0000FF"/>
                </w:rPr>
                <w:t>Note 15</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64">
              <w:r>
                <w:rPr>
                  <w:rFonts w:ascii="Arial" w:cs="Arial" w:eastAsia="Arial" w:hAnsi="Arial"/>
                  <w:sz w:val="18"/>
                  <w:szCs w:val="18"/>
                  <w:u w:val="single" w:color="auto"/>
                  <w:color w:val="0000FF"/>
                </w:rPr>
                <w:t>Equity-Based Compensation</w:t>
              </w:r>
            </w:hyperlink>
          </w:p>
        </w:tc>
        <w:tc>
          <w:tcPr>
            <w:tcW w:w="2520" w:type="dxa"/>
            <w:vAlign w:val="bottom"/>
          </w:tcPr>
          <w:p>
            <w:pPr>
              <w:ind w:left="2180"/>
              <w:spacing w:after="0"/>
              <w:rPr>
                <w:rFonts w:ascii="Arial" w:cs="Arial" w:eastAsia="Arial" w:hAnsi="Arial"/>
                <w:sz w:val="18"/>
                <w:szCs w:val="18"/>
                <w:color w:val="auto"/>
                <w:w w:val="86"/>
              </w:rPr>
            </w:pPr>
            <w:hyperlink w:anchor="page264">
              <w:r>
                <w:rPr>
                  <w:rFonts w:ascii="Arial" w:cs="Arial" w:eastAsia="Arial" w:hAnsi="Arial"/>
                  <w:sz w:val="18"/>
                  <w:szCs w:val="18"/>
                  <w:color w:val="auto"/>
                  <w:w w:val="86"/>
                </w:rPr>
                <w:t>F-38</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66">
              <w:r>
                <w:rPr>
                  <w:rFonts w:ascii="Arial" w:cs="Arial" w:eastAsia="Arial" w:hAnsi="Arial"/>
                  <w:sz w:val="18"/>
                  <w:szCs w:val="18"/>
                  <w:u w:val="single" w:color="auto"/>
                  <w:color w:val="0000FF"/>
                </w:rPr>
                <w:t>Note 16</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66">
              <w:r>
                <w:rPr>
                  <w:rFonts w:ascii="Arial" w:cs="Arial" w:eastAsia="Arial" w:hAnsi="Arial"/>
                  <w:sz w:val="18"/>
                  <w:szCs w:val="18"/>
                  <w:u w:val="single" w:color="auto"/>
                  <w:color w:val="0000FF"/>
                </w:rPr>
                <w:t>Segment and Geographic Data</w:t>
              </w:r>
            </w:hyperlink>
          </w:p>
        </w:tc>
        <w:tc>
          <w:tcPr>
            <w:tcW w:w="2520" w:type="dxa"/>
            <w:vAlign w:val="bottom"/>
          </w:tcPr>
          <w:p>
            <w:pPr>
              <w:ind w:left="2180"/>
              <w:spacing w:after="0"/>
              <w:rPr>
                <w:rFonts w:ascii="Arial" w:cs="Arial" w:eastAsia="Arial" w:hAnsi="Arial"/>
                <w:sz w:val="18"/>
                <w:szCs w:val="18"/>
                <w:color w:val="auto"/>
                <w:w w:val="86"/>
              </w:rPr>
            </w:pPr>
            <w:hyperlink w:anchor="page266">
              <w:r>
                <w:rPr>
                  <w:rFonts w:ascii="Arial" w:cs="Arial" w:eastAsia="Arial" w:hAnsi="Arial"/>
                  <w:sz w:val="18"/>
                  <w:szCs w:val="18"/>
                  <w:color w:val="auto"/>
                  <w:w w:val="86"/>
                </w:rPr>
                <w:t>F-40</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66">
              <w:r>
                <w:rPr>
                  <w:rFonts w:ascii="Arial" w:cs="Arial" w:eastAsia="Arial" w:hAnsi="Arial"/>
                  <w:sz w:val="18"/>
                  <w:szCs w:val="18"/>
                  <w:u w:val="single" w:color="auto"/>
                  <w:color w:val="0000FF"/>
                </w:rPr>
                <w:t>Note 17</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66">
              <w:r>
                <w:rPr>
                  <w:rFonts w:ascii="Arial" w:cs="Arial" w:eastAsia="Arial" w:hAnsi="Arial"/>
                  <w:sz w:val="18"/>
                  <w:szCs w:val="18"/>
                  <w:u w:val="single" w:color="auto"/>
                  <w:color w:val="0000FF"/>
                </w:rPr>
                <w:t>Income Tax Provisions</w:t>
              </w:r>
            </w:hyperlink>
          </w:p>
        </w:tc>
        <w:tc>
          <w:tcPr>
            <w:tcW w:w="2520" w:type="dxa"/>
            <w:vAlign w:val="bottom"/>
          </w:tcPr>
          <w:p>
            <w:pPr>
              <w:ind w:left="2180"/>
              <w:spacing w:after="0"/>
              <w:rPr>
                <w:rFonts w:ascii="Arial" w:cs="Arial" w:eastAsia="Arial" w:hAnsi="Arial"/>
                <w:sz w:val="18"/>
                <w:szCs w:val="18"/>
                <w:color w:val="auto"/>
                <w:w w:val="86"/>
              </w:rPr>
            </w:pPr>
            <w:hyperlink w:anchor="page266">
              <w:r>
                <w:rPr>
                  <w:rFonts w:ascii="Arial" w:cs="Arial" w:eastAsia="Arial" w:hAnsi="Arial"/>
                  <w:sz w:val="18"/>
                  <w:szCs w:val="18"/>
                  <w:color w:val="auto"/>
                  <w:w w:val="86"/>
                </w:rPr>
                <w:t>F-41</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68">
              <w:r>
                <w:rPr>
                  <w:rFonts w:ascii="Arial" w:cs="Arial" w:eastAsia="Arial" w:hAnsi="Arial"/>
                  <w:sz w:val="18"/>
                  <w:szCs w:val="18"/>
                  <w:u w:val="single" w:color="auto"/>
                  <w:color w:val="0000FF"/>
                </w:rPr>
                <w:t>Note 18</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68">
              <w:r>
                <w:rPr>
                  <w:rFonts w:ascii="Arial" w:cs="Arial" w:eastAsia="Arial" w:hAnsi="Arial"/>
                  <w:sz w:val="18"/>
                  <w:szCs w:val="18"/>
                  <w:u w:val="single" w:color="auto"/>
                  <w:color w:val="0000FF"/>
                </w:rPr>
                <w:t>Subsequent Events</w:t>
              </w:r>
            </w:hyperlink>
          </w:p>
        </w:tc>
        <w:tc>
          <w:tcPr>
            <w:tcW w:w="2520" w:type="dxa"/>
            <w:vAlign w:val="bottom"/>
          </w:tcPr>
          <w:p>
            <w:pPr>
              <w:ind w:left="2180"/>
              <w:spacing w:after="0"/>
              <w:rPr>
                <w:rFonts w:ascii="Arial" w:cs="Arial" w:eastAsia="Arial" w:hAnsi="Arial"/>
                <w:sz w:val="18"/>
                <w:szCs w:val="18"/>
                <w:color w:val="auto"/>
                <w:w w:val="86"/>
              </w:rPr>
            </w:pPr>
            <w:hyperlink w:anchor="page268">
              <w:r>
                <w:rPr>
                  <w:rFonts w:ascii="Arial" w:cs="Arial" w:eastAsia="Arial" w:hAnsi="Arial"/>
                  <w:sz w:val="18"/>
                  <w:szCs w:val="18"/>
                  <w:color w:val="auto"/>
                  <w:w w:val="86"/>
                </w:rPr>
                <w:t>F-43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40"/>
          </w:cols>
          <w:pgMar w:left="340" w:top="121" w:right="519" w:bottom="1440" w:gutter="0" w:footer="0" w:header="0"/>
        </w:sectPr>
      </w:pPr>
    </w:p>
    <w:bookmarkStart w:id="239" w:name="page240"/>
    <w:bookmarkEnd w:id="23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DiscoverOrg Holdings, LLC (together with its subsidiaries, “DiscoverOrg” or the “Company”) provides a go-to-market intelligence platform for sales and marketing teams. The Company’s cloud-based platform provides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headquarters are located in Vancouver, Washington, with operations in seven offices throughout the United States (“U.S.”) and one office in Israel.</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began operations in 2007 through a predecessor entity then called DiscoverOrg LLC and was incorporated in Delaware in 2014 as a limited liability company. The Company is comprised of two limited liability companies that are treated as partnerships for tax purposes, eleven limited liability companies that are single member entities and disregarded for tax purposes, two corporations, and one foreign entity. Members' liability is limited pursuant to the Delaware Limited Liability Company Act.</w:t>
      </w:r>
    </w:p>
    <w:p>
      <w:pPr>
        <w:spacing w:after="0" w:line="129" w:lineRule="exact"/>
        <w:rPr>
          <w:sz w:val="20"/>
          <w:szCs w:val="20"/>
          <w:color w:val="auto"/>
        </w:rPr>
      </w:pPr>
    </w:p>
    <w:p>
      <w:pPr>
        <w:ind w:right="5220"/>
        <w:spacing w:after="0" w:line="440"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(“GAAP”). The consolidated financial statements include the results of DiscoverOrg Holdings, LLC and its wholly owned subsidiaries. All intercompany balances and transactions have been eliminated in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a business combination, equity-based compensation and income taxes, among other things. Management bases these estimates on historical and anticipated results, trends, and other assumptions with respect to future events that we believe are reasonable and evaluate the Company’s estimates on an ongoing basis. Given that estimates and judgments are required, actual results may differ and such differences could be material to the consolidated financial position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derives revenue primarily from subscription services. Subscription services consist of SaaS applications and related access to the Company’s databases. Subscription contracts are generally based on the number of users that access the applications, the level of functionality, and the number of datasets or records made available. Subscription contracts typically have a term of one to three years and are non-cancellable. Subscription contracts generally represent a single performance obligation and are recognized on a ratable basis over the subscription term. Services are typically billed quarterly or annually in advance of delivery.</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Company adopted Financial Accounting Standards Board (“FASB”) Accounting Standards Codification (“ASC”) Topic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(“Topic 606”), effective January 1, 2018, using the full retrospective method of adoption as if the adoption occurred on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1, 2017. As such, the consolidated financial statements present revenue in accordance with Topic 606 for all the periods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identify the contract with a customer;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21" w:right="339" w:bottom="1440" w:gutter="0" w:footer="0" w:header="0"/>
        </w:sectPr>
      </w:pPr>
    </w:p>
    <w:bookmarkStart w:id="240" w:name="page241"/>
    <w:bookmarkEnd w:id="24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ind w:left="640" w:hanging="308"/>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revenue for subscription contracts on a ratable basis over the contract term, beginning on the date that the service is made available to the customer. Unearned revenue results from revenue amounts billed to customers in advance or cash received from customers in advance of the satisfaction of performance obligations. At times, the Company may adjust billing under a contract based on the addition of services or other circumstances, which are accounted for as variable consideration under Topic 606. The Company estimates these amounts based on historical experience to arrive at transaction price.</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identified an error in its consolidated balance sheet as of January 1, 2018 related to the adoption of ASC 606, Revenue from Contracts with Customers, consisting of a $4.3 million understatement of members’ deficit and an understatement of deferred revenue of the same amount. The Company has corrected this error by decreasing members’ deficit by $4.3 million to $29.8 million in the consolidated statements of changes in members’ deficit as of January 1, 2018, and adjusting unearned revenue and member’s deficit in the consolidated balance sheets as of December 31, 2018 both by $4.3 million. The Company does not believe these adjustments are material to the previously issued financial statements, and the adjustments had no impact on the consolidated statements of operations or consolidated statements of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financial instruments consist principally of cash and cash equivalents, prepaid expenses and other current assets, accounts receivable,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consist of highly liquid investments with maturities of three months or less at the time of 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The Company holds cash at major financial institutions that often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21" w:right="339" w:bottom="1440" w:gutter="0" w:footer="0" w:header="0"/>
        </w:sectPr>
      </w:pPr>
    </w:p>
    <w:bookmarkStart w:id="241" w:name="page242"/>
    <w:bookmarkEnd w:id="24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Concentrations of credit risk with respect to accounts receivable and revenue are limited due to a large, diverse customer base. The Company does not require collateral from clients. The Company maintains an allowance for doubtful accounts based upon the expected collectability of accounts receivable. The Company maintains allowances for possible losses, which, when realized, have been within the range of management’s expectations.</w:t>
      </w:r>
    </w:p>
    <w:p>
      <w:pPr>
        <w:spacing w:after="0" w:line="9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years ended December 31, 2019 and 2018, revenue by geographic area, based on billing addresses of the customers, was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For the year ended December 31,</w:t>
            </w:r>
          </w:p>
        </w:tc>
        <w:tc>
          <w:tcPr>
            <w:tcW w:w="580" w:type="dxa"/>
            <w:vAlign w:val="bottom"/>
            <w:tcBorders>
              <w:bottom w:val="single" w:sz="8" w:color="auto"/>
            </w:tcBorders>
          </w:tcPr>
          <w:p>
            <w:pPr>
              <w:spacing w:after="0"/>
              <w:rPr>
                <w:sz w:val="16"/>
                <w:szCs w:val="16"/>
                <w:color w:val="auto"/>
              </w:rPr>
            </w:pPr>
          </w:p>
        </w:tc>
      </w:tr>
      <w:tr>
        <w:trPr>
          <w:trHeight w:val="196"/>
        </w:trPr>
        <w:tc>
          <w:tcPr>
            <w:tcW w:w="80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r>
      <w:tr>
        <w:trPr>
          <w:trHeight w:val="249"/>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tcBorders>
              <w:top w:val="single" w:sz="8" w:color="auto"/>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7"/>
              </w:rPr>
              <w:t>267.3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134.9</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Rest of world</w:t>
            </w:r>
          </w:p>
        </w:tc>
        <w:tc>
          <w:tcPr>
            <w:tcW w:w="960" w:type="dxa"/>
            <w:vAlign w:val="bottom"/>
          </w:tcPr>
          <w:p>
            <w:pPr>
              <w:spacing w:after="0"/>
              <w:rPr>
                <w:sz w:val="21"/>
                <w:szCs w:val="21"/>
                <w:color w:val="auto"/>
              </w:rPr>
            </w:pPr>
          </w:p>
        </w:tc>
        <w:tc>
          <w:tcPr>
            <w:tcW w:w="600" w:type="dxa"/>
            <w:vAlign w:val="bottom"/>
          </w:tcPr>
          <w:p>
            <w:pPr>
              <w:jc w:val="right"/>
              <w:ind w:right="55"/>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9.4</w:t>
            </w:r>
          </w:p>
        </w:tc>
      </w:tr>
      <w:tr>
        <w:trPr>
          <w:trHeight w:val="27"/>
        </w:trPr>
        <w:tc>
          <w:tcPr>
            <w:tcW w:w="8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7"/>
              </w:rPr>
              <w:t>293.3</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144.3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single foreign country and no single customer represented more than 10% of the Company’s revenues in any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to ten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sales commissions earned by the Company’s employees are considered incremental and recoverable costs of obtaining a contract with a customer. These sales commissions for initial contracts are capitalized and included in deferred costs and other assets. Capitalized amounts also include (1) amounts paid to employees other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21" w:right="339" w:bottom="1440" w:gutter="0" w:footer="0" w:header="0"/>
        </w:sectPr>
      </w:pPr>
    </w:p>
    <w:bookmarkStart w:id="242" w:name="page243"/>
    <w:bookmarkEnd w:id="24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than the direct sales force who earn incentive payouts under annual compensation plans that are tied to the value of contracts acquired, (2) commissions paid to employees upon renewals of subscription contracts, and (3) the associated payroll taxes associated with the payments to the Company’s employees.</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Costs capitalized related to new revenue contracts are amortized on a straight-line basis over three years, which reflects the average period of benefit, including expected contract renewals. When determining the period of benefit, the Company considered its customer contracts, technology, and other relevant factors. Additionally, the Company amortizes capitalized costs for contract renewals over twelve months.</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commissions are not capitalized as they do not represent incremental costs of obtaining a contract. Such commissions are expensed as incurred.</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capitalized $25.3 million and $3.3 million of costs to obtain revenue contracts and amortized $8.6 million and $1.5 million to sales and marketing expense for the years ended December 31, 2019 and 2018, respectively. Costs capitalized to obtain a revenue contract, net on the Company's consolidated balance sheets totaled $20.5 million and $3.8 million at December 31, 2019 and 2018, respectively. There were no impairments of costs to obtain revenue contracts in the years ended December 31,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expenses advertising costs as incurred in accordance with ASC 720-35, </w:t>
      </w:r>
      <w:r>
        <w:rPr>
          <w:rFonts w:ascii="Arial" w:cs="Arial" w:eastAsia="Arial" w:hAnsi="Arial"/>
          <w:sz w:val="18"/>
          <w:szCs w:val="18"/>
          <w:i w:val="1"/>
          <w:iCs w:val="1"/>
          <w:color w:val="auto"/>
        </w:rPr>
        <w:t>Other Expenses - Advertising Cost</w:t>
      </w:r>
      <w:r>
        <w:rPr>
          <w:rFonts w:ascii="Arial" w:cs="Arial" w:eastAsia="Arial" w:hAnsi="Arial"/>
          <w:sz w:val="18"/>
          <w:szCs w:val="18"/>
          <w:color w:val="auto"/>
        </w:rPr>
        <w:t>. Advertising expenses of $9.8 million and $2.5 million for the years ended December 31, 2019 and 2018, respectively, are included in sales and marketing on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accounts for research and development costs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and all research and development costs are expensed as incurred. Research and development costs consist primarily of salaries, employee benefits, related overhead costs associated with product development, testing, quality assurance, documentation, enhancements, and upgrades.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 Related Expenses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allocates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21" w:right="339" w:bottom="1440" w:gutter="0" w:footer="0" w:header="0"/>
        </w:sectPr>
      </w:pPr>
    </w:p>
    <w:bookmarkStart w:id="243" w:name="page244"/>
    <w:bookmarkEnd w:id="24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DiscoverOrg has one reporting unit.</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first assesses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(see Note 6 - Goodwill and Acquired Intangible Assets).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Acquired intangible assets are amortized on a straight-line basis over the estimated period over which we expect to realize economic value related to the intangible asset. The amortization periods range from 2 years to 15 years.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Indefinite lived intangible assets consist primarily of brand portfolios acquired from Pre-Acquisition ZI and represent costs paid to legally register phrases and graphic designs that identify and distinguish products sold by the Company. ZoomInfo related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 lived intangible asset is less than the carrying value as a basis to determine whether further impairment testing under ASC 350 is necessary. No impairment charges were recorded during the years ended December 31, 2019 and 2018 relating to acquired assets accounted for under ASC 350.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During the year ended December 31, 2019, we recorded an impairment charge of $1.1 million relating to the impairment of a right-of-use asset acquired in Pre-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21" w:right="339" w:bottom="1440" w:gutter="0" w:footer="0" w:header="0"/>
        </w:sectPr>
      </w:pPr>
    </w:p>
    <w:bookmarkStart w:id="244" w:name="page245"/>
    <w:bookmarkEnd w:id="24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Acquisition ZI acquisition (refer to Note 4 – Business Combinations). No impairment charges were recorded during the year ended December 31,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at December 31, 2019 and 2018, include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benefits</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98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Includes $24.9 million of deferred consideration relating to the ZoomInfo acquisition.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Unearned revenue consists of customer payments and billings in advance of revenue being recognized from the subscription services. Unearned revenue that is anticipated to be recognized within the next 12 months is recorded as unearned revenue, current portion and the remaining portion is included in unearned revenue, net of current portion.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comprised of two limited liability companies that are treated as partnerships for tax purposes, eleven limited liability companies that are single member entities and disregarded for tax purposes, two corporations, and one foreign entity.</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partnership and disregarded entities, taxable income and the resulting liabilities are allocated among the owners of the entities and reported on the tax filings for those owners. The Company records income tax provision, deferred tax assets, and deferred tax liabilities only for the items for which the Company is responsible for making payments directly to the relevant tax authority.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21" w:right="339" w:bottom="1440" w:gutter="0" w:footer="0" w:header="0"/>
        </w:sectPr>
      </w:pPr>
    </w:p>
    <w:bookmarkStart w:id="245" w:name="page246"/>
    <w:bookmarkEnd w:id="24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the Company believes that its estimates and judgments were reasonable, actual results may differ from these estimates. Some or all of these judgments are subject to review by the taxing authorities.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recognizes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Managers. The holder, therefore, has the right to participate in distributions of profits only in excess of the Participation Threshold. The Participation Threshold was based on the valuation determined by the Board of Managers of the common unit on or around the grant date.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accounts for incentive units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uses a Black-Scholes option pricing model to determine fair value of its incentive units, as the equity units granted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Prior to the adoption of ASU 2018-07, </w:t>
      </w:r>
      <w:r>
        <w:rPr>
          <w:rFonts w:ascii="Arial" w:cs="Arial" w:eastAsia="Arial" w:hAnsi="Arial"/>
          <w:sz w:val="17"/>
          <w:szCs w:val="17"/>
          <w:i w:val="1"/>
          <w:iCs w:val="1"/>
          <w:color w:val="auto"/>
        </w:rPr>
        <w:t>Compensation - Stock Compensation (Topic 718) - Improvements to Nonemployee Share-Based Payment Accounting,</w:t>
      </w:r>
      <w:r>
        <w:rPr>
          <w:rFonts w:ascii="Arial" w:cs="Arial" w:eastAsia="Arial" w:hAnsi="Arial"/>
          <w:sz w:val="17"/>
          <w:szCs w:val="17"/>
          <w:color w:val="auto"/>
        </w:rPr>
        <w:t xml:space="preserve"> on January 1, 2019, the Company measured the fair value of stock-based awards granted to non-employees in accordance with ASC 505-50-25, </w:t>
      </w:r>
      <w:r>
        <w:rPr>
          <w:rFonts w:ascii="Arial" w:cs="Arial" w:eastAsia="Arial" w:hAnsi="Arial"/>
          <w:sz w:val="17"/>
          <w:szCs w:val="17"/>
          <w:i w:val="1"/>
          <w:iCs w:val="1"/>
          <w:color w:val="auto"/>
        </w:rPr>
        <w:t>Equity Based Payments to Non-Employees</w:t>
      </w:r>
      <w:r>
        <w:rPr>
          <w:rFonts w:ascii="Arial" w:cs="Arial" w:eastAsia="Arial" w:hAnsi="Arial"/>
          <w:sz w:val="17"/>
          <w:szCs w:val="17"/>
          <w:color w:val="auto"/>
        </w:rPr>
        <w:t>, which required the measurement and recognition of compensation expense for all equity-based payment awards made to non-employees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estimated fair values. Upon the adoption of ASU 2018-07, the Company fair valued the remaining outstanding unvested non-employee awards as of January 1, 2019 and will recognize expense in the same periods and in the same manner as if the Company had paid cash to the recipient in lieu of the non-employee award.</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Effective January 1, 2019, the Company adopted ASU No. 2017-12, </w:t>
      </w:r>
      <w:r>
        <w:rPr>
          <w:rFonts w:ascii="Arial" w:cs="Arial" w:eastAsia="Arial" w:hAnsi="Arial"/>
          <w:sz w:val="17"/>
          <w:szCs w:val="17"/>
          <w:i w:val="1"/>
          <w:iCs w:val="1"/>
          <w:color w:val="auto"/>
        </w:rPr>
        <w:t>Derivatives and Hedging (Topic 815), Targeted Improvements to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Activities </w:t>
      </w:r>
      <w:r>
        <w:rPr>
          <w:rFonts w:ascii="Arial" w:cs="Arial" w:eastAsia="Arial" w:hAnsi="Arial"/>
          <w:sz w:val="17"/>
          <w:szCs w:val="17"/>
          <w:color w:val="auto"/>
        </w:rPr>
        <w:t>(ASU 2017-12) on a prospective basis. The new guidance eliminates the requirement to separately measure and report hedge</w:t>
      </w:r>
      <w:r>
        <w:rPr>
          <w:rFonts w:ascii="Arial" w:cs="Arial" w:eastAsia="Arial" w:hAnsi="Arial"/>
          <w:sz w:val="17"/>
          <w:szCs w:val="17"/>
          <w:i w:val="1"/>
          <w:iCs w:val="1"/>
          <w:color w:val="auto"/>
        </w:rPr>
        <w:t xml:space="preserve"> </w:t>
      </w:r>
      <w:r>
        <w:rPr>
          <w:rFonts w:ascii="Arial" w:cs="Arial" w:eastAsia="Arial" w:hAnsi="Arial"/>
          <w:sz w:val="17"/>
          <w:szCs w:val="17"/>
          <w:color w:val="auto"/>
        </w:rPr>
        <w:t>ineffectiveness and, for qualifying hedges, requires the entire change in the fair value of the hedging instrument to be presented in the same income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21" w:right="339" w:bottom="1440" w:gutter="0" w:footer="0" w:header="0"/>
        </w:sectPr>
      </w:pPr>
    </w:p>
    <w:bookmarkStart w:id="246" w:name="page247"/>
    <w:bookmarkEnd w:id="24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statement line as the hedged item. The Company’s hedges, consisting of our interest rate swaps and interest rate cap, are fully effective. Therefore, adoption of ASU 2017-12 did not have any impact on the Company’s financial statements. See Note 8 - Derivatives and Hedging Activities for the disclosures required by ASU 2017-12.</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(ASC 842)</w:t>
      </w:r>
      <w:r>
        <w:rPr>
          <w:rFonts w:ascii="Arial" w:cs="Arial" w:eastAsia="Arial" w:hAnsi="Arial"/>
          <w:sz w:val="16"/>
          <w:szCs w:val="16"/>
          <w:color w:val="auto"/>
        </w:rPr>
        <w:t>,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ASC 842, which allows transition to the new lease standard by recognizing a cumulative-effect adjustment to the opening balance of retained earnings in the period of adoption. The Company adopted ASC 842 as of January 1, 2019 under this new alternative transition method. The Company elected the package of practical expedients permitted under the transition guidance within the new standard, which among other things, allows the Company to carry forward the historical lease classification. In addition, as a practical expedient relating to its real estate leases, the Company will not separate lease components from nonlease components. The Company did not elect the hindsight practical expedient permitted under the transition guidance within the new lease standard. The Company recognized a right-of-use asset of $9.3 million and a lease liability of $12.8 million, largely pertaining to the Company’s headquarter office lease, with a cumulative-effect adjustment, net of tax, to retained earnings in the amount of $1.8 million representing hidden impairment, upon adoption of ASC 842. The adoption of ASC 842 did not, and is not expected to in the future, have a material impact on earnings.</w:t>
      </w:r>
    </w:p>
    <w:p>
      <w:pPr>
        <w:spacing w:after="0" w:line="11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This update expands the scope of Topic 718, “Compensation - Stock Compensation,” to include equity-based awards granted to non-employees in exchange for goods or services. The accounting for employees and non-employees will be substantially aligned. For public entities, ASU 2018-07 is required to be adopted for annual periods beginning after December 15, 2018, including interim periods within those fiscal years. For non-public entities and emerging growth companies that choose to take advantage of the extended transition periods, ASU 2018-07 is effective for annual periods beginning after December 15, 2019. Early adoption is permitted for all entities but no earlier than the Company's adoption of ASU 2014-09. The Company adopted ASU 2018-07 on January 1, 2019. In accordance with transition guidance, unsettled non-employee awards were measured at the adoption date fair value as a substitute for grant date fair value. There was no impact to the consolidated financial statements upon adoption.</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which aligns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 cloud computing arrangements with the requirements for capitalizing implementation costs incurred to develop or obtain internal-use software. ASU 2018-15 is effective for annual and interim periods beginning after December 15, 2019, with early adoption permitted. Companies can choose to adopt the new guidance prospectively or retrospectively. The Company elected to early adopt the standard, on a prospective basis, effective for the year and interim periods within the year beginning January 1, 2019. The adoption of this standard did not have a material impact on the Company’s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the measurement and recognition of expected credit losses for financial assets held at amortized cost. It also eliminates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does not expect the adoption of ASU No. 2016-13 to have a significant impact on its consolidated financial statements.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amends disclosure requirements for fair value measurements by requiring new disclosures, modifying existing requirements,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21" w:right="339" w:bottom="1440" w:gutter="0" w:footer="0" w:header="0"/>
        </w:sectPr>
      </w:pPr>
    </w:p>
    <w:bookmarkStart w:id="247" w:name="page248"/>
    <w:bookmarkEnd w:id="24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eliminating others. The amendments are the result of a broader disclosure project, which aims to improve the effectiveness of disclosures. ASU No. 2018-13 is effective for fiscal years beginning after December 15, 2019 and interim periods within those fiscal years. The Company does not expect the adoption of ASU No. 2018-13 to have a significant impact on its disclosures.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comprised the following service offerings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7"/>
                <w:szCs w:val="17"/>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intelligence tools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289.3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143.4</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Email verification service</w:t>
            </w:r>
          </w:p>
        </w:tc>
        <w:tc>
          <w:tcPr>
            <w:tcW w:w="98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0.9</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293.3</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144.3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Go-To-Market business intelligence tools are subscription services that allow customers access to the SaaS tools to support sales and marketing processes, which include data, analytics, and insights to provide accurate and comprehensive intelligence on organizations and professionals. The Company’s customers use the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total revenue recognized in the years ended December 31, 2019 and 2018, $52.2 million and $37.1 million was included in the unearned revenue balance as of December 31, 2018 and 2017, respectively. Revenue recognized from performance obligations satisfied (or partially satisfied) in previous periods was not material.</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Revenue by geography is determined based on the domicile of the DiscoverOrg contracting entity. All customer contracts are with the Company’s U.S. entities, therefore substantially all of the revenue is designated as U.S. revenue. Due to the SaaS-based nature of the service, it is possible that some of the customers use the service outside of the U.S. The Company estimates that less than 11% of its customers are located outside of the 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Unearned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standard billing terms typically require payment at the beginning of each annual or quarterly period. Subscription revenue is generally recognized ratably over the contract term starting with when the service is made available to the customer. Email verification service revenue is recognized in the period services are used by customers. The amount of revenue recognized reflects the consideration the Company expects to be entitled to receive in exchange for these services.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non-cancellable subscription agreements.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contract asset balances of $0.1 million and $1.1 million as of December 31, 2019 and 2018, respectively, are recorded as current assets within Prepaid expenses and other current assets in the consolidated balance sheets. The unearned revenue balances were $159.1 million and $52.5 million as of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21" w:right="339" w:bottom="1440" w:gutter="0" w:footer="0" w:header="0"/>
        </w:sectPr>
      </w:pPr>
    </w:p>
    <w:bookmarkStart w:id="248" w:name="page249"/>
    <w:bookmarkEnd w:id="24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performance obligations consisted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Current</w:t>
            </w:r>
          </w:p>
        </w:tc>
        <w:tc>
          <w:tcPr>
            <w:tcW w:w="28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Pr>
          <w:p>
            <w:pPr>
              <w:spacing w:after="0"/>
              <w:rPr>
                <w:sz w:val="16"/>
                <w:szCs w:val="16"/>
                <w:color w:val="auto"/>
              </w:rPr>
            </w:pPr>
          </w:p>
        </w:tc>
        <w:tc>
          <w:tcPr>
            <w:tcW w:w="1200" w:type="dxa"/>
            <w:vAlign w:val="bottom"/>
          </w:tcPr>
          <w:p>
            <w:pPr>
              <w:jc w:val="right"/>
              <w:ind w:right="536"/>
              <w:spacing w:after="0"/>
              <w:rPr>
                <w:sz w:val="20"/>
                <w:szCs w:val="20"/>
                <w:color w:val="auto"/>
              </w:rPr>
            </w:pPr>
            <w:r>
              <w:rPr>
                <w:rFonts w:ascii="Arial" w:cs="Arial" w:eastAsia="Arial" w:hAnsi="Arial"/>
                <w:sz w:val="14"/>
                <w:szCs w:val="14"/>
                <w:b w:val="1"/>
                <w:bCs w:val="1"/>
                <w:color w:val="auto"/>
              </w:rPr>
              <w:t>Total</w:t>
            </w:r>
          </w:p>
        </w:tc>
      </w:tr>
      <w:tr>
        <w:trPr>
          <w:trHeight w:val="249"/>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2018</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155.1</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As of December 31, 2019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340.7</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Komiko</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9, 2019, through a newly formed wholly 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Contingent earnout payments</w:t>
            </w:r>
          </w:p>
        </w:tc>
        <w:tc>
          <w:tcPr>
            <w:tcW w:w="6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date of acquisition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7"/>
              </w:rPr>
              <w:t>2.4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600" w:type="dxa"/>
            <w:vAlign w:val="bottom"/>
          </w:tcPr>
          <w:p>
            <w:pPr>
              <w:spacing w:after="0"/>
              <w:rPr>
                <w:sz w:val="21"/>
                <w:szCs w:val="21"/>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7"/>
              </w:rPr>
              <w:t>(0.2)</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2.2</w:t>
            </w:r>
          </w:p>
        </w:tc>
      </w:tr>
      <w:tr>
        <w:trPr>
          <w:trHeight w:val="243"/>
        </w:trPr>
        <w:tc>
          <w:tcPr>
            <w:tcW w:w="9680" w:type="dxa"/>
            <w:vAlign w:val="bottom"/>
          </w:tcPr>
          <w:p>
            <w:pPr>
              <w:ind w:left="46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21"/>
                <w:szCs w:val="21"/>
                <w:color w:val="auto"/>
              </w:rPr>
            </w:pPr>
          </w:p>
        </w:tc>
        <w:tc>
          <w:tcPr>
            <w:tcW w:w="960" w:type="dxa"/>
            <w:vAlign w:val="bottom"/>
          </w:tcPr>
          <w:p>
            <w:pPr>
              <w:jc w:val="center"/>
              <w:ind w:left="330"/>
              <w:spacing w:after="0"/>
              <w:rPr>
                <w:sz w:val="20"/>
                <w:szCs w:val="20"/>
                <w:color w:val="auto"/>
              </w:rPr>
            </w:pPr>
            <w:r>
              <w:rPr>
                <w:rFonts w:ascii="Arial" w:cs="Arial" w:eastAsia="Arial" w:hAnsi="Arial"/>
                <w:sz w:val="18"/>
                <w:szCs w:val="18"/>
                <w:color w:val="auto"/>
                <w:w w:val="87"/>
              </w:rPr>
              <w:t>6.3</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8.5</w:t>
            </w:r>
          </w:p>
        </w:tc>
      </w:tr>
      <w:tr>
        <w:trPr>
          <w:trHeight w:val="243"/>
        </w:trPr>
        <w:tc>
          <w:tcPr>
            <w:tcW w:w="9680" w:type="dxa"/>
            <w:vAlign w:val="bottom"/>
          </w:tcPr>
          <w:p>
            <w:pPr>
              <w:ind w:left="460"/>
              <w:spacing w:after="0"/>
              <w:rPr>
                <w:sz w:val="20"/>
                <w:szCs w:val="20"/>
                <w:color w:val="auto"/>
              </w:rPr>
            </w:pPr>
            <w:r>
              <w:rPr>
                <w:rFonts w:ascii="Arial" w:cs="Arial" w:eastAsia="Arial" w:hAnsi="Arial"/>
                <w:sz w:val="18"/>
                <w:szCs w:val="18"/>
                <w:color w:val="auto"/>
              </w:rPr>
              <w:t>Contingent Earnout Payments</w:t>
            </w:r>
          </w:p>
        </w:tc>
        <w:tc>
          <w:tcPr>
            <w:tcW w:w="600" w:type="dxa"/>
            <w:vAlign w:val="bottom"/>
          </w:tcPr>
          <w:p>
            <w:pPr>
              <w:spacing w:after="0"/>
              <w:rPr>
                <w:sz w:val="21"/>
                <w:szCs w:val="21"/>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7"/>
              </w:rPr>
              <w:t>(0.2)</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acquisitions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8.3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21" w:right="339" w:bottom="1440" w:gutter="0" w:footer="0" w:header="0"/>
        </w:sectPr>
      </w:pPr>
    </w:p>
    <w:bookmarkStart w:id="249" w:name="page250"/>
    <w:bookmarkEnd w:id="24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Developed technology represents the fair value of the Komiko technology portfolio. The goodwill balance is primarily attributed to the expanded market opportunities when integrating Komiko’s technology with DiscoverOrg’s technology and the assembled workforce. The goodwill balance is expected to be deductible for U.S. income tax purposes. The pro forma revenue and earnings impact on the combined entity, had the acquisition date been January 1, 2018, was not material.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Pre-Acquisition ZI</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date fair value of the consideration paid by the Company for Pre-Acquisition ZI was $760.1 million, including cash acquired of $12.1 million, and was comprised of the following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667.3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Liability for equity award settlement</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25.2</w:t>
            </w:r>
          </w:p>
        </w:tc>
      </w:tr>
      <w:tr>
        <w:trPr>
          <w:trHeight w:val="27"/>
        </w:trPr>
        <w:tc>
          <w:tcPr>
            <w:tcW w:w="9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Portion of replacement awards attributable to pre-acquisition service</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27.9</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Other purchase consideration liabilities</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6.5</w:t>
            </w:r>
          </w:p>
        </w:tc>
      </w:tr>
      <w:tr>
        <w:trPr>
          <w:trHeight w:val="27"/>
        </w:trPr>
        <w:tc>
          <w:tcPr>
            <w:tcW w:w="9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consideration</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w:t>
            </w:r>
          </w:p>
        </w:tc>
      </w:tr>
      <w:tr>
        <w:trPr>
          <w:trHeight w:val="263"/>
        </w:trPr>
        <w:tc>
          <w:tcPr>
            <w:tcW w:w="968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760.1</w:t>
            </w:r>
          </w:p>
        </w:tc>
      </w:tr>
      <w:tr>
        <w:trPr>
          <w:trHeight w:val="21"/>
        </w:trPr>
        <w:tc>
          <w:tcPr>
            <w:tcW w:w="9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accordance with the purchase agreement, the Company will pay deferred consideration of $25.0 million and $10.0 million on the first and second anniversary of the Pre-Acquisition ZI acquisition, respectively. The fair value of the deferred consideration payments was determined using a present value calculation. The following table summarizes the fair values of the assets acquired and liabilities assumed, as of the date of acquisition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58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22.1</w:t>
            </w:r>
          </w:p>
        </w:tc>
      </w:tr>
      <w:tr>
        <w:trPr>
          <w:trHeight w:val="27"/>
        </w:trPr>
        <w:tc>
          <w:tcPr>
            <w:tcW w:w="44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5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6.3</w:t>
            </w:r>
          </w:p>
        </w:tc>
      </w:tr>
      <w:tr>
        <w:trPr>
          <w:trHeight w:val="27"/>
        </w:trPr>
        <w:tc>
          <w:tcPr>
            <w:tcW w:w="44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5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322.0</w:t>
            </w:r>
          </w:p>
        </w:tc>
      </w:tr>
      <w:tr>
        <w:trPr>
          <w:trHeight w:val="27"/>
        </w:trPr>
        <w:tc>
          <w:tcPr>
            <w:tcW w:w="44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liabilities</w:t>
            </w:r>
          </w:p>
        </w:tc>
        <w:tc>
          <w:tcPr>
            <w:tcW w:w="5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5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44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5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5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44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5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245.3</w:t>
            </w:r>
          </w:p>
        </w:tc>
      </w:tr>
      <w:tr>
        <w:trPr>
          <w:trHeight w:val="243"/>
        </w:trPr>
        <w:tc>
          <w:tcPr>
            <w:tcW w:w="4440" w:type="dxa"/>
            <w:vAlign w:val="bottom"/>
          </w:tcPr>
          <w:p>
            <w:pPr>
              <w:ind w:left="460"/>
              <w:spacing w:after="0"/>
              <w:rPr>
                <w:sz w:val="20"/>
                <w:szCs w:val="20"/>
                <w:color w:val="auto"/>
              </w:rPr>
            </w:pPr>
            <w:r>
              <w:rPr>
                <w:rFonts w:ascii="Arial" w:cs="Arial" w:eastAsia="Arial" w:hAnsi="Arial"/>
                <w:sz w:val="18"/>
                <w:szCs w:val="18"/>
                <w:color w:val="auto"/>
              </w:rPr>
              <w:t>Goodwill</w:t>
            </w:r>
          </w:p>
        </w:tc>
        <w:tc>
          <w:tcPr>
            <w:tcW w:w="5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514.8</w:t>
            </w:r>
          </w:p>
        </w:tc>
      </w:tr>
      <w:tr>
        <w:trPr>
          <w:trHeight w:val="27"/>
        </w:trPr>
        <w:tc>
          <w:tcPr>
            <w:tcW w:w="44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580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760.1</w:t>
            </w:r>
          </w:p>
        </w:tc>
      </w:tr>
      <w:tr>
        <w:trPr>
          <w:trHeight w:val="236"/>
        </w:trPr>
        <w:tc>
          <w:tcPr>
            <w:tcW w:w="4440" w:type="dxa"/>
            <w:vAlign w:val="bottom"/>
          </w:tcPr>
          <w:p>
            <w:pPr>
              <w:ind w:left="460"/>
              <w:spacing w:after="0"/>
              <w:rPr>
                <w:sz w:val="20"/>
                <w:szCs w:val="20"/>
                <w:color w:val="auto"/>
              </w:rPr>
            </w:pPr>
            <w:r>
              <w:rPr>
                <w:rFonts w:ascii="Arial" w:cs="Arial" w:eastAsia="Arial" w:hAnsi="Arial"/>
                <w:sz w:val="18"/>
                <w:szCs w:val="18"/>
                <w:color w:val="auto"/>
              </w:rPr>
              <w:t>Deferred consideration</w:t>
            </w:r>
          </w:p>
        </w:tc>
        <w:tc>
          <w:tcPr>
            <w:tcW w:w="52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w:t>
            </w:r>
          </w:p>
        </w:tc>
      </w:tr>
      <w:tr>
        <w:trPr>
          <w:trHeight w:val="27"/>
        </w:trPr>
        <w:tc>
          <w:tcPr>
            <w:tcW w:w="44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acquired</w:t>
            </w:r>
          </w:p>
        </w:tc>
        <w:tc>
          <w:tcPr>
            <w:tcW w:w="5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63"/>
        </w:trPr>
        <w:tc>
          <w:tcPr>
            <w:tcW w:w="444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52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714.8</w:t>
            </w:r>
          </w:p>
        </w:tc>
      </w:tr>
      <w:tr>
        <w:trPr>
          <w:trHeight w:val="21"/>
        </w:trPr>
        <w:tc>
          <w:tcPr>
            <w:tcW w:w="44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84"/>
        </w:trPr>
        <w:tc>
          <w:tcPr>
            <w:tcW w:w="4440" w:type="dxa"/>
            <w:vAlign w:val="bottom"/>
          </w:tcPr>
          <w:p>
            <w:pPr>
              <w:spacing w:after="0"/>
              <w:rPr>
                <w:sz w:val="24"/>
                <w:szCs w:val="24"/>
                <w:color w:val="auto"/>
              </w:rPr>
            </w:pPr>
          </w:p>
        </w:tc>
        <w:tc>
          <w:tcPr>
            <w:tcW w:w="5800" w:type="dxa"/>
            <w:vAlign w:val="bottom"/>
            <w:gridSpan w:val="2"/>
          </w:tcPr>
          <w:p>
            <w:pPr>
              <w:jc w:val="right"/>
              <w:ind w:right="4350"/>
              <w:spacing w:after="0"/>
              <w:rPr>
                <w:sz w:val="20"/>
                <w:szCs w:val="20"/>
                <w:color w:val="auto"/>
              </w:rPr>
            </w:pPr>
            <w:r>
              <w:rPr>
                <w:rFonts w:ascii="Arial" w:cs="Arial" w:eastAsia="Arial" w:hAnsi="Arial"/>
                <w:sz w:val="18"/>
                <w:szCs w:val="18"/>
                <w:color w:val="auto"/>
              </w:rPr>
              <w:t>F-24</w:t>
            </w:r>
          </w:p>
        </w:tc>
        <w:tc>
          <w:tcPr>
            <w:tcW w:w="10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50" w:name="page251"/>
    <w:bookmarkEnd w:id="25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acquired unearned revenue was $34.5 million which differs from the unearned revenue recorded by Pre-Acquisition ZI immediately prior to the acquisition of $68.3 million. The acquired unearned revenue, net of the $33.8 million fair value adjustment, will be recognized as revenue over a period of approximately one year, which represents the period the related contracted services will be provided.</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the acquisition date, the potential value of future payments under the Cash Vesting Payment Program was $23.1 million to be paid to employees through 2022, assuming continued employment for each employee. The Company recognized $8.8 million of expense under the Cash Vesting Program for the year ended December 31, 2019.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 of acquisition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5.8 years</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15.0 years</w:t>
            </w:r>
          </w:p>
        </w:tc>
        <w:tc>
          <w:tcPr>
            <w:tcW w:w="0" w:type="dxa"/>
            <w:vAlign w:val="bottom"/>
          </w:tcPr>
          <w:p>
            <w:pPr>
              <w:spacing w:after="0"/>
              <w:rPr>
                <w:sz w:val="1"/>
                <w:szCs w:val="1"/>
                <w:color w:val="auto"/>
              </w:rPr>
            </w:pPr>
          </w:p>
        </w:tc>
      </w:tr>
      <w:tr>
        <w:trPr>
          <w:trHeight w:val="263"/>
        </w:trPr>
        <w:tc>
          <w:tcPr>
            <w:tcW w:w="800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DiscoverOrg’s technology. The goodwill balance is not expected to be deductible for U.S. income tax purposes.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amounts of Pre-Acquisition ZI’s revenue and earnings included in the Company’s consolidated results of operations for the year ended December 31, 2019, cannot be determined as the operations of Pre-Acquisition ZI were rapidly integrated into the DiscoverOrg operations, and many existing customer contracts were modified or replaced subsequent to the acquisition with the new contracts containing subscriptions from both Pre-Acquisition ZI and DiscoverOrg as a result of subsequent sales activities.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21" w:right="339" w:bottom="1440" w:gutter="0" w:footer="0" w:header="0"/>
        </w:sectPr>
      </w:pPr>
    </w:p>
    <w:bookmarkStart w:id="251" w:name="page252"/>
    <w:bookmarkEnd w:id="25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revenue and earnings of the combined entity had the acquisition date been January 1, 2018,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Revenue</w:t>
            </w:r>
          </w:p>
        </w:tc>
        <w:tc>
          <w:tcPr>
            <w:tcW w:w="1560" w:type="dxa"/>
            <w:vAlign w:val="bottom"/>
          </w:tcPr>
          <w:p>
            <w:pPr>
              <w:jc w:val="right"/>
              <w:ind w:right="99"/>
              <w:spacing w:after="0"/>
              <w:rPr>
                <w:sz w:val="20"/>
                <w:szCs w:val="20"/>
                <w:color w:val="auto"/>
              </w:rPr>
            </w:pPr>
            <w:r>
              <w:rPr>
                <w:rFonts w:ascii="Arial" w:cs="Arial" w:eastAsia="Arial" w:hAnsi="Arial"/>
                <w:sz w:val="14"/>
                <w:szCs w:val="14"/>
                <w:b w:val="1"/>
                <w:bCs w:val="1"/>
                <w:color w:val="auto"/>
              </w:rPr>
              <w:t>Loss Before Income</w:t>
            </w:r>
          </w:p>
        </w:tc>
        <w:tc>
          <w:tcPr>
            <w:tcW w:w="0" w:type="dxa"/>
            <w:vAlign w:val="bottom"/>
          </w:tcPr>
          <w:p>
            <w:pPr>
              <w:spacing w:after="0"/>
              <w:rPr>
                <w:sz w:val="1"/>
                <w:szCs w:val="1"/>
                <w:color w:val="auto"/>
              </w:rPr>
            </w:pPr>
          </w:p>
        </w:tc>
      </w:tr>
      <w:tr>
        <w:trPr>
          <w:trHeight w:val="192"/>
        </w:trPr>
        <w:tc>
          <w:tcPr>
            <w:tcW w:w="80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519"/>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249"/>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pro forma from January 1, 2019 to December 31, 2019</w:t>
            </w:r>
          </w:p>
        </w:tc>
        <w:tc>
          <w:tcPr>
            <w:tcW w:w="15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Supplemental pro forma from January 1, 2018 to December 31, 2018</w:t>
            </w:r>
          </w:p>
        </w:tc>
        <w:tc>
          <w:tcPr>
            <w:tcW w:w="1540" w:type="dxa"/>
            <w:vAlign w:val="bottom"/>
          </w:tcPr>
          <w:p>
            <w:pPr>
              <w:jc w:val="right"/>
              <w:ind w:right="56"/>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unaudited pro forma information above is adjusted for the amortization of unearned revenue fair value adjustments, acquired tangible and intangible assets, interest expense, and $9.2 million of transaction costs and bonuses incurred by the Company and Pre-Acquisition ZI as if the acquisition had occurred on January 1, 2018. This pro forma information is prepared for comparative purposes only and does not necessarily reflect the actual results that would have occurred, nor is it necessarily indicative of future results of operations of the combined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NeverBounce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2018, DiscoverOrg acquired certain assets and assumed certain liabilities of Metrics Delivered LLC (“NeverBounce”), which provided email verification services under the NeverBounce trade name. The Company has included the financial results of NeverBounce in the consolidated financial statements from the date of acquisition. Transaction costs associated with the acquisition were $0.1 million and are included in General and administrative expense. The acquisition date fair value of the consideration transferred for NeverBounce was approximately $9.6 million, which was comprised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Contingent Earnout Payments</w:t>
            </w:r>
          </w:p>
        </w:tc>
        <w:tc>
          <w:tcPr>
            <w:tcW w:w="6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the contingent earnout payments was determined based on the Company’s probability-weighted estimate of future payments. Potential contingent payments may be as much as $2.0 million. As of December 31, 2019, contingent consideration of $0.4 million had been paid and remaining payments may be up to $1.6 million if all performance criteria are met.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date of acquisition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7"/>
              </w:rPr>
              <w:t>0.1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Brand portfolio</w:t>
            </w:r>
          </w:p>
        </w:tc>
        <w:tc>
          <w:tcPr>
            <w:tcW w:w="600" w:type="dxa"/>
            <w:vAlign w:val="bottom"/>
          </w:tcPr>
          <w:p>
            <w:pPr>
              <w:spacing w:after="0"/>
              <w:rPr>
                <w:sz w:val="21"/>
                <w:szCs w:val="21"/>
                <w:color w:val="auto"/>
              </w:rPr>
            </w:pPr>
          </w:p>
        </w:tc>
        <w:tc>
          <w:tcPr>
            <w:tcW w:w="960" w:type="dxa"/>
            <w:vAlign w:val="bottom"/>
          </w:tcPr>
          <w:p>
            <w:pPr>
              <w:jc w:val="center"/>
              <w:ind w:left="330"/>
              <w:spacing w:after="0"/>
              <w:rPr>
                <w:sz w:val="20"/>
                <w:szCs w:val="20"/>
                <w:color w:val="auto"/>
              </w:rPr>
            </w:pPr>
            <w:r>
              <w:rPr>
                <w:rFonts w:ascii="Arial" w:cs="Arial" w:eastAsia="Arial" w:hAnsi="Arial"/>
                <w:sz w:val="18"/>
                <w:szCs w:val="18"/>
                <w:color w:val="auto"/>
                <w:w w:val="87"/>
              </w:rPr>
              <w:t>0.2</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2.3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spacing w:after="0"/>
              <w:rPr>
                <w:sz w:val="21"/>
                <w:szCs w:val="21"/>
                <w:color w:val="auto"/>
              </w:rPr>
            </w:pPr>
          </w:p>
        </w:tc>
        <w:tc>
          <w:tcPr>
            <w:tcW w:w="960" w:type="dxa"/>
            <w:vAlign w:val="bottom"/>
          </w:tcPr>
          <w:p>
            <w:pPr>
              <w:jc w:val="center"/>
              <w:ind w:left="330"/>
              <w:spacing w:after="0"/>
              <w:rPr>
                <w:sz w:val="20"/>
                <w:szCs w:val="20"/>
                <w:color w:val="auto"/>
              </w:rPr>
            </w:pPr>
            <w:r>
              <w:rPr>
                <w:rFonts w:ascii="Arial" w:cs="Arial" w:eastAsia="Arial" w:hAnsi="Arial"/>
                <w:sz w:val="18"/>
                <w:szCs w:val="18"/>
                <w:color w:val="auto"/>
                <w:w w:val="87"/>
              </w:rPr>
              <w:t>1.1</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&amp; unearned revenue</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7"/>
              </w:rPr>
              <w:t>(0.1)</w:t>
            </w:r>
          </w:p>
        </w:tc>
      </w:tr>
      <w:tr>
        <w:trPr>
          <w:trHeight w:val="237"/>
        </w:trPr>
        <w:tc>
          <w:tcPr>
            <w:tcW w:w="9680" w:type="dxa"/>
            <w:vAlign w:val="bottom"/>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center"/>
              <w:ind w:left="330"/>
              <w:spacing w:after="0"/>
              <w:rPr>
                <w:sz w:val="20"/>
                <w:szCs w:val="20"/>
                <w:color w:val="auto"/>
              </w:rPr>
            </w:pPr>
            <w:r>
              <w:rPr>
                <w:rFonts w:ascii="Arial" w:cs="Arial" w:eastAsia="Arial" w:hAnsi="Arial"/>
                <w:sz w:val="18"/>
                <w:szCs w:val="18"/>
                <w:color w:val="auto"/>
                <w:w w:val="87"/>
              </w:rPr>
              <w:t>3.6</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6.0</w:t>
            </w:r>
          </w:p>
        </w:tc>
      </w:tr>
      <w:tr>
        <w:trPr>
          <w:trHeight w:val="264"/>
        </w:trPr>
        <w:tc>
          <w:tcPr>
            <w:tcW w:w="9680" w:type="dxa"/>
            <w:vAlign w:val="bottom"/>
          </w:tcPr>
          <w:p>
            <w:pPr>
              <w:ind w:left="220"/>
              <w:spacing w:after="0"/>
              <w:rPr>
                <w:sz w:val="20"/>
                <w:szCs w:val="20"/>
                <w:color w:val="auto"/>
              </w:rPr>
            </w:pPr>
            <w:r>
              <w:rPr>
                <w:rFonts w:ascii="Arial" w:cs="Arial" w:eastAsia="Arial" w:hAnsi="Arial"/>
                <w:sz w:val="18"/>
                <w:szCs w:val="18"/>
                <w:color w:val="auto"/>
              </w:rPr>
              <w:t>Total consideration, net of cash acquired</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center"/>
              <w:ind w:left="330"/>
              <w:spacing w:after="0"/>
              <w:rPr>
                <w:sz w:val="20"/>
                <w:szCs w:val="20"/>
                <w:color w:val="auto"/>
              </w:rPr>
            </w:pPr>
            <w:r>
              <w:rPr>
                <w:rFonts w:ascii="Arial" w:cs="Arial" w:eastAsia="Arial" w:hAnsi="Arial"/>
                <w:sz w:val="18"/>
                <w:szCs w:val="18"/>
                <w:color w:val="auto"/>
                <w:w w:val="87"/>
              </w:rPr>
              <w:t>9.6</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excess of purchase consideration over the fair value of the net tangible and intangible assets acquired was recorded as goodwill. The fair values assigned to tangible and identifiable intangible assets acquired and liabilities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21" w:right="339" w:bottom="1440" w:gutter="0" w:footer="0" w:header="0"/>
        </w:sectPr>
      </w:pPr>
    </w:p>
    <w:bookmarkStart w:id="252" w:name="page253"/>
    <w:bookmarkEnd w:id="25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assumed are based on management’s estimates and assumptions. The following table sets forth the components of identifiable intangible assets acquired and the estimated useful lives as of the date of acquisition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40" w:type="dxa"/>
            <w:vAlign w:val="bottom"/>
          </w:tcPr>
          <w:p>
            <w:pPr>
              <w:spacing w:after="0"/>
              <w:rPr>
                <w:sz w:val="21"/>
                <w:szCs w:val="21"/>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7"/>
        </w:trPr>
        <w:tc>
          <w:tcPr>
            <w:tcW w:w="8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7"/>
        </w:trPr>
        <w:tc>
          <w:tcPr>
            <w:tcW w:w="8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Developed technology represents the fair value of the NeverBounce technology. Customer relationships represent the fair values of the underlying relationships with NeverBounce customers. The goodwill balance is primarily attributed to the assembled workforce and the expanded market opportunities when integrating NeverBounce’s technology with DiscoverOrg’s technology. The goodwill balance is expected to be deductible for U.S. income tax purposes.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fixed assets consist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1.2</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Internal use developed software</w:t>
            </w:r>
          </w:p>
        </w:tc>
        <w:tc>
          <w:tcPr>
            <w:tcW w:w="24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10.3</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37"/>
        </w:trPr>
        <w:tc>
          <w:tcPr>
            <w:tcW w:w="7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15.4</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64"/>
        </w:trPr>
        <w:tc>
          <w:tcPr>
            <w:tcW w:w="798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9.6</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$6.1 million and $2.6 million for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21" w:right="339" w:bottom="1440" w:gutter="0" w:footer="0" w:header="0"/>
        </w:sectPr>
      </w:pPr>
    </w:p>
    <w:bookmarkStart w:id="253" w:name="page254"/>
    <w:bookmarkEnd w:id="25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Acquired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consisted of the following as of December 31, 2019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3"/>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Amortization Period in</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6"/>
                <w:szCs w:val="16"/>
                <w:color w:val="auto"/>
              </w:rPr>
            </w:pPr>
          </w:p>
        </w:tc>
        <w:tc>
          <w:tcPr>
            <w:tcW w:w="1440" w:type="dxa"/>
            <w:vAlign w:val="bottom"/>
            <w:gridSpan w:val="3"/>
          </w:tcPr>
          <w:p>
            <w:pPr>
              <w:jc w:val="right"/>
              <w:ind w:right="862"/>
              <w:spacing w:after="0"/>
              <w:rPr>
                <w:sz w:val="20"/>
                <w:szCs w:val="20"/>
                <w:color w:val="auto"/>
              </w:rPr>
            </w:pPr>
            <w:r>
              <w:rPr>
                <w:rFonts w:ascii="Arial" w:cs="Arial" w:eastAsia="Arial" w:hAnsi="Arial"/>
                <w:sz w:val="14"/>
                <w:szCs w:val="14"/>
                <w:b w:val="1"/>
                <w:bCs w:val="1"/>
                <w:color w:val="auto"/>
              </w:rPr>
              <w:t>Net</w:t>
            </w:r>
          </w:p>
        </w:tc>
        <w:tc>
          <w:tcPr>
            <w:tcW w:w="140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Brand portfolio</w:t>
            </w:r>
          </w:p>
        </w:tc>
        <w:tc>
          <w:tcPr>
            <w:tcW w:w="5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437.1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337.6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Pre-Acquisition ZI brand portfolio</w:t>
            </w: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966.8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6320" w:type="dxa"/>
            <w:vAlign w:val="bottom"/>
            <w:gridSpan w:val="4"/>
          </w:tcPr>
          <w:p>
            <w:pPr>
              <w:ind w:left="340"/>
              <w:spacing w:after="0"/>
              <w:rPr>
                <w:sz w:val="20"/>
                <w:szCs w:val="20"/>
                <w:color w:val="auto"/>
              </w:rPr>
            </w:pPr>
            <w:r>
              <w:rPr>
                <w:rFonts w:ascii="Arial" w:cs="Arial" w:eastAsia="Arial" w:hAnsi="Arial"/>
                <w:sz w:val="18"/>
                <w:szCs w:val="18"/>
                <w:color w:val="auto"/>
                <w:w w:val="93"/>
              </w:rPr>
              <w:t>Amortization expense was $42.6 million for the year ended December 31, 2019.</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240" w:type="dxa"/>
            <w:vAlign w:val="bottom"/>
            <w:gridSpan w:val="12"/>
          </w:tcPr>
          <w:p>
            <w:pPr>
              <w:ind w:left="340"/>
              <w:spacing w:after="0"/>
              <w:rPr>
                <w:sz w:val="20"/>
                <w:szCs w:val="20"/>
                <w:color w:val="auto"/>
              </w:rPr>
            </w:pPr>
            <w:r>
              <w:rPr>
                <w:rFonts w:ascii="Arial" w:cs="Arial" w:eastAsia="Arial" w:hAnsi="Arial"/>
                <w:sz w:val="18"/>
                <w:szCs w:val="18"/>
                <w:color w:val="auto"/>
                <w:w w:val="94"/>
              </w:rPr>
              <w:t>The Company did not incur cost to renew or extend the term of acquired intangible assets during the years ending December 31, 2019 and 2018.</w:t>
            </w:r>
          </w:p>
        </w:tc>
        <w:tc>
          <w:tcPr>
            <w:tcW w:w="0" w:type="dxa"/>
            <w:vAlign w:val="bottom"/>
          </w:tcPr>
          <w:p>
            <w:pPr>
              <w:spacing w:after="0"/>
              <w:rPr>
                <w:sz w:val="1"/>
                <w:szCs w:val="1"/>
                <w:color w:val="auto"/>
              </w:rPr>
            </w:pPr>
          </w:p>
        </w:tc>
      </w:tr>
      <w:tr>
        <w:trPr>
          <w:trHeight w:val="378"/>
        </w:trPr>
        <w:tc>
          <w:tcPr>
            <w:tcW w:w="8000" w:type="dxa"/>
            <w:vAlign w:val="bottom"/>
            <w:gridSpan w:val="7"/>
          </w:tcPr>
          <w:p>
            <w:pPr>
              <w:ind w:left="340"/>
              <w:spacing w:after="0"/>
              <w:rPr>
                <w:sz w:val="20"/>
                <w:szCs w:val="20"/>
                <w:color w:val="auto"/>
              </w:rPr>
            </w:pPr>
            <w:r>
              <w:rPr>
                <w:rFonts w:ascii="Arial" w:cs="Arial" w:eastAsia="Arial" w:hAnsi="Arial"/>
                <w:sz w:val="18"/>
                <w:szCs w:val="18"/>
                <w:color w:val="auto"/>
                <w:w w:val="95"/>
              </w:rPr>
              <w:t>Future amortization expense for intangible assets as of December 31, 2019 is as follows (in millions):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Estimate Amortization</w:t>
            </w:r>
          </w:p>
        </w:tc>
        <w:tc>
          <w:tcPr>
            <w:tcW w:w="0" w:type="dxa"/>
            <w:vAlign w:val="bottom"/>
          </w:tcPr>
          <w:p>
            <w:pPr>
              <w:spacing w:after="0"/>
              <w:rPr>
                <w:sz w:val="1"/>
                <w:szCs w:val="1"/>
                <w:color w:val="auto"/>
              </w:rPr>
            </w:pPr>
          </w:p>
        </w:tc>
      </w:tr>
      <w:tr>
        <w:trPr>
          <w:trHeight w:val="188"/>
        </w:trPr>
        <w:tc>
          <w:tcPr>
            <w:tcW w:w="46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3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years ended December 31,</w:t>
            </w:r>
          </w:p>
        </w:tc>
        <w:tc>
          <w:tcPr>
            <w:tcW w:w="5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324"/>
        </w:trPr>
        <w:tc>
          <w:tcPr>
            <w:tcW w:w="6320" w:type="dxa"/>
            <w:vAlign w:val="bottom"/>
            <w:gridSpan w:val="4"/>
          </w:tcPr>
          <w:p>
            <w:pPr>
              <w:ind w:left="340"/>
              <w:spacing w:after="0"/>
              <w:rPr>
                <w:sz w:val="20"/>
                <w:szCs w:val="20"/>
                <w:color w:val="auto"/>
              </w:rPr>
            </w:pPr>
            <w:r>
              <w:rPr>
                <w:rFonts w:ascii="Arial" w:cs="Arial" w:eastAsia="Arial" w:hAnsi="Arial"/>
                <w:sz w:val="18"/>
                <w:szCs w:val="18"/>
                <w:color w:val="auto"/>
                <w:w w:val="99"/>
              </w:rPr>
              <w:t>The following summarizes changes to the Company’s goodwill (in millions):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gridSpan w:val="3"/>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Acquisition of NeverBounce</w:t>
            </w: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Acquisition of ZoomInfo</w:t>
            </w: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Acquisition of Komiko</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254" w:name="page255"/>
    <w:bookmarkEnd w:id="25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Acquired Intangible Assets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consisted of the following as of December 31, 2018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 Period in</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4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78.2</w:t>
            </w:r>
          </w:p>
        </w:tc>
        <w:tc>
          <w:tcPr>
            <w:tcW w:w="1680" w:type="dxa"/>
            <w:vAlign w:val="bottom"/>
            <w:gridSpan w:val="2"/>
          </w:tcPr>
          <w:p>
            <w:pPr>
              <w:jc w:val="right"/>
              <w:ind w:right="88"/>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7.9</w:t>
            </w:r>
          </w:p>
        </w:tc>
        <w:tc>
          <w:tcPr>
            <w:tcW w:w="16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Brand portfolio</w:t>
            </w:r>
          </w:p>
        </w:tc>
        <w:tc>
          <w:tcPr>
            <w:tcW w:w="5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2.6</w:t>
            </w:r>
          </w:p>
        </w:tc>
        <w:tc>
          <w:tcPr>
            <w:tcW w:w="1680" w:type="dxa"/>
            <w:vAlign w:val="bottom"/>
            <w:gridSpan w:val="2"/>
          </w:tcPr>
          <w:p>
            <w:pPr>
              <w:jc w:val="right"/>
              <w:ind w:right="88"/>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445.7</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was $14.7 million for the year ended December 31, 2018. A summary of estimated future amortization expense is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year ending December 31,</w:t>
            </w:r>
          </w:p>
        </w:tc>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12.3</w:t>
            </w:r>
          </w:p>
        </w:tc>
      </w:tr>
      <w:tr>
        <w:trPr>
          <w:trHeight w:val="243"/>
        </w:trPr>
        <w:tc>
          <w:tcPr>
            <w:tcW w:w="2980" w:type="dxa"/>
            <w:vAlign w:val="bottom"/>
          </w:tcPr>
          <w:p>
            <w:pPr>
              <w:spacing w:after="0"/>
              <w:rPr>
                <w:sz w:val="21"/>
                <w:szCs w:val="21"/>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7.5</w:t>
            </w:r>
          </w:p>
        </w:tc>
      </w:tr>
      <w:tr>
        <w:trPr>
          <w:trHeight w:val="27"/>
        </w:trPr>
        <w:tc>
          <w:tcPr>
            <w:tcW w:w="2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r>
      <w:tr>
        <w:trPr>
          <w:trHeight w:val="243"/>
        </w:trPr>
        <w:tc>
          <w:tcPr>
            <w:tcW w:w="2980" w:type="dxa"/>
            <w:vAlign w:val="bottom"/>
          </w:tcPr>
          <w:p>
            <w:pPr>
              <w:spacing w:after="0"/>
              <w:rPr>
                <w:sz w:val="21"/>
                <w:szCs w:val="21"/>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7.5</w:t>
            </w:r>
          </w:p>
        </w:tc>
      </w:tr>
      <w:tr>
        <w:trPr>
          <w:trHeight w:val="27"/>
        </w:trPr>
        <w:tc>
          <w:tcPr>
            <w:tcW w:w="2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r>
      <w:tr>
        <w:trPr>
          <w:trHeight w:val="243"/>
        </w:trPr>
        <w:tc>
          <w:tcPr>
            <w:tcW w:w="2980" w:type="dxa"/>
            <w:vAlign w:val="bottom"/>
          </w:tcPr>
          <w:p>
            <w:pPr>
              <w:spacing w:after="0"/>
              <w:rPr>
                <w:sz w:val="21"/>
                <w:szCs w:val="21"/>
                <w:color w:val="auto"/>
              </w:rPr>
            </w:pPr>
          </w:p>
        </w:tc>
        <w:tc>
          <w:tcPr>
            <w:tcW w:w="6700" w:type="dxa"/>
            <w:vAlign w:val="bottom"/>
          </w:tcPr>
          <w:p>
            <w:pPr>
              <w:ind w:left="52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46.5</w:t>
            </w:r>
          </w:p>
        </w:tc>
      </w:tr>
      <w:tr>
        <w:trPr>
          <w:trHeight w:val="27"/>
        </w:trPr>
        <w:tc>
          <w:tcPr>
            <w:tcW w:w="298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2980" w:type="dxa"/>
            <w:vAlign w:val="bottom"/>
            <w:tcBorders>
              <w:bottom w:val="single" w:sz="8" w:color="CCEEFF"/>
            </w:tcBorders>
            <w:shd w:val="clear" w:color="auto" w:fill="CCEEFF"/>
          </w:tcPr>
          <w:p>
            <w:pPr>
              <w:spacing w:after="0"/>
              <w:rPr>
                <w:sz w:val="24"/>
                <w:szCs w:val="24"/>
                <w:color w:val="auto"/>
              </w:rPr>
            </w:pPr>
          </w:p>
        </w:tc>
        <w:tc>
          <w:tcPr>
            <w:tcW w:w="67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88.7</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years ended December 31, 2019 and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conjunction with the acquisition of Pre-Acquisition ZI on February 1, 2019, DiscoverOrg raised $965 million of first lien debt (including a $100 million undrawn revolving credit facility), $370 million of second lien of second lien debt, and issued 51.8 million of Series A Preferred Units in exchange for $200.2 million, net of issuance costs. In addition to funding the purchase of Pre-Acquisition ZI, the proceeds were using to repay the Antares First Lien Term Loan, the Goldman Second Lien Term Loan, and the Subordinated Loan described below.</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first lien debt has a variable interest rate whereby the Company can elect to use a Base Rate or the London Interbank Offer Rate (“LIBOR”) plus an applicable rate. The applicable margin is 3.25% to 3.5% for Base Rate loans (depending on the Company’s leverage) or 4.25% or 4.5% for LIBOR Based Loans, depending on the Company’s leverage. The first lien borrowings are to be repaid quarterly in the amount of $2.2 million with the final payment due on February 1, 2026. The effective interest rate on the first lien debt was 7.5% for the year ended December 31, 2019. See Note 18 - Subsequent Events regarding a repricing of the first lien debt that occurred subsequent to year end.</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outstanding borrowings under the revolving credit facility must be repaid by February 1, 2024. Immaterial debt issuance costs were incurred in connection with the entry into the revolving credit facility. These debt issuance costs are amortized into interest expense over the expected life of the arrangement. Unamortized debt issuance costs included in Deferred costs, net of current portion on the accompanying consolidated balance sheets were immaterial as of December 31, 2019.</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second lien debt has a variable interest rate whereby the Company can elect to use a Base Rate or LIBOR plus an applicable rate. The applicable rate is 7.5% for Base Rate loans or 8.5% for LIBOR Based Loans.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21" w:right="339" w:bottom="1440" w:gutter="0" w:footer="0" w:header="0"/>
        </w:sectPr>
      </w:pPr>
    </w:p>
    <w:bookmarkStart w:id="255" w:name="page256"/>
    <w:bookmarkEnd w:id="25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7 - Financing Arrangements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second lien borrowings must be repaid on February 1, 2027. Under certain conditions, the Company will owe a prepayment penalty of 2% or 1%, if the Company repays the loans before February 1, 2020 or February 1, 2021, respectively. The effective interest rate on the second lien debt was 11.9% for the year ended December 31, 2019.</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first and second lien credit agreements are secured by substantially all the productive assets of the Company. The first and second lien credit agreement contains a number of covenants that restrict, subject to certain exceptions, the Company’s ability to, among other things:</w:t>
      </w:r>
    </w:p>
    <w:p>
      <w:pPr>
        <w:spacing w:after="0" w:line="92" w:lineRule="exact"/>
        <w:rPr>
          <w:sz w:val="20"/>
          <w:szCs w:val="20"/>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Series A Preferred Units have preference with respect to cash flows generated by DiscoverOrg and will receive proceeds from future distributions on a preferential basis for the value of the preferred plus accrued but unpaid interest at an annual rate of 15%.</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and 2018, the carrying values of the Company’s borrowings were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Date of Issuance</w:t>
            </w:r>
          </w:p>
        </w:tc>
        <w:tc>
          <w:tcPr>
            <w:tcW w:w="120" w:type="dxa"/>
            <w:vAlign w:val="bottom"/>
            <w:vMerge w:val="restart"/>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vMerge w:val="restart"/>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Elected Interest Rate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 as of</w:t>
            </w:r>
          </w:p>
        </w:tc>
        <w:tc>
          <w:tcPr>
            <w:tcW w:w="120" w:type="dxa"/>
            <w:vAlign w:val="bottom"/>
          </w:tcPr>
          <w:p>
            <w:pPr>
              <w:spacing w:after="0"/>
              <w:rPr>
                <w:sz w:val="14"/>
                <w:szCs w:val="14"/>
                <w:color w:val="auto"/>
              </w:rPr>
            </w:pPr>
          </w:p>
        </w:tc>
        <w:tc>
          <w:tcPr>
            <w:tcW w:w="144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Carrying value as of</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First Lien Term Loan</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2019</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2026</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First Lien Revolver</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2019</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2024</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4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Second Lien Term Loan</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2019</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2027</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+ 8.5%</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Antares First Lien Term Loan</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2017</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2023</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LIBOR + 4.5%</w:t>
            </w:r>
          </w:p>
        </w:tc>
        <w:tc>
          <w:tcPr>
            <w:tcW w:w="140" w:type="dxa"/>
            <w:vAlign w:val="bottom"/>
          </w:tcPr>
          <w:p>
            <w:pPr>
              <w:spacing w:after="0"/>
              <w:rPr>
                <w:sz w:val="23"/>
                <w:szCs w:val="23"/>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Goldman Second Lien Term Loan</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2016</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2024</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+ 8.5%</w:t>
            </w:r>
          </w:p>
        </w:tc>
        <w:tc>
          <w:tcPr>
            <w:tcW w:w="1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Subordinated Term Loan</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2017</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2024</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LIBOR + 12.5%</w:t>
            </w:r>
          </w:p>
        </w:tc>
        <w:tc>
          <w:tcPr>
            <w:tcW w:w="140" w:type="dxa"/>
            <w:vAlign w:val="bottom"/>
          </w:tcPr>
          <w:p>
            <w:pPr>
              <w:spacing w:after="0"/>
              <w:rPr>
                <w:sz w:val="23"/>
                <w:szCs w:val="23"/>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Carrying Value of Debt</w:t>
            </w: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1,203.3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less current portion</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 Term Debt</w:t>
            </w:r>
          </w:p>
        </w:tc>
        <w:tc>
          <w:tcPr>
            <w:tcW w:w="1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1,194.6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gridSpan w:val="2"/>
            <w:vMerge w:val="restart"/>
          </w:tcPr>
          <w:p>
            <w:pPr>
              <w:ind w:left="800"/>
              <w:spacing w:after="0"/>
              <w:rPr>
                <w:sz w:val="20"/>
                <w:szCs w:val="20"/>
                <w:color w:val="auto"/>
              </w:rPr>
            </w:pPr>
            <w:r>
              <w:rPr>
                <w:rFonts w:ascii="Arial" w:cs="Arial" w:eastAsia="Arial" w:hAnsi="Arial"/>
                <w:sz w:val="18"/>
                <w:szCs w:val="18"/>
                <w:color w:val="auto"/>
              </w:rPr>
              <w:t>F-30</w:t>
            </w: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56" w:name="page257"/>
    <w:bookmarkEnd w:id="25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7 - Financing Arrangements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future principal payments for all borrowings as of December 31, 2019 is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Maturity</w:t>
            </w: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Discounts and Issuance</w:t>
            </w:r>
          </w:p>
        </w:tc>
        <w:tc>
          <w:tcPr>
            <w:tcW w:w="240" w:type="dxa"/>
            <w:vAlign w:val="bottom"/>
          </w:tcPr>
          <w:p>
            <w:pPr>
              <w:spacing w:after="0"/>
              <w:rPr>
                <w:sz w:val="14"/>
                <w:szCs w:val="14"/>
                <w:color w:val="auto"/>
              </w:rPr>
            </w:pPr>
          </w:p>
        </w:tc>
        <w:tc>
          <w:tcPr>
            <w:tcW w:w="13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Costs</w:t>
            </w: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w:t>
            </w:r>
          </w:p>
        </w:tc>
        <w:tc>
          <w:tcPr>
            <w:tcW w:w="34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420" w:type="dxa"/>
            <w:vAlign w:val="bottom"/>
          </w:tcPr>
          <w:p>
            <w:pPr>
              <w:ind w:left="46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420" w:type="dxa"/>
            <w:vAlign w:val="bottom"/>
          </w:tcPr>
          <w:p>
            <w:pPr>
              <w:ind w:left="46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420" w:type="dxa"/>
            <w:vAlign w:val="bottom"/>
          </w:tcPr>
          <w:p>
            <w:pPr>
              <w:ind w:left="46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1,185.0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1,184.8</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900" w:type="dxa"/>
            <w:vAlign w:val="bottom"/>
            <w:tcBorders>
              <w:bottom w:val="single" w:sz="8" w:color="CCEEFF"/>
            </w:tcBorders>
            <w:shd w:val="clear" w:color="auto" w:fill="CCEEFF"/>
          </w:tcPr>
          <w:p>
            <w:pPr>
              <w:spacing w:after="0"/>
              <w:rPr>
                <w:sz w:val="24"/>
                <w:szCs w:val="24"/>
                <w:color w:val="auto"/>
              </w:rPr>
            </w:pPr>
          </w:p>
        </w:tc>
        <w:tc>
          <w:tcPr>
            <w:tcW w:w="3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1,228.5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Antares First Lien Term Loan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August 2017, the Company entered into a $330 million senior term loan with Antares that matures in August 2023. In March 2018, the Company executed an amendment to the term loan and issued an additional $47.7 million of First Lien Term Loan debt. The interest rate is based on LIBOR or a defined Base Rate plus an applicable rate ranging from 4.25% to 4.5%, depending on the leverage ratio. The Base Rate is the higher of prime or the Federal Funds Rate plus 0.5%. The term loan is collateralized by all assets of the Company. As of December 31, 2018, there was $373.2 million outstanding on this term loan. The loan was issued with a $2.5 million original issue discount (“OID”), which is amortized to interest expense using the effective interest method. The Company incurred $3.2 million in debt issuance costs upon issuance of the debt. Debt issuance costs are deferred and amortized as interest expense using the effective interest method.</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requires the Company to make certain payments on the outstanding loan balances if it has generated excess cash flows as defined by the credit agreement, beginning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Second Lien Term Loan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2016, the Company entered into a $55.0 million second lien term loan agreement with Goldman Sachs. In August 2017 and March 2018, the facility was increased by $75.0 million and $19.8 million, respectively. The interest rate is based on LIBOR plus an applicable margin of 8.5% or a defined Base Rate plus an applicable rate ranging from 8.3% to 8.5%, depending on the leverage ratio. The Base Rate is the higher of prime or the Federal Funds Rate plus 0.5%. The term loan is collateralized by all assets of the Company. As of December 31, 2018, there was $149.8 million outstanding on this term loan. The loan was issued with a $1.0 million original issue discount (“OID”), which is amortized to interest expense using the effective interest method. The Company incurred $1.8 million in debt issuance costs upon issuance of the debt. Debt issuance costs are deferred and amortized as interest expense using the effective interest method.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Loan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September 2017, the Company entered into a $100 million senior subordinated loan. The interest rate is based on the LIBOR plus an applicable margin of 12.5%. The interest is payable in kind (PIK) and increases the outstanding principal amount on each interest payment date. As of December 31, 2018, there was $120.2 million in principal and interest outstanding on this loan, respectively. The Company incurred $3.2 million in debt issuance costs upon issuance of the debt. Debt issuance costs are deferred and amortized as interest expense using the effective interest method.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exposed to changes in interest rates, primarily relating to changes in interest rates as a result of the term loans, which have variable interest rates. Consequently, from time to time, the Company may use interest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21" w:right="339" w:bottom="1440" w:gutter="0" w:footer="0" w:header="0"/>
        </w:sectPr>
      </w:pPr>
    </w:p>
    <w:bookmarkStart w:id="257" w:name="page258"/>
    <w:bookmarkEnd w:id="25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8 - Derivatives and Hedging Activities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rate swaps or other financial instruments to manage the exposure to interest rate movements. The Company does not enter into derivative transactions for speculative or trading purposes.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derivative instruments and hedging activities on a gross basis as either assets or liabilities on the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April 2019, the Company entered into two separate interest rate swap agreements effectively converting $350 million of floating rate debt under the first lien credit facility to fixed rate obligations. In April 2019, the Company also entered into a $500 million interest rate cap. These agreements have been designated and qualify as cash flow hedging instruments and, as such, changes in the fair value are recorded in accumulated other comprehensive income (loss) on the Company’s consolidated balance sheets to the extent the agreements are effective hedges.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December 31, 2019, the Company had the following outstanding interest rate derivatives that were designated as cash flow hedges of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Interest Rate Derivatives</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Instruments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 Aggregate</w:t>
            </w:r>
          </w:p>
        </w:tc>
        <w:tc>
          <w:tcPr>
            <w:tcW w:w="18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Interest Cap / Swap Rate</w:t>
            </w:r>
          </w:p>
        </w:tc>
        <w:tc>
          <w:tcPr>
            <w:tcW w:w="120" w:type="dxa"/>
            <w:vAlign w:val="bottom"/>
            <w:vMerge w:val="restart"/>
          </w:tcPr>
          <w:p>
            <w:pPr>
              <w:spacing w:after="0"/>
              <w:rPr>
                <w:sz w:val="14"/>
                <w:szCs w:val="14"/>
                <w:color w:val="auto"/>
              </w:rPr>
            </w:pPr>
          </w:p>
        </w:tc>
        <w:tc>
          <w:tcPr>
            <w:tcW w:w="17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8"/>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 contract</w:t>
            </w:r>
          </w:p>
        </w:tc>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One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5"/>
              </w:rPr>
              <w:t>April 30, 2024</w:t>
            </w:r>
          </w:p>
        </w:tc>
        <w:tc>
          <w:tcPr>
            <w:tcW w:w="0" w:type="dxa"/>
            <w:vAlign w:val="bottom"/>
          </w:tcPr>
          <w:p>
            <w:pPr>
              <w:spacing w:after="0"/>
              <w:rPr>
                <w:sz w:val="1"/>
                <w:szCs w:val="1"/>
                <w:color w:val="auto"/>
              </w:rPr>
            </w:pPr>
          </w:p>
        </w:tc>
      </w:tr>
      <w:tr>
        <w:trPr>
          <w:trHeight w:val="24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Two</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9"/>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780" w:type="dxa"/>
            <w:vAlign w:val="bottom"/>
          </w:tcPr>
          <w:p>
            <w:pPr>
              <w:ind w:left="700"/>
              <w:spacing w:after="0"/>
              <w:rPr>
                <w:sz w:val="20"/>
                <w:szCs w:val="20"/>
                <w:color w:val="auto"/>
              </w:rPr>
            </w:pPr>
            <w:r>
              <w:rPr>
                <w:rFonts w:ascii="Arial" w:cs="Arial" w:eastAsia="Arial" w:hAnsi="Arial"/>
                <w:sz w:val="18"/>
                <w:szCs w:val="18"/>
                <w:color w:val="auto"/>
                <w:w w:val="95"/>
              </w:rPr>
              <w:t>April 29, 2022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and presentation in the consolidated balance sheets for derivatives as of December 31, 2019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Unrealized Gains (Losses)</w:t>
            </w:r>
          </w:p>
        </w:tc>
      </w:tr>
      <w:tr>
        <w:trPr>
          <w:trHeight w:val="149"/>
        </w:trPr>
        <w:tc>
          <w:tcPr>
            <w:tcW w:w="9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Recognized in Other</w:t>
            </w:r>
          </w:p>
        </w:tc>
      </w:tr>
      <w:tr>
        <w:trPr>
          <w:trHeight w:val="192"/>
        </w:trPr>
        <w:tc>
          <w:tcPr>
            <w:tcW w:w="9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Comprehensive Income</w:t>
            </w:r>
          </w:p>
        </w:tc>
      </w:tr>
      <w:tr>
        <w:trPr>
          <w:trHeight w:val="196"/>
        </w:trPr>
        <w:tc>
          <w:tcPr>
            <w:tcW w:w="9320" w:type="dxa"/>
            <w:vAlign w:val="bottom"/>
            <w:tcBorders>
              <w:bottom w:val="single" w:sz="8" w:color="auto"/>
            </w:tcBorders>
          </w:tcPr>
          <w:p>
            <w:pPr>
              <w:ind w:left="4320"/>
              <w:spacing w:after="0"/>
              <w:rPr>
                <w:sz w:val="20"/>
                <w:szCs w:val="20"/>
                <w:color w:val="auto"/>
              </w:rPr>
            </w:pPr>
            <w:r>
              <w:rPr>
                <w:rFonts w:ascii="Arial" w:cs="Arial" w:eastAsia="Arial" w:hAnsi="Arial"/>
                <w:sz w:val="14"/>
                <w:szCs w:val="14"/>
                <w:b w:val="1"/>
                <w:bCs w:val="1"/>
                <w:color w:val="auto"/>
              </w:rPr>
              <w:t>Instrument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December 31, 2019</w:t>
            </w:r>
          </w:p>
        </w:tc>
      </w:tr>
      <w:tr>
        <w:trPr>
          <w:trHeight w:val="250"/>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2.6</w:t>
            </w:r>
          </w:p>
        </w:tc>
      </w:tr>
      <w:tr>
        <w:trPr>
          <w:trHeight w:val="243"/>
        </w:trPr>
        <w:tc>
          <w:tcPr>
            <w:tcW w:w="944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660" w:type="dxa"/>
            <w:vAlign w:val="bottom"/>
          </w:tcPr>
          <w:p>
            <w:pPr>
              <w:jc w:val="right"/>
              <w:ind w:right="79"/>
              <w:spacing w:after="0"/>
              <w:rPr>
                <w:sz w:val="20"/>
                <w:szCs w:val="20"/>
                <w:color w:val="auto"/>
              </w:rPr>
            </w:pPr>
            <w:r>
              <w:rPr>
                <w:rFonts w:ascii="Arial" w:cs="Arial" w:eastAsia="Arial" w:hAnsi="Arial"/>
                <w:sz w:val="18"/>
                <w:szCs w:val="18"/>
                <w:color w:val="auto"/>
              </w:rPr>
              <w:t>3.4</w:t>
            </w:r>
          </w:p>
        </w:tc>
      </w:tr>
      <w:tr>
        <w:trPr>
          <w:trHeight w:val="27"/>
        </w:trPr>
        <w:tc>
          <w:tcPr>
            <w:tcW w:w="9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8"/>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6.0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period that the hedged item affects earnings, such as when interest payments are made on the Company’s variable-rate debt, the Company reclassifies the related gain or loss on the interest rate swap cash flow hedges to interest expense. The cash flows associated with the cash flow hedges are reported in Net cash provided by (used in) operating activities on our consolidated statements of cash flows.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Amounts reclassified from accumulated other comprehensive loss into earnings related to the Company’s derivative instruments designated as cash flow hedging instruments for each of the reporting periods was not material.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21" w:right="339" w:bottom="1440" w:gutter="0" w:footer="0" w:header="0"/>
        </w:sectPr>
      </w:pPr>
    </w:p>
    <w:bookmarkStart w:id="258" w:name="page259"/>
    <w:bookmarkEnd w:id="25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9 - Fair Value Measurements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inputs or methodology used for valuing financial assets and liabilities are not necessarily an indication of the risk associated with investing in them.</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elected to use the income approach to value the derivatives, using observable Level II market expectations at measurement date and standard valuation techniques to convert future amounts to a single present amount (discounted) reflecting current market expectations about those future amounts. Level II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bootstrapped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Inputs are collected from SuperDerivatives as of the close on the last day of the period. The valuation of the interest rate swaps also take into consideration estimates of our own, as well as counterparty’s, risk of non-performance under the contract.</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classified the measurement of fair value of long-lived assets as Level 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are the disclosures related to our assets and (liabilities) that are measured at fair value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2"/>
                <w:szCs w:val="22"/>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2"/>
                <w:szCs w:val="22"/>
                <w:color w:val="auto"/>
              </w:rPr>
            </w:pPr>
          </w:p>
        </w:tc>
        <w:tc>
          <w:tcPr>
            <w:tcW w:w="1240" w:type="dxa"/>
            <w:vAlign w:val="bottom"/>
          </w:tcPr>
          <w:p>
            <w:pPr>
              <w:jc w:val="right"/>
              <w:ind w:right="476"/>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Derivative contract, net</w:t>
            </w:r>
          </w:p>
        </w:tc>
        <w:tc>
          <w:tcPr>
            <w:tcW w:w="2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78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8"/>
        </w:trPr>
        <w:tc>
          <w:tcPr>
            <w:tcW w:w="4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Impaired right-of-use assets</w:t>
            </w:r>
          </w:p>
        </w:tc>
        <w:tc>
          <w:tcPr>
            <w:tcW w:w="2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w:t>
            </w:r>
          </w:p>
        </w:tc>
      </w:tr>
      <w:tr>
        <w:trPr>
          <w:trHeight w:val="45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Fair Value at December 31, 2018</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4"/>
                <w:szCs w:val="24"/>
                <w:color w:val="auto"/>
              </w:rPr>
            </w:pPr>
          </w:p>
        </w:tc>
        <w:tc>
          <w:tcPr>
            <w:tcW w:w="1240" w:type="dxa"/>
            <w:vAlign w:val="bottom"/>
          </w:tcPr>
          <w:p>
            <w:pPr>
              <w:jc w:val="right"/>
              <w:ind w:right="476"/>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spacing w:after="0"/>
              <w:rPr>
                <w:sz w:val="21"/>
                <w:szCs w:val="21"/>
                <w:color w:val="auto"/>
              </w:rPr>
            </w:pPr>
          </w:p>
        </w:tc>
        <w:tc>
          <w:tcPr>
            <w:tcW w:w="2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8"/>
        </w:trPr>
        <w:tc>
          <w:tcPr>
            <w:tcW w:w="4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520" w:type="dxa"/>
            <w:vAlign w:val="bottom"/>
            <w:gridSpan w:val="3"/>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r>
      <w:tr>
        <w:trPr>
          <w:trHeight w:val="891"/>
        </w:trPr>
        <w:tc>
          <w:tcPr>
            <w:tcW w:w="4120" w:type="dxa"/>
            <w:vAlign w:val="bottom"/>
          </w:tcPr>
          <w:p>
            <w:pPr>
              <w:spacing w:after="0"/>
              <w:rPr>
                <w:sz w:val="24"/>
                <w:szCs w:val="24"/>
                <w:color w:val="auto"/>
              </w:rPr>
            </w:pPr>
          </w:p>
        </w:tc>
        <w:tc>
          <w:tcPr>
            <w:tcW w:w="2520" w:type="dxa"/>
            <w:vAlign w:val="bottom"/>
            <w:gridSpan w:val="3"/>
          </w:tcPr>
          <w:p>
            <w:pPr>
              <w:jc w:val="right"/>
              <w:ind w:right="840"/>
              <w:spacing w:after="0"/>
              <w:rPr>
                <w:sz w:val="20"/>
                <w:szCs w:val="20"/>
                <w:color w:val="auto"/>
              </w:rPr>
            </w:pPr>
            <w:r>
              <w:rPr>
                <w:rFonts w:ascii="Arial" w:cs="Arial" w:eastAsia="Arial" w:hAnsi="Arial"/>
                <w:sz w:val="18"/>
                <w:szCs w:val="18"/>
                <w:color w:val="auto"/>
              </w:rPr>
              <w:t>F-33</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59" w:name="page260"/>
    <w:bookmarkEnd w:id="25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9 - Fair Value Measurements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4 – Business Combinations for details regarding the Company’s business combination accounted for initially at fair value. See Note 8 - Derivatives and Hedging Activities for details regarding the Company’s derivative contracts.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Sales and use tax </w:t>
      </w:r>
      <w:r>
        <w:rPr>
          <w:rFonts w:ascii="Arial" w:cs="Arial" w:eastAsia="Arial" w:hAnsi="Arial"/>
          <w:sz w:val="18"/>
          <w:szCs w:val="18"/>
          <w:color w:val="auto"/>
        </w:rPr>
        <w:t>- The Company has conducted an assessment of sales and use tax exposure in states where the Company has established nexus.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this assessment, the Company has recorded a liability for taxes owed and related penalties and interest in the amount of $2.1 million and $1.4 million at December 31, 2019 and 2018, respectively. This liability is included in accrued expenses and other current liabilities in our consolidated balance sheets.</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Contingent earnout payments </w:t>
      </w:r>
      <w:r>
        <w:rPr>
          <w:rFonts w:ascii="Arial" w:cs="Arial" w:eastAsia="Arial" w:hAnsi="Arial"/>
          <w:sz w:val="18"/>
          <w:szCs w:val="18"/>
          <w:color w:val="auto"/>
        </w:rPr>
        <w:t>- The Company is contingently committed to making additional payments of up to $1.6 million and $4.0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the acquisition of NeverBounce and Komiko, respectively. Refer to Note 4 - Business Combinations.</w:t>
      </w:r>
    </w:p>
    <w:p>
      <w:pPr>
        <w:spacing w:after="0" w:line="108"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Deferred acquisition related payments - </w:t>
      </w:r>
      <w:r>
        <w:rPr>
          <w:rFonts w:ascii="Arial" w:cs="Arial" w:eastAsia="Arial" w:hAnsi="Arial"/>
          <w:sz w:val="16"/>
          <w:szCs w:val="16"/>
          <w:color w:val="auto"/>
        </w:rPr>
        <w:t>In accordance with the purchase agreement, the Company will pay deferred consideration of $25.0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and $10.0 million on the first and second anniversary of the Pre-Acquisition ZI acquisition, respectively. Refer to Note 4 - Business Combinations.</w:t>
      </w:r>
    </w:p>
    <w:p>
      <w:pPr>
        <w:spacing w:after="0" w:line="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Series A Preferred Units </w:t>
      </w:r>
      <w:r>
        <w:rPr>
          <w:rFonts w:ascii="Arial" w:cs="Arial" w:eastAsia="Arial" w:hAnsi="Arial"/>
          <w:sz w:val="18"/>
          <w:szCs w:val="18"/>
          <w:color w:val="auto"/>
        </w:rPr>
        <w:t>- The Company has issued Series A Preferred Units which accrue cumulative liquidation preferences. Refer to Note 13 -</w:t>
      </w:r>
      <w:r>
        <w:rPr>
          <w:rFonts w:ascii="Arial" w:cs="Arial" w:eastAsia="Arial" w:hAnsi="Arial"/>
          <w:sz w:val="18"/>
          <w:szCs w:val="18"/>
          <w:b w:val="1"/>
          <w:bCs w:val="1"/>
          <w:color w:val="auto"/>
        </w:rPr>
        <w:t xml:space="preserve"> </w:t>
      </w:r>
      <w:r>
        <w:rPr>
          <w:rFonts w:ascii="Arial" w:cs="Arial" w:eastAsia="Arial" w:hAnsi="Arial"/>
          <w:sz w:val="18"/>
          <w:szCs w:val="18"/>
          <w:color w:val="auto"/>
        </w:rPr>
        <w:t>Redeemable Series A Preferred Units.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21" w:right="339" w:bottom="1440" w:gutter="0" w:footer="0" w:header="0"/>
        </w:sectPr>
      </w:pPr>
    </w:p>
    <w:bookmarkStart w:id="260" w:name="page261"/>
    <w:bookmarkEnd w:id="26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The Company adopted Topic 842, </w:t>
      </w:r>
      <w:r>
        <w:rPr>
          <w:rFonts w:ascii="Arial" w:cs="Arial" w:eastAsia="Arial" w:hAnsi="Arial"/>
          <w:sz w:val="16"/>
          <w:szCs w:val="16"/>
          <w:i w:val="1"/>
          <w:iCs w:val="1"/>
          <w:color w:val="auto"/>
        </w:rPr>
        <w:t>Leases</w:t>
      </w:r>
      <w:r>
        <w:rPr>
          <w:rFonts w:ascii="Arial" w:cs="Arial" w:eastAsia="Arial" w:hAnsi="Arial"/>
          <w:sz w:val="16"/>
          <w:szCs w:val="16"/>
          <w:color w:val="auto"/>
        </w:rPr>
        <w:t>, on January 1, 2019, using the modified retrospective method and the optional transition method to record the adoption impact through a cumulative adjustment to equity. Results for reporting periods beginning after January 1, 2019, are presented under Topic 842, while prior periods are not adjusted and continue to be reported under the accounting standards in effect for those periods. The Company determines if an arrangement is a lease or contains a lease at inception. Operating lease liabilities are recognized based on the present value of the remaining lease payments, discounted using the discount rate for the lease at the commencement date. As the rate implicit in the lease is not readily determinable for the operating leases, the Company generally uses an incremental borrowing rate based on information available at the commencement date to determine the present value of future lease payments. The Company’s leases have remaining lease terms of up to eleven years, some of which include options to extend the leases for up to five years, and some of which include options to terminate the leases at the end of the fifth year. The Company’s leases do not have significant rent escalation, holidays, concessions, material residual value guarantees, material restrictive covenants or contingent rent provisions.</w:t>
      </w:r>
    </w:p>
    <w:p>
      <w:pPr>
        <w:spacing w:after="0" w:line="1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real estate leases. In addition, the Company has elected the practical expedient to exclude short-term leases, which have an original lease term of less than one year, from the right-of-use assets and lease liabilities as well as the package of practical expedients relating to adoption of Topic 842. Operating lease costs, including variable lease payments and sublease income that were immaterial for the year ended December 31, 2019, are included in operating costs within the Consolidated Statements of Operations.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also has subleases of former corporate offices. Subleases have remaining lease terms of one to six years. Sublease income, which is recorded in rent expense, net, was immaterial for the Year ended December 31, 2019, and 2018. The following are additional details related to leases recorded on our balance sheet as of December 31, 2019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Leases</w:t>
            </w:r>
          </w:p>
        </w:tc>
        <w:tc>
          <w:tcPr>
            <w:tcW w:w="100" w:type="dxa"/>
            <w:vAlign w:val="bottom"/>
            <w:vMerge w:val="restart"/>
          </w:tcPr>
          <w:p>
            <w:pPr>
              <w:spacing w:after="0"/>
              <w:rPr>
                <w:sz w:val="14"/>
                <w:szCs w:val="14"/>
                <w:color w:val="auto"/>
              </w:rPr>
            </w:pPr>
          </w:p>
        </w:tc>
        <w:tc>
          <w:tcPr>
            <w:tcW w:w="2380" w:type="dxa"/>
            <w:vAlign w:val="bottom"/>
            <w:vMerge w:val="restart"/>
          </w:tcPr>
          <w:p>
            <w:pPr>
              <w:jc w:val="right"/>
              <w:ind w:right="679"/>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vMerge w:val="restart"/>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Balance at December 31,</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 net</w:t>
            </w:r>
          </w:p>
        </w:tc>
        <w:tc>
          <w:tcPr>
            <w:tcW w:w="2500" w:type="dxa"/>
            <w:vAlign w:val="bottom"/>
            <w:gridSpan w:val="2"/>
          </w:tcPr>
          <w:p>
            <w:pPr>
              <w:jc w:val="right"/>
              <w:ind w:right="880"/>
              <w:spacing w:after="0"/>
              <w:rPr>
                <w:sz w:val="20"/>
                <w:szCs w:val="20"/>
                <w:color w:val="auto"/>
              </w:rPr>
            </w:pPr>
            <w:r>
              <w:rPr>
                <w:rFonts w:ascii="Arial" w:cs="Arial" w:eastAsia="Arial" w:hAnsi="Arial"/>
                <w:sz w:val="18"/>
                <w:szCs w:val="18"/>
                <w:color w:val="auto"/>
                <w:w w:val="86"/>
              </w:rPr>
              <w:t>Operating lease assets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7" w:lineRule="exact"/>
        <w:rPr>
          <w:sz w:val="20"/>
          <w:szCs w:val="20"/>
          <w:color w:val="auto"/>
        </w:rPr>
      </w:pPr>
    </w:p>
    <w:p>
      <w:pPr>
        <w:ind w:left="20"/>
        <w:spacing w:after="0"/>
        <w:tabs>
          <w:tab w:leader="none" w:pos="7140" w:val="left"/>
        </w:tabs>
        <w:rPr>
          <w:sz w:val="20"/>
          <w:szCs w:val="20"/>
          <w:color w:val="auto"/>
        </w:rPr>
      </w:pPr>
      <w:r>
        <w:rPr>
          <w:rFonts w:ascii="Arial" w:cs="Arial" w:eastAsia="Arial" w:hAnsi="Arial"/>
          <w:sz w:val="18"/>
          <w:szCs w:val="18"/>
          <w:color w:val="auto"/>
        </w:rPr>
        <w:t>Current portion of operating lease liabilities</w:t>
      </w:r>
      <w:r>
        <w:rPr>
          <w:sz w:val="20"/>
          <w:szCs w:val="20"/>
          <w:color w:val="auto"/>
        </w:rPr>
        <w:tab/>
      </w:r>
      <w:r>
        <w:rPr>
          <w:rFonts w:ascii="Arial" w:cs="Arial" w:eastAsia="Arial" w:hAnsi="Arial"/>
          <w:sz w:val="15"/>
          <w:szCs w:val="15"/>
          <w:color w:val="auto"/>
        </w:rPr>
        <w:t>Operating lease assets</w:t>
      </w:r>
    </w:p>
    <w:p>
      <w:pPr>
        <w:spacing w:after="0" w:line="63" w:lineRule="exact"/>
        <w:rPr>
          <w:sz w:val="20"/>
          <w:szCs w:val="20"/>
          <w:color w:val="auto"/>
        </w:rPr>
      </w:pPr>
    </w:p>
    <w:p>
      <w:pPr>
        <w:ind w:left="20"/>
        <w:spacing w:after="0"/>
        <w:tabs>
          <w:tab w:leader="none" w:pos="7140" w:val="left"/>
        </w:tabs>
        <w:rPr>
          <w:sz w:val="20"/>
          <w:szCs w:val="20"/>
          <w:color w:val="auto"/>
        </w:rPr>
      </w:pPr>
      <w:r>
        <w:rPr>
          <w:rFonts w:ascii="Arial" w:cs="Arial" w:eastAsia="Arial" w:hAnsi="Arial"/>
          <w:sz w:val="18"/>
          <w:szCs w:val="18"/>
          <w:color w:val="auto"/>
        </w:rPr>
        <w:t>Operating lease liabilities, net of current portion</w:t>
      </w:r>
      <w:r>
        <w:rPr>
          <w:sz w:val="20"/>
          <w:szCs w:val="20"/>
          <w:color w:val="auto"/>
        </w:rPr>
        <w:tab/>
      </w:r>
      <w:r>
        <w:rPr>
          <w:rFonts w:ascii="Arial" w:cs="Arial" w:eastAsia="Arial" w:hAnsi="Arial"/>
          <w:sz w:val="15"/>
          <w:szCs w:val="15"/>
          <w:color w:val="auto"/>
        </w:rPr>
        <w:t>Operating lease assets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Rent expense was $6.5 million and $1.9 million for the years ended December 31, 2019, and 2018, respectively.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leases was as follows: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Supplemental Cash Flow Information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189" w:hanging="1189"/>
        <w:spacing w:after="0"/>
        <w:tabs>
          <w:tab w:leader="none" w:pos="118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4.0</w:t>
      </w:r>
    </w:p>
    <w:p>
      <w:pPr>
        <w:spacing w:after="0" w:line="63" w:lineRule="exact"/>
        <w:rPr>
          <w:sz w:val="20"/>
          <w:szCs w:val="20"/>
          <w:color w:val="auto"/>
        </w:rPr>
      </w:pPr>
    </w:p>
    <w:p>
      <w:pPr>
        <w:ind w:left="1089" w:hanging="1089"/>
        <w:spacing w:after="0"/>
        <w:tabs>
          <w:tab w:leader="none" w:pos="108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40.7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
        <w:spacing w:after="0"/>
        <w:rPr>
          <w:sz w:val="20"/>
          <w:szCs w:val="20"/>
          <w:color w:val="auto"/>
        </w:rPr>
      </w:pPr>
      <w:r>
        <w:rPr>
          <w:rFonts w:ascii="Arial" w:cs="Arial" w:eastAsia="Arial" w:hAnsi="Arial"/>
          <w:sz w:val="12"/>
          <w:szCs w:val="12"/>
          <w:b w:val="1"/>
          <w:bCs w:val="1"/>
          <w:color w:val="auto"/>
        </w:rPr>
        <w:t>Year ended December</w:t>
      </w:r>
    </w:p>
    <w:p>
      <w:pPr>
        <w:spacing w:after="0" w:line="27" w:lineRule="exact"/>
        <w:rPr>
          <w:sz w:val="20"/>
          <w:szCs w:val="20"/>
          <w:color w:val="auto"/>
        </w:rPr>
      </w:pPr>
    </w:p>
    <w:p>
      <w:pPr>
        <w:jc w:val="center"/>
        <w:ind w:right="-8"/>
        <w:spacing w:after="0"/>
        <w:rPr>
          <w:sz w:val="20"/>
          <w:szCs w:val="20"/>
          <w:color w:val="auto"/>
        </w:rPr>
      </w:pPr>
      <w:r>
        <w:rPr>
          <w:rFonts w:ascii="Arial" w:cs="Arial" w:eastAsia="Arial" w:hAnsi="Arial"/>
          <w:sz w:val="14"/>
          <w:szCs w:val="14"/>
          <w:b w:val="1"/>
          <w:bCs w:val="1"/>
          <w:color w:val="auto"/>
        </w:rPr>
        <w:t>31, 2019</w:t>
      </w:r>
    </w:p>
    <w:p>
      <w:pPr>
        <w:spacing w:after="0" w:line="47" w:lineRule="exact"/>
        <w:rPr>
          <w:sz w:val="20"/>
          <w:szCs w:val="20"/>
          <w:color w:val="auto"/>
        </w:rPr>
      </w:pPr>
    </w:p>
    <w:p>
      <w:pPr>
        <w:ind w:left="1209" w:hanging="1182"/>
        <w:spacing w:after="0"/>
        <w:tabs>
          <w:tab w:leader="none" w:pos="120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3.4</w:t>
      </w:r>
    </w:p>
    <w:p>
      <w:pPr>
        <w:spacing w:after="0" w:line="200" w:lineRule="exact"/>
        <w:rPr>
          <w:sz w:val="20"/>
          <w:szCs w:val="20"/>
          <w:color w:val="auto"/>
        </w:rPr>
      </w:pPr>
    </w:p>
    <w:p>
      <w:pPr>
        <w:sectPr>
          <w:pgSz w:w="11900" w:h="16838" w:orient="portrait"/>
          <w:cols w:equalWidth="0" w:num="2">
            <w:col w:w="8931" w:space="720"/>
            <w:col w:w="1589"/>
          </w:cols>
          <w:pgMar w:left="320" w:top="121" w:right="339" w:bottom="1440" w:gutter="0" w:footer="0" w:header="0"/>
          <w:type w:val="continuous"/>
        </w:sectPr>
      </w:pP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liabilities arising from obtaining right-of-use assets</w:t>
            </w:r>
            <w:r>
              <w:rPr>
                <w:rFonts w:ascii="Arial" w:cs="Arial" w:eastAsia="Arial" w:hAnsi="Arial"/>
                <w:sz w:val="23"/>
                <w:szCs w:val="23"/>
                <w:b w:val="1"/>
                <w:bCs w:val="1"/>
                <w:color w:val="auto"/>
                <w:vertAlign w:val="superscript"/>
              </w:rPr>
              <w:t>(1)</w:t>
            </w:r>
          </w:p>
        </w:tc>
        <w:tc>
          <w:tcPr>
            <w:tcW w:w="3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From Zoom Information, Inc. acquisition</w:t>
            </w:r>
          </w:p>
        </w:tc>
        <w:tc>
          <w:tcPr>
            <w:tcW w:w="3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28.6</w:t>
            </w:r>
          </w:p>
        </w:tc>
      </w:tr>
      <w:tr>
        <w:trPr>
          <w:trHeight w:val="27"/>
        </w:trPr>
        <w:tc>
          <w:tcPr>
            <w:tcW w:w="7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1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r>
      <w:tr>
        <w:trPr>
          <w:trHeight w:val="155"/>
        </w:trPr>
        <w:tc>
          <w:tcPr>
            <w:tcW w:w="712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ind w:left="320" w:hanging="312"/>
        <w:spacing w:after="0"/>
        <w:tabs>
          <w:tab w:leader="none" w:pos="32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Excludes lease liabilities arising from the adoption of Topic 842. Refer to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type w:val="continuous"/>
        </w:sectPr>
      </w:pPr>
    </w:p>
    <w:bookmarkStart w:id="261" w:name="page262"/>
    <w:bookmarkEnd w:id="26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11 - Leases (continued)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w w:val="92"/>
              </w:rPr>
              <w:t>Year ended December 31,</w:t>
            </w:r>
          </w:p>
        </w:tc>
      </w:tr>
      <w:tr>
        <w:trPr>
          <w:trHeight w:val="192"/>
        </w:trPr>
        <w:tc>
          <w:tcPr>
            <w:tcW w:w="9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249"/>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43"/>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9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reconciles the undiscounted future minimum lease payments under non-cancellable leases to the total lease liabilities recognized on the condensed consolidated balance sheets as of December 31, 2019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6"/>
                <w:szCs w:val="16"/>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5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7.5</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7.2</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22.7</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58.5</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less effects of discounting</w:t>
            </w:r>
          </w:p>
        </w:tc>
        <w:tc>
          <w:tcPr>
            <w:tcW w:w="18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13.8</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44.7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Future minimum rental payments under the Company’s non-cancellable operating leases as of December 31, 2018, were as follows (in millions)</w:t>
      </w:r>
      <w:r>
        <w:rPr>
          <w:rFonts w:ascii="Arial" w:cs="Arial" w:eastAsia="Arial" w:hAnsi="Arial"/>
          <w:sz w:val="22"/>
          <w:szCs w:val="22"/>
          <w:color w:val="auto"/>
          <w:vertAlign w:val="superscript"/>
        </w:rPr>
        <w:t>(1)</w:t>
      </w:r>
      <w:r>
        <w:rPr>
          <w:rFonts w:ascii="Arial" w:cs="Arial" w:eastAsia="Arial" w:hAnsi="Arial"/>
          <w:sz w:val="17"/>
          <w:szCs w:val="17"/>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Contractual Payments</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Expected Sub-Lease</w:t>
            </w:r>
          </w:p>
        </w:tc>
        <w:tc>
          <w:tcPr>
            <w:tcW w:w="220" w:type="dxa"/>
            <w:vAlign w:val="bottom"/>
          </w:tcPr>
          <w:p>
            <w:pPr>
              <w:spacing w:after="0"/>
              <w:rPr>
                <w:sz w:val="14"/>
                <w:szCs w:val="14"/>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Net Expected</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Payments</w:t>
            </w:r>
          </w:p>
        </w:tc>
        <w:tc>
          <w:tcPr>
            <w:tcW w:w="220" w:type="dxa"/>
            <w:vAlign w:val="bottom"/>
          </w:tcPr>
          <w:p>
            <w:pPr>
              <w:spacing w:after="0"/>
              <w:rPr>
                <w:sz w:val="16"/>
                <w:szCs w:val="16"/>
                <w:color w:val="auto"/>
              </w:rPr>
            </w:pPr>
          </w:p>
        </w:tc>
        <w:tc>
          <w:tcPr>
            <w:tcW w:w="1340" w:type="dxa"/>
            <w:vAlign w:val="bottom"/>
          </w:tcPr>
          <w:p>
            <w:pPr>
              <w:jc w:val="right"/>
              <w:ind w:right="254"/>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250"/>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8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 xml:space="preserve">Amounts are based on ASC 840,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that were superseded upon the Company’s adoption of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w:t>
      </w:r>
    </w:p>
    <w:p>
      <w:pPr>
        <w:spacing w:after="0" w:line="2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Expense associated with short term leases and variable lease costs were immaterial for the Year ended December 31, 2019. The expense related to short-term leases reasonably reflects the Company’s short-term lease commitments.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Members’ Deficit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2018, certain members of the Company sold membership interests to private equity funds managed by Carlyle Partners (“Carlyle Investment”) and entered into the Third Amended and Restated Limited Liability Company Agreement (the “3rd LLC Agreement”). The 3rd LLC Agreement establishes different classes of membership units and the rights and economics related to each. All existing units of the Company were converted at the time of the Carlyle Investment to new Common and Preferred units equal to an initial investment level of one dollar per unit. Class P units were reserved for use in equity incentive programs for employees, directors, and service providers.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21" w:right="339" w:bottom="1440" w:gutter="0" w:footer="0" w:header="0"/>
        </w:sectPr>
      </w:pPr>
    </w:p>
    <w:bookmarkStart w:id="262" w:name="page263"/>
    <w:bookmarkEnd w:id="26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Members' Deficit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Class P units were subsequently granted to employees and directors directly in DiscoverOrg Holdings, LLC and through DiscoverOrg Management Holdings, LLC, which was granted units and subsequently granted units to employees. See Note 15 - Equity-Based Compensation for additional detail with respect to granted units.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Distributions to members are generally to be made in priority order, first to Series A Preferred Units up to the accrued yield of such units, then to Series A Preferred Units up to the initial investment level, then to Preferred Units up to the initial investment level, then to Common Units up to the initial investment level, and then on a ratable basis to all units, with Class P Units participating in distributions once other units have achieved a specified Return Threshold.</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2019, there were 96.0 million Preferred Units outstanding, 244.1 million Common Units outstanding, and 17.2 million Class P Units outstanding. As of December 31, 2018, there were 96.0 million Preferred Units outstanding, 246.0 million Common Units outstanding, and 5.7 million Class P Units outstanding. Prior to the Carlyle Investment, the Company operated under the Amended and Restated Limited Liability Company Agreement (the “Prior LLC Agreement”).</w:t>
      </w:r>
    </w:p>
    <w:p>
      <w:pPr>
        <w:spacing w:after="0" w:line="133" w:lineRule="exact"/>
        <w:rPr>
          <w:sz w:val="20"/>
          <w:szCs w:val="20"/>
          <w:color w:val="auto"/>
        </w:rPr>
      </w:pPr>
    </w:p>
    <w:p>
      <w:pPr>
        <w:ind w:right="1440" w:firstLine="324"/>
        <w:spacing w:after="0" w:line="438" w:lineRule="auto"/>
        <w:rPr>
          <w:sz w:val="20"/>
          <w:szCs w:val="20"/>
          <w:color w:val="auto"/>
        </w:rPr>
      </w:pPr>
      <w:r>
        <w:rPr>
          <w:rFonts w:ascii="Arial" w:cs="Arial" w:eastAsia="Arial" w:hAnsi="Arial"/>
          <w:sz w:val="18"/>
          <w:szCs w:val="18"/>
          <w:color w:val="auto"/>
        </w:rPr>
        <w:t xml:space="preserve">The Company has an outstanding payable as of December 31, 2019 of $0.7 million to a predecessor entity that is a current member. </w:t>
      </w:r>
      <w:r>
        <w:rPr>
          <w:rFonts w:ascii="Arial" w:cs="Arial" w:eastAsia="Arial" w:hAnsi="Arial"/>
          <w:sz w:val="18"/>
          <w:szCs w:val="18"/>
          <w:b w:val="1"/>
          <w:bCs w:val="1"/>
          <w:color w:val="auto"/>
        </w:rPr>
        <w:t>Note 13 - Redeemable Series A Preferred Units</w:t>
      </w:r>
    </w:p>
    <w:p>
      <w:pPr>
        <w:spacing w:after="0" w:line="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February 1, 2019, and in connection with the ZoomInfo acquisition (see Note 4 – Business Combinations), the Company issued 51.8 million Series A Preferred Units in exchange for $200.2 million, net of $0.6 million in issuance costs. As of December 31, 2019, 51.8 million units remained outstanding.</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Distributions on the Series A Preferred Units are payable on the initial liquidation preference amount of $4 per unit and on a cumulative basis at a priority return rate of 15% per annum, compounded semi-annually, until January 31, 2027, after which the priority return rate will increase in stages to a maximum of 17% per annum. Subject to certain exceptions, unless distributions on the Series A Preferred Units are declared and paid in cash for the then current distribution period and all preceding periods after the initial closing, the Company may not declare or pay distributions on or repurchase any of its equity securities with a priority equal with or junior to the Series A Preferred Units.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Following a change of control or liquidation event, the Company would be required to redeem the then current outstanding Series A Preferred Units at a redemption price equal to the liquidation preference plus all accumulated but unpaid distributions (collectively, the “liquidation value”). Due to these mandatory redemption features that are not entirely within the control of the Company and may not be associated with a final liquidation or termination of the Company, we have classified the Series Preferred A Units as a separate class of equity (i.e., mezzanine equity) in our consolidated balance sheet for December 31, 2019. The Company will adjust the carrying balance once it is probable that the Series A Preferred Units will become redeemable.</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may, at its option, redeem the Series A Preferred Units in whole, or in part, at a price based on the redemption date as compared to January 31, 2021 (the “First Call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Applicable Period</w:t>
            </w:r>
          </w:p>
        </w:tc>
        <w:tc>
          <w:tcPr>
            <w:tcW w:w="5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Redemption Price</w:t>
            </w:r>
          </w:p>
        </w:tc>
      </w:tr>
      <w:tr>
        <w:trPr>
          <w:trHeight w:val="228"/>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to the First Call Date</w:t>
            </w: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Present value as of the redemption date of liquidation value as of</w:t>
            </w:r>
          </w:p>
        </w:tc>
      </w:tr>
      <w:tr>
        <w:trPr>
          <w:trHeight w:val="237"/>
        </w:trPr>
        <w:tc>
          <w:tcPr>
            <w:tcW w:w="62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First Call Date multiplied by 104%</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w w:val="93"/>
              </w:rPr>
              <w:t>On or after the First Call Date and prior to the first anniversary of the First Call Date</w:t>
            </w:r>
          </w:p>
        </w:tc>
        <w:tc>
          <w:tcPr>
            <w:tcW w:w="5020" w:type="dxa"/>
            <w:vAlign w:val="bottom"/>
          </w:tcPr>
          <w:p>
            <w:pPr>
              <w:ind w:left="100"/>
              <w:spacing w:after="0"/>
              <w:rPr>
                <w:sz w:val="20"/>
                <w:szCs w:val="20"/>
                <w:color w:val="auto"/>
              </w:rPr>
            </w:pPr>
            <w:r>
              <w:rPr>
                <w:rFonts w:ascii="Arial" w:cs="Arial" w:eastAsia="Arial" w:hAnsi="Arial"/>
                <w:sz w:val="18"/>
                <w:szCs w:val="18"/>
                <w:color w:val="auto"/>
                <w:w w:val="97"/>
              </w:rPr>
              <w:t>Liquidation value as of the redemption date multiplied by 104%</w:t>
            </w:r>
          </w:p>
        </w:tc>
      </w:tr>
      <w:tr>
        <w:trPr>
          <w:trHeight w:val="27"/>
        </w:trPr>
        <w:tc>
          <w:tcPr>
            <w:tcW w:w="62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 or after the first anniversary of the First Call Date and prior to the second</w:t>
            </w:r>
          </w:p>
        </w:tc>
        <w:tc>
          <w:tcPr>
            <w:tcW w:w="5020" w:type="dxa"/>
            <w:vAlign w:val="bottom"/>
            <w:shd w:val="clear" w:color="auto" w:fill="CCEEFF"/>
          </w:tcPr>
          <w:p>
            <w:pPr>
              <w:spacing w:after="0"/>
              <w:rPr>
                <w:sz w:val="19"/>
                <w:szCs w:val="19"/>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anniversary of the First Call Date</w:t>
            </w:r>
          </w:p>
        </w:tc>
        <w:tc>
          <w:tcPr>
            <w:tcW w:w="5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7"/>
              </w:rPr>
              <w:t>Liquidation value as of the redemption date multiplied by 102%</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On or after the second anniversary of the First Call Date</w:t>
            </w:r>
          </w:p>
        </w:tc>
        <w:tc>
          <w:tcPr>
            <w:tcW w:w="5020" w:type="dxa"/>
            <w:vAlign w:val="bottom"/>
          </w:tcPr>
          <w:p>
            <w:pPr>
              <w:ind w:left="100"/>
              <w:spacing w:after="0"/>
              <w:rPr>
                <w:sz w:val="20"/>
                <w:szCs w:val="20"/>
                <w:color w:val="auto"/>
              </w:rPr>
            </w:pPr>
            <w:r>
              <w:rPr>
                <w:rFonts w:ascii="Arial" w:cs="Arial" w:eastAsia="Arial" w:hAnsi="Arial"/>
                <w:sz w:val="18"/>
                <w:szCs w:val="18"/>
                <w:color w:val="auto"/>
              </w:rPr>
              <w:t>Liquidation value as of the redemption date</w:t>
            </w:r>
          </w:p>
        </w:tc>
      </w:tr>
      <w:tr>
        <w:trPr>
          <w:trHeight w:val="918"/>
        </w:trPr>
        <w:tc>
          <w:tcPr>
            <w:tcW w:w="6220" w:type="dxa"/>
            <w:vAlign w:val="bottom"/>
          </w:tcPr>
          <w:p>
            <w:pPr>
              <w:ind w:left="5460"/>
              <w:spacing w:after="0"/>
              <w:rPr>
                <w:sz w:val="20"/>
                <w:szCs w:val="20"/>
                <w:color w:val="auto"/>
              </w:rPr>
            </w:pPr>
            <w:r>
              <w:rPr>
                <w:rFonts w:ascii="Arial" w:cs="Arial" w:eastAsia="Arial" w:hAnsi="Arial"/>
                <w:sz w:val="18"/>
                <w:szCs w:val="18"/>
                <w:color w:val="auto"/>
              </w:rPr>
              <w:t>F-37</w:t>
            </w:r>
          </w:p>
        </w:tc>
        <w:tc>
          <w:tcPr>
            <w:tcW w:w="50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63" w:name="page264"/>
    <w:bookmarkEnd w:id="263"/>
    <w:p>
      <w:pPr>
        <w:jc w:val="right"/>
        <w:ind w:right="3740"/>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right"/>
        <w:ind w:right="3740"/>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Redeemable Series A Preferred Units (continued)</w:t>
      </w:r>
    </w:p>
    <w:p>
      <w:pPr>
        <w:spacing w:after="0" w:line="200" w:lineRule="exact"/>
        <w:rPr>
          <w:sz w:val="20"/>
          <w:szCs w:val="20"/>
          <w:color w:val="auto"/>
        </w:rPr>
      </w:pPr>
    </w:p>
    <w:p>
      <w:pPr>
        <w:spacing w:after="0" w:line="218" w:lineRule="exact"/>
        <w:rPr>
          <w:sz w:val="20"/>
          <w:szCs w:val="20"/>
          <w:color w:val="auto"/>
        </w:rPr>
      </w:pPr>
    </w:p>
    <w:p>
      <w:pPr>
        <w:ind w:right="280" w:firstLine="324"/>
        <w:spacing w:after="0" w:line="438" w:lineRule="auto"/>
        <w:rPr>
          <w:sz w:val="20"/>
          <w:szCs w:val="20"/>
          <w:color w:val="auto"/>
        </w:rPr>
      </w:pPr>
      <w:r>
        <w:rPr>
          <w:rFonts w:ascii="Arial" w:cs="Arial" w:eastAsia="Arial" w:hAnsi="Arial"/>
          <w:sz w:val="18"/>
          <w:szCs w:val="18"/>
          <w:color w:val="auto"/>
        </w:rPr>
        <w:t xml:space="preserve">As of December 31, 2019, the total minimum committed cumulative liquidation preference due upon an immediate redemption was $282.5 million. </w:t>
      </w:r>
      <w:r>
        <w:rPr>
          <w:rFonts w:ascii="Arial" w:cs="Arial" w:eastAsia="Arial" w:hAnsi="Arial"/>
          <w:sz w:val="18"/>
          <w:szCs w:val="18"/>
          <w:b w:val="1"/>
          <w:bCs w:val="1"/>
          <w:color w:val="auto"/>
        </w:rPr>
        <w:t>Note 14 - Employee Retirement Benefits</w:t>
      </w:r>
    </w:p>
    <w:p>
      <w:pPr>
        <w:spacing w:after="0" w:line="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has a 401(k) plan that all eligible employees can contribute pre-tax and after-tax (Roth) to up to the maximum annual amount established by the Internal Revenue Code. The Company matches 35% of the employee's contribution to the 401(k) plan up to the first 6% of their contribution. Matching contributions made by the Company were approximately $1.4 million and $0.6 million for the years ended December 31, 2019, and 2018, respectively. Matching contributions will be fully vested after three years of service. Employee contributions are 100% vested immediately. The acquisition of Zoom Information, Inc. contributed to the increase in the Company's matching contribution in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 xml:space="preserve">Class P Incentive Units </w:t>
      </w:r>
      <w:r>
        <w:rPr>
          <w:rFonts w:ascii="Arial" w:cs="Arial" w:eastAsia="Arial" w:hAnsi="Arial"/>
          <w:sz w:val="16"/>
          <w:szCs w:val="16"/>
          <w:color w:val="auto"/>
        </w:rPr>
        <w:t>- Class P units under the Company’s current LLC Agreement and the Class C units under the Company’s Prior LLC</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that converted to Common Units (collectively with Management Holdings Class P Units described below, the “Class P Incentive Units”) operate under employee incentive programs and are granted to employees and service providers as approved by the Board of Managers. In June 2019, the Company expanded its employee incentive program under a newly formed upper tier entity DiscoverOrg Management Holdings, LLC (“Management Holdings”) established to issue Class P units of Management Holdings to employees of the Company. Through this newly formed upper tier entity, Class P units of Management Holdings are issued to an employee and the Company issues a corresponding Class P unit to Management Holdings. The cancellation or forfeiture of any Management Holdings’ Class P units automatically results in a decrease in an equal number of the Company’s Class P units.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Class P Incentive Units are subject to a time-based vesting condition. The service vesting condition is generally over four years with 50% vesting on the two year anniversary of the vesting commencement date of the award, followed by 1/24th of the remaining 50% vesting monthly over two years. The fair value of each grant was estimated on the date of the award using a Black-Scholes option pricing model with the following assumption ranges and fair value per unit: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4"/>
                <w:szCs w:val="14"/>
                <w:b w:val="1"/>
                <w:bCs w:val="1"/>
                <w:color w:val="auto"/>
              </w:rPr>
              <w:t>2018</w:t>
            </w: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 free rate</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1.58% - 2.49%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- 2.82%</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Volatility of the underlying assets</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38.4% - 41.9%</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w:t>
            </w:r>
          </w:p>
        </w:tc>
        <w:tc>
          <w:tcPr>
            <w:tcW w:w="880" w:type="dxa"/>
            <w:vAlign w:val="bottom"/>
          </w:tcPr>
          <w:p>
            <w:pPr>
              <w:ind w:left="20"/>
              <w:spacing w:after="0"/>
              <w:rPr>
                <w:sz w:val="20"/>
                <w:szCs w:val="20"/>
                <w:color w:val="auto"/>
              </w:rPr>
            </w:pPr>
            <w:r>
              <w:rPr>
                <w:rFonts w:ascii="Arial" w:cs="Arial" w:eastAsia="Arial" w:hAnsi="Arial"/>
                <w:sz w:val="18"/>
                <w:szCs w:val="18"/>
                <w:color w:val="auto"/>
              </w:rPr>
              <w:t>- 41.2%</w:t>
            </w:r>
          </w:p>
        </w:tc>
      </w:tr>
      <w:tr>
        <w:trPr>
          <w:trHeight w:val="27"/>
        </w:trPr>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4 years</w:t>
            </w:r>
          </w:p>
        </w:tc>
        <w:tc>
          <w:tcPr>
            <w:tcW w:w="16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4 years</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Marketability discount</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rPr>
              <w:t>(A)</w:t>
            </w:r>
          </w:p>
        </w:tc>
        <w:tc>
          <w:tcPr>
            <w:tcW w:w="1660" w:type="dxa"/>
            <w:vAlign w:val="bottom"/>
            <w:gridSpan w:val="2"/>
          </w:tcPr>
          <w:p>
            <w:pPr>
              <w:jc w:val="right"/>
              <w:ind w:right="590"/>
              <w:spacing w:after="0"/>
              <w:rPr>
                <w:sz w:val="20"/>
                <w:szCs w:val="20"/>
                <w:color w:val="auto"/>
              </w:rPr>
            </w:pPr>
            <w:r>
              <w:rPr>
                <w:rFonts w:ascii="Arial" w:cs="Arial" w:eastAsia="Arial" w:hAnsi="Arial"/>
                <w:sz w:val="18"/>
                <w:szCs w:val="18"/>
                <w:color w:val="auto"/>
              </w:rPr>
              <w:t>29%</w:t>
            </w:r>
          </w:p>
        </w:tc>
      </w:tr>
      <w:tr>
        <w:trPr>
          <w:trHeight w:val="27"/>
        </w:trPr>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per common unit</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$5.20 - $14.36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$5.20</w:t>
            </w:r>
          </w:p>
        </w:tc>
      </w:tr>
      <w:tr>
        <w:trPr>
          <w:trHeight w:val="155"/>
        </w:trPr>
        <w:tc>
          <w:tcPr>
            <w:tcW w:w="778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jc w:val="both"/>
        <w:ind w:left="340" w:hanging="332"/>
        <w:spacing w:after="0" w:line="276" w:lineRule="auto"/>
        <w:tabs>
          <w:tab w:leader="none" w:pos="337" w:val="left"/>
        </w:tabs>
        <w:numPr>
          <w:ilvl w:val="0"/>
          <w:numId w:val="186"/>
        </w:numPr>
        <w:rPr>
          <w:rFonts w:ascii="Arial" w:cs="Arial" w:eastAsia="Arial" w:hAnsi="Arial"/>
          <w:sz w:val="13"/>
          <w:szCs w:val="13"/>
          <w:color w:val="auto"/>
        </w:rPr>
      </w:pPr>
      <w:r>
        <w:rPr>
          <w:rFonts w:ascii="Arial" w:cs="Arial" w:eastAsia="Arial" w:hAnsi="Arial"/>
          <w:sz w:val="13"/>
          <w:szCs w:val="13"/>
          <w:color w:val="auto"/>
        </w:rPr>
        <w:t>In June 2019, the Company began to apply a probability weighted expected return method, where equity values were calculated using an option pricing model under an IPO and non-IPO scenarios and each value was weighted based on estimated probability of occurrence. For common units, an estimated time until a liquidation event of 1.5 - 4.0 years and a marketability discount of 13% - 25% was used, depending on an IPO or non-IPO scenarios. As of December 31, 2019, an 80% weight was applied to an IPO scenario.</w:t>
      </w:r>
    </w:p>
    <w:p>
      <w:pPr>
        <w:spacing w:after="0" w:line="1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estimated the future stock price volatility based on the volatility of a set of publicly traded comparable companies with a look back period consistent with the expected life. The expected life of the Class P units represents the period of time over which the units granted are expected to remain outstanding giving consideration to vesting schedules and forfeiture patterns. The risk-free rate is based on the rate for a U.S. government security with the same expected life at the time of grant. As of December 31, 2019 and December 31, 2018, the Company had recognized $11.1 million and $1.5 million as compensation cost in the Consolidated statement of operations, respectively, with an offset to Members’ Deficit. As of December 31, 2019, the amount of unamortized equity-based compensation related to the Incentive Units is $53.8 million.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21" w:right="339" w:bottom="1440" w:gutter="0" w:footer="0" w:header="0"/>
        </w:sectPr>
      </w:pPr>
    </w:p>
    <w:bookmarkStart w:id="264" w:name="page265"/>
    <w:bookmarkEnd w:id="26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DOH Phantom Units </w:t>
      </w:r>
      <w:r>
        <w:rPr>
          <w:rFonts w:ascii="Arial" w:cs="Arial" w:eastAsia="Arial" w:hAnsi="Arial"/>
          <w:sz w:val="18"/>
          <w:szCs w:val="18"/>
          <w:color w:val="auto"/>
        </w:rPr>
        <w:t>- In June 2019, the Company adopted the ZoomInfo OpCo 2019 Phantom Unit Plan which is authorized to issue an aggregate of</w:t>
      </w:r>
      <w:r>
        <w:rPr>
          <w:rFonts w:ascii="Arial" w:cs="Arial" w:eastAsia="Arial" w:hAnsi="Arial"/>
          <w:sz w:val="18"/>
          <w:szCs w:val="18"/>
          <w:b w:val="1"/>
          <w:bCs w:val="1"/>
          <w:color w:val="auto"/>
        </w:rPr>
        <w:t xml:space="preserve"> </w:t>
      </w:r>
      <w:r>
        <w:rPr>
          <w:rFonts w:ascii="Arial" w:cs="Arial" w:eastAsia="Arial" w:hAnsi="Arial"/>
          <w:sz w:val="18"/>
          <w:szCs w:val="18"/>
          <w:color w:val="auto"/>
        </w:rPr>
        <w:t>7.5 million Phantom Units (as defined in the plan) (“DOH Phantom Units”). DOH Phantom Units generally are eligible to vest over four years with 50% vesting on the two year anniversary of the service requirement start date of the award, followed by 1/24th of the remaining 50% vesting monthly over two years. As of December 31, 2019 zero DOH Phantom Units had been granted under the plan.</w:t>
      </w:r>
    </w:p>
    <w:p>
      <w:pPr>
        <w:spacing w:after="0" w:line="12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HSKB Incentive Units </w:t>
      </w:r>
      <w:r>
        <w:rPr>
          <w:rFonts w:ascii="Arial" w:cs="Arial" w:eastAsia="Arial" w:hAnsi="Arial"/>
          <w:sz w:val="17"/>
          <w:szCs w:val="17"/>
          <w:color w:val="auto"/>
        </w:rPr>
        <w:t>- The founders of the Company previously contributed membership units into an upper tier entity, HSKB Funds, LLC</w:t>
      </w:r>
      <w:r>
        <w:rPr>
          <w:rFonts w:ascii="Arial" w:cs="Arial" w:eastAsia="Arial" w:hAnsi="Arial"/>
          <w:sz w:val="17"/>
          <w:szCs w:val="17"/>
          <w:b w:val="1"/>
          <w:bCs w:val="1"/>
          <w:color w:val="auto"/>
        </w:rPr>
        <w:t xml:space="preserve"> </w:t>
      </w:r>
      <w:r>
        <w:rPr>
          <w:rFonts w:ascii="Arial" w:cs="Arial" w:eastAsia="Arial" w:hAnsi="Arial"/>
          <w:sz w:val="17"/>
          <w:szCs w:val="17"/>
          <w:color w:val="auto"/>
        </w:rPr>
        <w:t>(“HSKB”), which is controlled by the co-founder and CEO of the Company (“HSKB Manager”), and may allocate profits interests to employees of the Company (“HSKB Grants”). These awards are recorded in accordance with the measurement and recognition criteria of ASC 718 for awards made to non-employees. All HSKB Grants were issued with a performance vesting condition wherein the awards vest upon the cumulative change of more than 90% of the membership interests in the Company. In December 2019, the vesting and forfeiture terms of all HSKB Grants were modified to add an additional vesting condition, wherein 50% of an HSKB Grant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in the Company (or a newly formed holding company that owns an interest in the Company) after the consummation of an IPO. After the performance condition is deemed probable, the Company will recognize compensation cost under these awards on a straight-line basis in the same manner as if the Company had paid cash in lieu of awarding the HSKB Grants, per the requirements of ASC 718. This modification affected 142 grantees and resulted in an increase in unrecognized equity-based compensation cost related to the HSKB Grants of $88.4 million. As of the date of the HSKB Grants modification, the amount of unrecognized equity-based compensation related to the HSKB Grants is $166.4 million.</w:t>
      </w:r>
    </w:p>
    <w:p>
      <w:pPr>
        <w:spacing w:after="0" w:line="1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 xml:space="preserve">HSKB Phantom Units </w:t>
      </w:r>
      <w:r>
        <w:rPr>
          <w:rFonts w:ascii="Arial" w:cs="Arial" w:eastAsia="Arial" w:hAnsi="Arial"/>
          <w:sz w:val="17"/>
          <w:szCs w:val="17"/>
          <w:color w:val="auto"/>
        </w:rPr>
        <w:t>- In December 2019, HSKB adopted the HSKB Funds, LLC 2019 Phantom Unit Plan wherein HSKB may grant Phantom</w:t>
      </w:r>
      <w:r>
        <w:rPr>
          <w:rFonts w:ascii="Arial" w:cs="Arial" w:eastAsia="Arial" w:hAnsi="Arial"/>
          <w:sz w:val="17"/>
          <w:szCs w:val="17"/>
          <w:b w:val="1"/>
          <w:bCs w:val="1"/>
          <w:color w:val="auto"/>
        </w:rPr>
        <w:t xml:space="preserve"> </w:t>
      </w:r>
      <w:r>
        <w:rPr>
          <w:rFonts w:ascii="Arial" w:cs="Arial" w:eastAsia="Arial" w:hAnsi="Arial"/>
          <w:sz w:val="17"/>
          <w:szCs w:val="17"/>
          <w:color w:val="auto"/>
        </w:rPr>
        <w:t>Units (“HSKB Phantom Units”) to employees of the Company. HSKB Phantom Units are recorded in accordance with the measurement and recognition criteria of ASC 718 for awards made to non-employees. HSKB Phantom Units represent the economic equivalent of one Common Unit in the Company and generally have the same vesting and forfeiture conditions as the modified HSKB Grants discussed above. Within 30 days of the later of the date upon which a Phantom Unit vests and the date that HSKB is capable of making an exchange of a corresponding Common Unit, HSKB shall settle the HSKB Phantom Unit in exchange for either (1) cash or (2) common stock in an IPO Entity as determined by the HSKB Manager (currently the CEO of the Company), in each case, equal to the fair market value of such Common Unit at the time of such exchange. As of December 31, 2019, the amount of unamortized equity-based compensation related to the HSKB Phantom Units is $5.0 million.</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The Company recognizes compensation cost associated with this commitment as it is earned over time, or paid, whichever is sooner. As of December 31, 2019 and December 31, 2018, the Company had recognized $14.0 million and $31.2 million as compensation cost in the Consolidated statement of operations, respectively, with an offset to Members’ Deficit. In March 2019, HSKB distributed $14.8 million towards the outstanding commitment.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Carlyle Investment transaction, accelerated vesting was triggered on all non-vested units and they were converted to new Common and Preferred units. The Company recognized $0.3 million compensation expense in connection with this accelerated vesting event. On March 12, 2018, a total of 82,735 non-vested Class C units held by employees were converted into 1,745,723 Common units subject to time-vesting conditions, of which 1,304,043 were fully vested upon conversion and 441,681 were not vested.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21" w:right="339" w:bottom="1440" w:gutter="0" w:footer="0" w:header="0"/>
        </w:sectPr>
      </w:pPr>
    </w:p>
    <w:bookmarkStart w:id="265" w:name="page266"/>
    <w:bookmarkEnd w:id="26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and weighted-average grant date fair value for Common Units and Class P Incentive Units for key activities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Class P Units</w:t>
            </w:r>
          </w:p>
        </w:tc>
        <w:tc>
          <w:tcPr>
            <w:tcW w:w="0" w:type="dxa"/>
            <w:vAlign w:val="bottom"/>
          </w:tcPr>
          <w:p>
            <w:pPr>
              <w:spacing w:after="0"/>
              <w:rPr>
                <w:sz w:val="1"/>
                <w:szCs w:val="1"/>
                <w:color w:val="auto"/>
              </w:rPr>
            </w:pPr>
          </w:p>
        </w:tc>
      </w:tr>
      <w:tr>
        <w:trPr>
          <w:trHeight w:val="152"/>
        </w:trPr>
        <w:tc>
          <w:tcPr>
            <w:tcW w:w="5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Weighted Avg Grant</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3"/>
              </w:rPr>
              <w:t>Weighted Avg Grant</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Date Fair</w:t>
            </w:r>
          </w:p>
        </w:tc>
        <w:tc>
          <w:tcPr>
            <w:tcW w:w="14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10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Value/Unit</w:t>
            </w: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Value/Unit</w:t>
            </w:r>
          </w:p>
        </w:tc>
        <w:tc>
          <w:tcPr>
            <w:tcW w:w="0" w:type="dxa"/>
            <w:vAlign w:val="bottom"/>
          </w:tcPr>
          <w:p>
            <w:pPr>
              <w:spacing w:after="0"/>
              <w:rPr>
                <w:sz w:val="1"/>
                <w:szCs w:val="1"/>
                <w:color w:val="auto"/>
              </w:rPr>
            </w:pPr>
          </w:p>
        </w:tc>
      </w:tr>
      <w:tr>
        <w:trPr>
          <w:trHeight w:val="250"/>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at December 31, 2018</w:t>
            </w:r>
          </w:p>
        </w:tc>
        <w:tc>
          <w:tcPr>
            <w:tcW w:w="13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441,681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5,716,467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56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13,310,663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5660" w:type="dxa"/>
            <w:vAlign w:val="bottom"/>
          </w:tcPr>
          <w:p>
            <w:pPr>
              <w:ind w:left="120"/>
              <w:spacing w:after="0"/>
              <w:rPr>
                <w:sz w:val="20"/>
                <w:szCs w:val="20"/>
                <w:color w:val="auto"/>
              </w:rPr>
            </w:pPr>
            <w:r>
              <w:rPr>
                <w:rFonts w:ascii="Arial" w:cs="Arial" w:eastAsia="Arial" w:hAnsi="Arial"/>
                <w:sz w:val="18"/>
                <w:szCs w:val="18"/>
                <w:color w:val="auto"/>
              </w:rPr>
              <w:t>Forfeited/Canceled</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(93,995)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(1,852,964)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Non-vested units at December 31, 2019 </w:t>
            </w:r>
            <w:r>
              <w:rPr>
                <w:rFonts w:ascii="Arial" w:cs="Arial" w:eastAsia="Arial" w:hAnsi="Arial"/>
                <w:sz w:val="23"/>
                <w:szCs w:val="23"/>
                <w:color w:val="auto"/>
                <w:vertAlign w:val="superscript"/>
              </w:rPr>
              <w:t>(1)</w:t>
            </w: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228,819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16,893,603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6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line="255" w:lineRule="auto"/>
        <w:tabs>
          <w:tab w:leader="none" w:pos="332" w:val="left"/>
        </w:tabs>
        <w:numPr>
          <w:ilvl w:val="0"/>
          <w:numId w:val="187"/>
        </w:numPr>
        <w:rPr>
          <w:rFonts w:ascii="Arial" w:cs="Arial" w:eastAsia="Arial" w:hAnsi="Arial"/>
          <w:sz w:val="14"/>
          <w:szCs w:val="14"/>
          <w:color w:val="auto"/>
        </w:rPr>
      </w:pPr>
      <w:r>
        <w:rPr>
          <w:rFonts w:ascii="Arial" w:cs="Arial" w:eastAsia="Arial" w:hAnsi="Arial"/>
          <w:sz w:val="14"/>
          <w:szCs w:val="14"/>
          <w:color w:val="auto"/>
        </w:rPr>
        <w:t>During the year 24,872 units were modified when non-vested units were permitted to be retained by a separating employee without vesting or forfeiting as per the terms of the original agreement. The fair value of these Common units at the time of the modification was $10.48 per unit.</w:t>
      </w:r>
    </w:p>
    <w:p>
      <w:pPr>
        <w:spacing w:after="0" w:line="1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equity-based compensation expense related to all employee incentive unit awards including Class P Incentive Units, DOH Phantom Units, HSKB Grants, and HSKB Phantom Units (in millions):</w:t>
      </w:r>
    </w:p>
    <w:p>
      <w:pPr>
        <w:spacing w:after="0" w:line="162"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13335</wp:posOffset>
            </wp:positionV>
            <wp:extent cx="20656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 and Operating expenses include equity-based compensation expenses as follows: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Cost of service</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8.3</w:t>
            </w: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15.8</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1.1</w:t>
            </w: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w:t>
            </w:r>
          </w:p>
        </w:tc>
      </w:tr>
      <w:tr>
        <w:trPr>
          <w:trHeight w:val="263"/>
        </w:trPr>
        <w:tc>
          <w:tcPr>
            <w:tcW w:w="7980" w:type="dxa"/>
            <w:vAlign w:val="bottom"/>
          </w:tcPr>
          <w:p>
            <w:pPr>
              <w:ind w:left="460"/>
              <w:spacing w:after="0"/>
              <w:rPr>
                <w:sz w:val="20"/>
                <w:szCs w:val="20"/>
                <w:color w:val="auto"/>
              </w:rPr>
            </w:pPr>
            <w:r>
              <w:rPr>
                <w:rFonts w:ascii="Arial" w:cs="Arial" w:eastAsia="Arial" w:hAnsi="Arial"/>
                <w:sz w:val="18"/>
                <w:szCs w:val="18"/>
                <w:color w:val="auto"/>
              </w:rPr>
              <w:t>Total equity-based compensation expense</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32.7</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and Geographic Data</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condensed consolidated financial statements.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As of December 31, 2019 and 2018, no significant long-lived assets were held by entities outside of the U.S.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by geographical region is determined by location of the Company’s customers. Revenue from customers outside of the U.S. was approximately 9% and 7% of total revenue for the years ended December 31, 2019, and 2018, respectively. Revenue by geographic region is as follows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7"/>
                <w:szCs w:val="17"/>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267.3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134.9</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Rest of world</w:t>
            </w:r>
          </w:p>
        </w:tc>
        <w:tc>
          <w:tcPr>
            <w:tcW w:w="98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9.4</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293.3</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144.3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21" w:right="339" w:bottom="1440" w:gutter="0" w:footer="0" w:header="0"/>
        </w:sectPr>
      </w:pPr>
    </w:p>
    <w:bookmarkStart w:id="266" w:name="page267"/>
    <w:bookmarkEnd w:id="26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 Provision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provision for income taxes is based on the effective annual tax rate for each fiscal year. The provision includes anticipated current year income taxes payable and the tax effect of anticipated differences between the financial reporting and tax basis of assets and liabilities.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benefit from income taxes for the years ended December 31, 2019 and 2018 consists of the following (in millions):</w:t>
      </w:r>
    </w:p>
    <w:p>
      <w:pPr>
        <w:spacing w:after="0" w:line="193"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Year Ended</w:t>
      </w:r>
    </w:p>
    <w:p>
      <w:pPr>
        <w:jc w:val="center"/>
        <w:ind w:left="79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13335</wp:posOffset>
            </wp:positionV>
            <wp:extent cx="20656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tax provision</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State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color w:val="auto"/>
              </w:rPr>
              <w:t>Foreign</w:t>
            </w:r>
          </w:p>
        </w:tc>
        <w:tc>
          <w:tcPr>
            <w:tcW w:w="102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r>
      <w:tr>
        <w:trPr>
          <w:trHeight w:val="270"/>
        </w:trPr>
        <w:tc>
          <w:tcPr>
            <w:tcW w:w="7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provision</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State</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37"/>
        </w:trPr>
        <w:tc>
          <w:tcPr>
            <w:tcW w:w="7980" w:type="dxa"/>
            <w:vAlign w:val="bottom"/>
          </w:tcPr>
          <w:p>
            <w:pPr>
              <w:spacing w:after="0"/>
              <w:rPr>
                <w:sz w:val="20"/>
                <w:szCs w:val="20"/>
                <w:color w:val="auto"/>
              </w:rPr>
            </w:pP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r>
      <w:tr>
        <w:trPr>
          <w:trHeight w:val="264"/>
        </w:trPr>
        <w:tc>
          <w:tcPr>
            <w:tcW w:w="7980" w:type="dxa"/>
            <w:vAlign w:val="bottom"/>
          </w:tcPr>
          <w:p>
            <w:pPr>
              <w:ind w:left="460"/>
              <w:spacing w:after="0"/>
              <w:rPr>
                <w:sz w:val="20"/>
                <w:szCs w:val="20"/>
                <w:color w:val="auto"/>
              </w:rPr>
            </w:pPr>
            <w:r>
              <w:rPr>
                <w:rFonts w:ascii="Arial" w:cs="Arial" w:eastAsia="Arial" w:hAnsi="Arial"/>
                <w:sz w:val="18"/>
                <w:szCs w:val="18"/>
                <w:color w:val="auto"/>
              </w:rPr>
              <w:t>Expense (benefit) from income taxes</w:t>
            </w:r>
          </w:p>
        </w:tc>
        <w:tc>
          <w:tcPr>
            <w:tcW w:w="102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is comprised of nontaxable partnerships and two C corporation subsidiaries. RKSI Acquisition Corporation, a C corporation, was subject to income tax as of December 31, 2019 and 2018.</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federal statutory rate was 21% for the years ended December 31, 2019 and 2018. Differences between the statutory rate and the effective tax rate arise as a result of the nondeductible expenses.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1, 2018 and March 15, 2019, the Company's C corporation subsidiary executed nontaxable contributions of all operations including its deferred tax items, in exchange for a noncontrolling interest in, DiscoverOrg Data LLC. DiscoverOrg Data LLC, is treated as a partnership for U.S. federal and most applicable state and local income tax purposes. As a partnership, DiscoverOrg Data LLC is not directly subject to U.S. federal and certain state and local taxes. Any taxable income or loss generated by DiscoverOrg Data LLC is passed through to and included in the taxable income or loss of its partners, including the Company's C corporation subsidiary following the Business Combination.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years ended December 31, 2019 and 2018, the effective income tax rate differs from the federal statutory income tax rate as explained below:</w:t>
      </w:r>
    </w:p>
    <w:p>
      <w:pPr>
        <w:spacing w:after="0" w:line="240"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13335</wp:posOffset>
            </wp:positionV>
            <wp:extent cx="21342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r>
      <w:tr>
        <w:trPr>
          <w:trHeight w:val="250"/>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 net of federal benefit</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r>
      <w:tr>
        <w:trPr>
          <w:trHeight w:val="250"/>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Nontaxable partnerships</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78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98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7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1" w:right="339" w:bottom="1440" w:gutter="0" w:footer="0" w:header="0"/>
        </w:sectPr>
      </w:pPr>
    </w:p>
    <w:bookmarkStart w:id="267" w:name="page268"/>
    <w:bookmarkEnd w:id="26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 Provision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uses the assets and liabilities method of accounting for income taxes. Under this method, deferred tax assets and liabilities are recognized for the expected future tax consequences of temporary differences between the financial reporting and tax basis of assets and liabilities. Deferred tax assets are also recognized for the future benefit of operating loss carryforwards. Deferred tax assets and liabilities are measured using enacted tax rates that are expected to apply to taxable income for the years in which those tax assets and liabilities are expected to be recovered or settled. As of December 31, 2019 and 2018, net deferred tax liability in the accompanying balance sheet included the following components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carryforward</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Credit carryforwards</w:t>
            </w:r>
          </w:p>
        </w:tc>
        <w:tc>
          <w:tcPr>
            <w:tcW w:w="102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Total deferred tax assets</w:t>
            </w:r>
          </w:p>
        </w:tc>
        <w:tc>
          <w:tcPr>
            <w:tcW w:w="1020" w:type="dxa"/>
            <w:vAlign w:val="bottom"/>
            <w:tcBorders>
              <w:top w:val="single" w:sz="8" w:color="auto"/>
            </w:tcBorders>
          </w:tcPr>
          <w:p>
            <w:pPr>
              <w:jc w:val="right"/>
              <w:ind w:right="817"/>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w:t>
            </w: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9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Investment in DiscoverOrg Data LLC</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Total deferred tax liabilities</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12.4</w:t>
            </w: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79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Less valuation allowance</w:t>
            </w:r>
          </w:p>
        </w:tc>
        <w:tc>
          <w:tcPr>
            <w:tcW w:w="102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deferred tax liability</w:t>
            </w:r>
          </w:p>
        </w:tc>
        <w:tc>
          <w:tcPr>
            <w:tcW w:w="102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Deferred tax assets are recognized to the extent management believes, based on available evidence, that it is more likely than not that they will be realized. Certain acquired state net operating losses and credits are unlikely to be realized and require a valuation allowance at December 31, 2019.</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December 31, 2019, the Company's C corporation subsidiary has an available federal net operating loss (NOL) carryforward of approximately $13.5 million. The Company's C corporation subsidiary also had various state net operating loss carryforwards totaling $34.6 million. Unless utilized, the state carryforwards begin to expire in 2026. At December 31, 2019, the Company has federal and state research and development credit carryforwards of approximately $0.4 million and $1.1 million, respectively. Unless utilized, these carryforwards begin expiring in 2027 and 2021.</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interest and penalties accrued for the years ended December 31, 2019 or 2018. The Company has assessed its tax positions taken and concluded there are no significant uncertain tax positions. The Company has no unrecognized tax benefits as of December 31, 2019 or 2018, that, if recognized, would affect the annual effective tax rate.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files returns with the Internal Revenue Service and multiple state jurisdictions, which are subject to examination by the taxing authorities for years 2015 and later. Should the Company's C corporation subsidiary utilize any of its U.S. or state loss carryforwards, their carryforward losses, which date back to 2014, would be subject to examination.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21" w:right="339" w:bottom="1440" w:gutter="0" w:footer="0" w:header="0"/>
        </w:sectPr>
      </w:pPr>
    </w:p>
    <w:bookmarkStart w:id="268" w:name="page269"/>
    <w:bookmarkEnd w:id="26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evaluated subsequent events through February 26, 2020, which is the date the consolidated financial statements were available to be issued.</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19, 2020, the Company completed a repricing of its First Lien Term Loan Facility in order to take advantage of currently available lower interest rates. The repricing decreases the interest rate by 50 basis points to LIBOR plus 4.00% per annum. The Company’s interest rate swap agreements are unaffected by this repricing and effectively fix the interest rate on the portion of the First Lien Term Loan Facility hedged by the interest rate swaps at 6.301%. The transaction did not include additional borrowings, and the maturity date of the financing arrangement remains unchanged.</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preparing for an initial public offering, the Company’s Board of Managers approved a four-for-one reverse unit split of the Company’s Series A Preferred Units, Preferred Units, Common Units and Class P Units. The reverse unit split became effective on May 20, 2020. In addition, all unit counts are now presented as exact units instead of in thousands of units. All unit and per unit amounts in the financial statements and notes 7, 12, 13, and 15 have been retroactively adjusted to give effect to the reverse unit split.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21" w:right="339" w:bottom="1440" w:gutter="0" w:footer="0" w:header="0"/>
        </w:sectPr>
      </w:pPr>
    </w:p>
    <w:bookmarkStart w:id="269" w:name="page270"/>
    <w:bookmarkEnd w:id="26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ZoomInfo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63"/>
        </w:trPr>
        <w:tc>
          <w:tcPr>
            <w:tcW w:w="7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2"/>
                <w:szCs w:val="22"/>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196"/>
        </w:trPr>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6"/>
        </w:trPr>
        <w:tc>
          <w:tcPr>
            <w:tcW w:w="798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41.4</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1.1</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86.9</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8.3</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costs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Income tax receivable</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3.9</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148.2</w:t>
            </w:r>
          </w:p>
        </w:tc>
      </w:tr>
      <w:tr>
        <w:trPr>
          <w:trHeight w:val="128"/>
        </w:trPr>
        <w:tc>
          <w:tcPr>
            <w:tcW w:w="79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36.8</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49"/>
        </w:trPr>
        <w:tc>
          <w:tcPr>
            <w:tcW w:w="7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370.6</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966.8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966.8</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costs, net of current portion</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w:t>
            </w:r>
          </w:p>
        </w:tc>
      </w:tr>
      <w:tr>
        <w:trPr>
          <w:trHeight w:val="263"/>
        </w:trPr>
        <w:tc>
          <w:tcPr>
            <w:tcW w:w="79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1,577.9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1,561.9</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15"/>
        </w:trPr>
        <w:tc>
          <w:tcPr>
            <w:tcW w:w="79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r>
        <w:trPr>
          <w:trHeight w:val="243"/>
        </w:trPr>
        <w:tc>
          <w:tcPr>
            <w:tcW w:w="7980" w:type="dxa"/>
            <w:vAlign w:val="bottom"/>
          </w:tcPr>
          <w:p>
            <w:pPr>
              <w:ind w:left="1740"/>
              <w:spacing w:after="0"/>
              <w:rPr>
                <w:sz w:val="20"/>
                <w:szCs w:val="20"/>
                <w:color w:val="auto"/>
              </w:rPr>
            </w:pPr>
            <w:r>
              <w:rPr>
                <w:rFonts w:ascii="Arial" w:cs="Arial" w:eastAsia="Arial" w:hAnsi="Arial"/>
                <w:sz w:val="18"/>
                <w:szCs w:val="18"/>
                <w:b w:val="1"/>
                <w:bCs w:val="1"/>
                <w:color w:val="auto"/>
              </w:rPr>
              <w:t>Liabilities, Series A Preferred Units, and Members' Deficit</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7.9</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62.2</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Unearned revenue, current portion</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157.7</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Related party payable</w:t>
            </w:r>
          </w:p>
        </w:tc>
        <w:tc>
          <w:tcPr>
            <w:tcW w:w="28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0.7</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8.7</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241.7</w:t>
            </w:r>
          </w:p>
        </w:tc>
      </w:tr>
      <w:tr>
        <w:trPr>
          <w:trHeight w:val="129"/>
        </w:trPr>
        <w:tc>
          <w:tcPr>
            <w:tcW w:w="79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40.7</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1,230.1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1,194.6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82.8</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w:t>
            </w:r>
          </w:p>
        </w:tc>
      </w:tr>
      <w:tr>
        <w:trPr>
          <w:trHeight w:val="236"/>
        </w:trPr>
        <w:tc>
          <w:tcPr>
            <w:tcW w:w="798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1,597.8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1,575.5</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28"/>
        </w:trPr>
        <w:tc>
          <w:tcPr>
            <w:tcW w:w="7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Series A Preferred Units</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200.2</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149"/>
        </w:trPr>
        <w:tc>
          <w:tcPr>
            <w:tcW w:w="7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Members’ deficit: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Members' equity (deficit)</w:t>
            </w:r>
          </w:p>
        </w:tc>
        <w:tc>
          <w:tcPr>
            <w:tcW w:w="2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(207.8)</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36"/>
        </w:trPr>
        <w:tc>
          <w:tcPr>
            <w:tcW w:w="7980" w:type="dxa"/>
            <w:vAlign w:val="bottom"/>
          </w:tcPr>
          <w:p>
            <w:pPr>
              <w:ind w:left="460"/>
              <w:spacing w:after="0"/>
              <w:rPr>
                <w:sz w:val="20"/>
                <w:szCs w:val="20"/>
                <w:color w:val="auto"/>
              </w:rPr>
            </w:pPr>
            <w:r>
              <w:rPr>
                <w:rFonts w:ascii="Arial" w:cs="Arial" w:eastAsia="Arial" w:hAnsi="Arial"/>
                <w:sz w:val="18"/>
                <w:szCs w:val="18"/>
                <w:color w:val="auto"/>
              </w:rPr>
              <w:t>Total equity (deficit)</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(213.8)</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29"/>
        </w:trPr>
        <w:tc>
          <w:tcPr>
            <w:tcW w:w="79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shd w:val="clear" w:color="auto" w:fill="CCEEFF"/>
          </w:tcPr>
          <w:p>
            <w:pPr>
              <w:spacing w:after="0"/>
              <w:rPr>
                <w:sz w:val="11"/>
                <w:szCs w:val="11"/>
                <w:color w:val="auto"/>
              </w:rPr>
            </w:pPr>
          </w:p>
        </w:tc>
      </w:tr>
      <w:tr>
        <w:trPr>
          <w:trHeight w:val="264"/>
        </w:trPr>
        <w:tc>
          <w:tcPr>
            <w:tcW w:w="7980" w:type="dxa"/>
            <w:vAlign w:val="bottom"/>
          </w:tcPr>
          <w:p>
            <w:pPr>
              <w:ind w:left="460"/>
              <w:spacing w:after="0"/>
              <w:rPr>
                <w:sz w:val="20"/>
                <w:szCs w:val="20"/>
                <w:color w:val="auto"/>
              </w:rPr>
            </w:pPr>
            <w:r>
              <w:rPr>
                <w:rFonts w:ascii="Arial" w:cs="Arial" w:eastAsia="Arial" w:hAnsi="Arial"/>
                <w:sz w:val="18"/>
                <w:szCs w:val="18"/>
                <w:color w:val="auto"/>
              </w:rPr>
              <w:t>Total liabilities, Series A Preferred Units, and Members' Deficit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1,577.9</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1,561.9</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75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240"/>
          </w:cols>
          <w:pgMar w:left="320" w:top="121" w:right="339" w:bottom="750" w:gutter="0" w:footer="0" w:header="0"/>
          <w:type w:val="continuous"/>
        </w:sectPr>
      </w:pPr>
    </w:p>
    <w:bookmarkStart w:id="270" w:name="page271"/>
    <w:bookmarkEnd w:id="27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ZoomInfo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63"/>
        </w:trPr>
        <w:tc>
          <w:tcPr>
            <w:tcW w:w="7980" w:type="dxa"/>
            <w:vAlign w:val="bottom"/>
          </w:tcPr>
          <w:p>
            <w:pPr>
              <w:spacing w:after="0"/>
              <w:rPr>
                <w:sz w:val="22"/>
                <w:szCs w:val="22"/>
                <w:color w:val="auto"/>
              </w:rPr>
            </w:pPr>
          </w:p>
        </w:tc>
        <w:tc>
          <w:tcPr>
            <w:tcW w:w="27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8"/>
              </w:rPr>
              <w:t>Three Months Ended March 31,</w:t>
            </w:r>
          </w:p>
        </w:tc>
        <w:tc>
          <w:tcPr>
            <w:tcW w:w="560" w:type="dxa"/>
            <w:vAlign w:val="bottom"/>
            <w:tcBorders>
              <w:bottom w:val="single" w:sz="8" w:color="auto"/>
            </w:tcBorders>
          </w:tcPr>
          <w:p>
            <w:pPr>
              <w:spacing w:after="0"/>
              <w:rPr>
                <w:sz w:val="22"/>
                <w:szCs w:val="22"/>
                <w:color w:val="auto"/>
              </w:rPr>
            </w:pPr>
          </w:p>
        </w:tc>
      </w:tr>
      <w:tr>
        <w:trPr>
          <w:trHeight w:val="196"/>
        </w:trPr>
        <w:tc>
          <w:tcPr>
            <w:tcW w:w="7980" w:type="dxa"/>
            <w:vAlign w:val="bottom"/>
          </w:tcPr>
          <w:p>
            <w:pPr>
              <w:spacing w:after="0"/>
              <w:rPr>
                <w:sz w:val="17"/>
                <w:szCs w:val="17"/>
                <w:color w:val="auto"/>
              </w:rPr>
            </w:pP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r>
      <w:tr>
        <w:trPr>
          <w:trHeight w:val="196"/>
        </w:trPr>
        <w:tc>
          <w:tcPr>
            <w:tcW w:w="7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2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7"/>
                <w:szCs w:val="17"/>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3"/>
              </w:rPr>
              <w:t>102.2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54.6</w:t>
            </w:r>
          </w:p>
        </w:tc>
      </w:tr>
      <w:tr>
        <w:trPr>
          <w:trHeight w:val="270"/>
        </w:trPr>
        <w:tc>
          <w:tcPr>
            <w:tcW w:w="7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tcPr>
          <w:p>
            <w:pPr>
              <w:ind w:left="220"/>
              <w:spacing w:after="0"/>
              <w:rPr>
                <w:sz w:val="20"/>
                <w:szCs w:val="20"/>
                <w:color w:val="auto"/>
              </w:rPr>
            </w:pPr>
            <w:r>
              <w:rPr>
                <w:rFonts w:ascii="Arial" w:cs="Arial" w:eastAsia="Arial" w:hAnsi="Arial"/>
                <w:sz w:val="18"/>
                <w:szCs w:val="18"/>
                <w:color w:val="auto"/>
              </w:rPr>
              <w:t>Cost of service</w:t>
            </w:r>
            <w:r>
              <w:rPr>
                <w:rFonts w:ascii="Arial" w:cs="Arial" w:eastAsia="Arial" w:hAnsi="Arial"/>
                <w:sz w:val="23"/>
                <w:szCs w:val="23"/>
                <w:color w:val="auto"/>
                <w:vertAlign w:val="superscript"/>
              </w:rPr>
              <w:t>(1)</w:t>
            </w:r>
          </w:p>
        </w:tc>
        <w:tc>
          <w:tcPr>
            <w:tcW w:w="980" w:type="dxa"/>
            <w:vAlign w:val="bottom"/>
          </w:tcPr>
          <w:p>
            <w:pPr>
              <w:spacing w:after="0"/>
              <w:rPr>
                <w:sz w:val="23"/>
                <w:szCs w:val="23"/>
                <w:color w:val="auto"/>
              </w:rPr>
            </w:pPr>
          </w:p>
        </w:tc>
        <w:tc>
          <w:tcPr>
            <w:tcW w:w="600" w:type="dxa"/>
            <w:vAlign w:val="bottom"/>
          </w:tcPr>
          <w:p>
            <w:pPr>
              <w:jc w:val="right"/>
              <w:ind w:right="74"/>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9.1</w:t>
            </w: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acquired technology</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39.9</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79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spacing w:after="0" w:line="225" w:lineRule="auto"/>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 of other acquired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Restructuring and transaction related expenses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from operations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660"/>
        <w:spacing w:after="0"/>
        <w:rPr>
          <w:sz w:val="20"/>
          <w:szCs w:val="20"/>
          <w:color w:val="auto"/>
        </w:rPr>
      </w:pPr>
      <w:r>
        <w:rPr>
          <w:rFonts w:ascii="Arial" w:cs="Arial" w:eastAsia="Arial" w:hAnsi="Arial"/>
          <w:sz w:val="16"/>
          <w:szCs w:val="16"/>
          <w:color w:val="auto"/>
        </w:rPr>
        <w:t>34.1</w:t>
      </w:r>
    </w:p>
    <w:p>
      <w:pPr>
        <w:spacing w:after="0" w:line="86"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9.9</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4.6</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31750</wp:posOffset>
            </wp:positionV>
            <wp:extent cx="9944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7" w:lineRule="exact"/>
        <w:rPr>
          <w:sz w:val="20"/>
          <w:szCs w:val="20"/>
          <w:color w:val="auto"/>
        </w:rPr>
      </w:pPr>
    </w:p>
    <w:p>
      <w:pPr>
        <w:jc w:val="right"/>
        <w:ind w:right="660"/>
        <w:spacing w:after="0"/>
        <w:rPr>
          <w:sz w:val="20"/>
          <w:szCs w:val="20"/>
          <w:color w:val="auto"/>
        </w:rPr>
      </w:pPr>
      <w:r>
        <w:rPr>
          <w:rFonts w:ascii="Arial" w:cs="Arial" w:eastAsia="Arial" w:hAnsi="Arial"/>
          <w:sz w:val="16"/>
          <w:szCs w:val="16"/>
          <w:color w:val="auto"/>
        </w:rPr>
        <w:t>61.5</w:t>
      </w:r>
    </w:p>
    <w:p>
      <w:pPr>
        <w:spacing w:after="0" w:line="100" w:lineRule="exact"/>
        <w:rPr>
          <w:sz w:val="20"/>
          <w:szCs w:val="20"/>
          <w:color w:val="auto"/>
        </w:rPr>
      </w:pPr>
    </w:p>
    <w:p>
      <w:pPr>
        <w:jc w:val="right"/>
        <w:ind w:right="660"/>
        <w:spacing w:after="0"/>
        <w:rPr>
          <w:sz w:val="20"/>
          <w:szCs w:val="20"/>
          <w:color w:val="auto"/>
        </w:rPr>
      </w:pP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46355</wp:posOffset>
            </wp:positionV>
            <wp:extent cx="9944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160"/>
        <w:spacing w:after="0"/>
        <w:rPr>
          <w:sz w:val="20"/>
          <w:szCs w:val="20"/>
          <w:color w:val="auto"/>
        </w:rPr>
      </w:pPr>
      <w:r>
        <w:rPr>
          <w:rFonts w:ascii="Arial" w:cs="Arial" w:eastAsia="Arial" w:hAnsi="Arial"/>
          <w:sz w:val="15"/>
          <w:szCs w:val="15"/>
          <w:color w:val="auto"/>
        </w:rPr>
        <w:t>18.3</w:t>
      </w:r>
    </w:p>
    <w:p>
      <w:pPr>
        <w:spacing w:after="0" w:line="98"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5.2</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6.7</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3.7</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31750</wp:posOffset>
            </wp:positionV>
            <wp:extent cx="9944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7" w:lineRule="exact"/>
        <w:rPr>
          <w:sz w:val="20"/>
          <w:szCs w:val="20"/>
          <w:color w:val="auto"/>
        </w:rPr>
      </w:pPr>
    </w:p>
    <w:p>
      <w:pPr>
        <w:jc w:val="right"/>
        <w:ind w:right="160"/>
        <w:spacing w:after="0"/>
        <w:rPr>
          <w:sz w:val="20"/>
          <w:szCs w:val="20"/>
          <w:color w:val="auto"/>
        </w:rPr>
      </w:pPr>
      <w:r>
        <w:rPr>
          <w:rFonts w:ascii="Arial" w:cs="Arial" w:eastAsia="Arial" w:hAnsi="Arial"/>
          <w:sz w:val="15"/>
          <w:szCs w:val="15"/>
          <w:color w:val="auto"/>
        </w:rPr>
        <w:t>41.7</w:t>
      </w:r>
    </w:p>
    <w:p>
      <w:pPr>
        <w:spacing w:after="0" w:line="111"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39370</wp:posOffset>
            </wp:positionV>
            <wp:extent cx="9944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8360" w:space="720"/>
            <w:col w:w="980" w:space="720"/>
            <w:col w:w="460"/>
          </w:cols>
          <w:pgMar w:left="320" w:top="121" w:right="33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24.5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2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1"/>
              </w:rPr>
              <w:t>(6.3)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shd w:val="clear" w:color="auto" w:fill="CCEEFF"/>
          </w:tcPr>
          <w:p>
            <w:pPr>
              <w:spacing w:after="0"/>
              <w:rPr>
                <w:sz w:val="23"/>
                <w:szCs w:val="23"/>
                <w:color w:val="auto"/>
              </w:rPr>
            </w:pPr>
          </w:p>
        </w:tc>
        <w:tc>
          <w:tcPr>
            <w:tcW w:w="7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ind w:left="220"/>
              <w:spacing w:after="0"/>
              <w:rPr>
                <w:sz w:val="20"/>
                <w:szCs w:val="20"/>
                <w:color w:val="auto"/>
              </w:rPr>
            </w:pPr>
            <w:r>
              <w:rPr>
                <w:rFonts w:ascii="Arial" w:cs="Arial" w:eastAsia="Arial" w:hAnsi="Arial"/>
                <w:sz w:val="18"/>
                <w:szCs w:val="18"/>
                <w:color w:val="auto"/>
              </w:rPr>
              <w:t>Benefit from income taxes</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7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(5.9)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Pro forma:</w:t>
            </w: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and per share information (unaudited)</w:t>
            </w: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4"/>
                <w:szCs w:val="24"/>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(5.9)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Weighted average shares outstanding - basic and diluted</w:t>
            </w: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7680" w:type="dxa"/>
            <w:vAlign w:val="bottom"/>
            <w:gridSpan w:val="2"/>
          </w:tcPr>
          <w:p>
            <w:pPr>
              <w:spacing w:after="0" w:line="143" w:lineRule="exact"/>
              <w:rPr>
                <w:sz w:val="20"/>
                <w:szCs w:val="20"/>
                <w:color w:val="auto"/>
              </w:rPr>
            </w:pPr>
            <w:r>
              <w:rPr>
                <w:rFonts w:ascii="Arial" w:cs="Arial" w:eastAsia="Arial" w:hAnsi="Arial"/>
                <w:sz w:val="14"/>
                <w:szCs w:val="14"/>
                <w:color w:val="auto"/>
              </w:rPr>
              <w:t>________________</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80" w:type="dxa"/>
            <w:vAlign w:val="bottom"/>
            <w:gridSpan w:val="2"/>
          </w:tcPr>
          <w:p>
            <w:pPr>
              <w:spacing w:after="0"/>
              <w:rPr>
                <w:sz w:val="20"/>
                <w:szCs w:val="20"/>
                <w:color w:val="auto"/>
              </w:rPr>
            </w:pPr>
            <w:r>
              <w:rPr>
                <w:rFonts w:ascii="Arial" w:cs="Arial" w:eastAsia="Arial" w:hAnsi="Arial"/>
                <w:sz w:val="14"/>
                <w:szCs w:val="14"/>
                <w:color w:val="auto"/>
              </w:rPr>
              <w:t>(1)  Amounts include equity-based compensation expense, as follows:</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00" w:type="dxa"/>
            <w:vAlign w:val="bottom"/>
            <w:shd w:val="clear" w:color="auto" w:fill="CCEEFF"/>
          </w:tcPr>
          <w:p>
            <w:pPr>
              <w:jc w:val="right"/>
              <w:ind w:right="139"/>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1.2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3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ind w:right="38"/>
              <w:spacing w:after="0"/>
              <w:rPr>
                <w:sz w:val="20"/>
                <w:szCs w:val="20"/>
                <w:color w:val="auto"/>
              </w:rPr>
            </w:pPr>
            <w:r>
              <w:rPr>
                <w:rFonts w:ascii="Arial" w:cs="Arial" w:eastAsia="Arial" w:hAnsi="Arial"/>
                <w:sz w:val="14"/>
                <w:szCs w:val="14"/>
                <w:color w:val="auto"/>
              </w:rPr>
              <w:t>2.7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0.3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1.4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7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equity-based compensation expense</w:t>
            </w:r>
          </w:p>
        </w:tc>
        <w:tc>
          <w:tcPr>
            <w:tcW w:w="300" w:type="dxa"/>
            <w:vAlign w:val="bottom"/>
            <w:shd w:val="clear" w:color="auto" w:fill="CCEEFF"/>
          </w:tcPr>
          <w:p>
            <w:pPr>
              <w:jc w:val="right"/>
              <w:ind w:right="139"/>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5.6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240"/>
          </w:cols>
          <w:pgMar w:left="320" w:top="121" w:right="339" w:bottom="1440" w:gutter="0" w:footer="0" w:header="0"/>
          <w:type w:val="continuous"/>
        </w:sectPr>
      </w:pPr>
    </w:p>
    <w:bookmarkStart w:id="271" w:name="page272"/>
    <w:bookmarkEnd w:id="27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ZoomInfo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63"/>
        </w:trPr>
        <w:tc>
          <w:tcPr>
            <w:tcW w:w="7980" w:type="dxa"/>
            <w:vAlign w:val="bottom"/>
          </w:tcPr>
          <w:p>
            <w:pPr>
              <w:spacing w:after="0"/>
              <w:rPr>
                <w:sz w:val="22"/>
                <w:szCs w:val="22"/>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22"/>
                <w:szCs w:val="22"/>
                <w:color w:val="auto"/>
              </w:rPr>
            </w:pPr>
          </w:p>
        </w:tc>
      </w:tr>
      <w:tr>
        <w:trPr>
          <w:trHeight w:val="196"/>
        </w:trPr>
        <w:tc>
          <w:tcPr>
            <w:tcW w:w="79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r>
      <w:tr>
        <w:trPr>
          <w:trHeight w:val="196"/>
        </w:trPr>
        <w:tc>
          <w:tcPr>
            <w:tcW w:w="7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8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7"/>
                <w:szCs w:val="17"/>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unrealized loss on interest rate swaps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98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108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(12.6)</w:t>
            </w:r>
          </w:p>
        </w:tc>
        <w:tc>
          <w:tcPr>
            <w:tcW w:w="10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21" w:right="339" w:bottom="1440" w:gutter="0" w:footer="0" w:header="0"/>
        </w:sectPr>
      </w:pPr>
    </w:p>
    <w:bookmarkStart w:id="272" w:name="page273"/>
    <w:bookmarkEnd w:id="27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ZoomInfo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Members' Deficit</w:t>
            </w:r>
          </w:p>
        </w:tc>
        <w:tc>
          <w:tcPr>
            <w:tcW w:w="180" w:type="dxa"/>
            <w:vAlign w:val="bottom"/>
          </w:tcPr>
          <w:p>
            <w:pPr>
              <w:spacing w:after="0"/>
              <w:rPr>
                <w:sz w:val="19"/>
                <w:szCs w:val="19"/>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Accumulated Other</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Members’ Deficit</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Comprehensive Loss</w:t>
            </w: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Member distributions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Equity-based compensation</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1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5"/>
        </w:trPr>
        <w:tc>
          <w:tcPr>
            <w:tcW w:w="4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Members' Deficit</w:t>
            </w:r>
          </w:p>
        </w:tc>
        <w:tc>
          <w:tcPr>
            <w:tcW w:w="18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Accumulated Other</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Members’ Deficit</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Comprehensive Loss</w:t>
            </w: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Member distributions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Impact of adoption of new accounting standard (ASC 842)</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Equity-based compensation</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2019</w:t>
            </w:r>
          </w:p>
        </w:tc>
        <w:tc>
          <w:tcPr>
            <w:tcW w:w="1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940" w:type="dxa"/>
            <w:vAlign w:val="bottom"/>
          </w:tcPr>
          <w:p>
            <w:pPr>
              <w:spacing w:after="0"/>
              <w:rPr>
                <w:sz w:val="24"/>
                <w:szCs w:val="24"/>
                <w:color w:val="auto"/>
              </w:rPr>
            </w:pPr>
          </w:p>
        </w:tc>
        <w:tc>
          <w:tcPr>
            <w:tcW w:w="1300" w:type="dxa"/>
            <w:vAlign w:val="bottom"/>
            <w:gridSpan w:val="2"/>
          </w:tcPr>
          <w:p>
            <w:pPr>
              <w:jc w:val="right"/>
              <w:ind w:right="350"/>
              <w:spacing w:after="0"/>
              <w:rPr>
                <w:sz w:val="20"/>
                <w:szCs w:val="20"/>
                <w:color w:val="auto"/>
              </w:rPr>
            </w:pPr>
            <w:r>
              <w:rPr>
                <w:rFonts w:ascii="Arial" w:cs="Arial" w:eastAsia="Arial" w:hAnsi="Arial"/>
                <w:sz w:val="18"/>
                <w:szCs w:val="18"/>
                <w:color w:val="auto"/>
              </w:rPr>
              <w:t>F-47</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73" w:name="page274"/>
    <w:bookmarkEnd w:id="27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ZoomInfo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3"/>
        </w:trPr>
        <w:tc>
          <w:tcPr>
            <w:tcW w:w="7980" w:type="dxa"/>
            <w:vAlign w:val="bottom"/>
          </w:tcPr>
          <w:p>
            <w:pPr>
              <w:spacing w:after="0"/>
              <w:rPr>
                <w:sz w:val="22"/>
                <w:szCs w:val="22"/>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22"/>
                <w:szCs w:val="22"/>
                <w:color w:val="auto"/>
              </w:rPr>
            </w:pPr>
          </w:p>
        </w:tc>
      </w:tr>
      <w:tr>
        <w:trPr>
          <w:trHeight w:val="196"/>
        </w:trPr>
        <w:tc>
          <w:tcPr>
            <w:tcW w:w="79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r>
      <w:tr>
        <w:trPr>
          <w:trHeight w:val="196"/>
        </w:trPr>
        <w:tc>
          <w:tcPr>
            <w:tcW w:w="7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gridSpan w:val="3"/>
          </w:tcPr>
          <w:p>
            <w:pPr>
              <w:jc w:val="right"/>
              <w:ind w:right="541"/>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7"/>
                <w:szCs w:val="17"/>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24"/>
        </w:trPr>
        <w:tc>
          <w:tcPr>
            <w:tcW w:w="798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9"/>
                <w:szCs w:val="19"/>
                <w:color w:val="auto"/>
              </w:rPr>
            </w:pP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(40.2)</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4"/>
        </w:trPr>
        <w:tc>
          <w:tcPr>
            <w:tcW w:w="798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10.3</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debt discounts and issuance costs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r>
      <w:tr>
        <w:trPr>
          <w:trHeight w:val="223"/>
        </w:trPr>
        <w:tc>
          <w:tcPr>
            <w:tcW w:w="7980" w:type="dxa"/>
            <w:vAlign w:val="bottom"/>
          </w:tcPr>
          <w:p>
            <w:pPr>
              <w:ind w:left="460"/>
              <w:spacing w:after="0"/>
              <w:rPr>
                <w:sz w:val="20"/>
                <w:szCs w:val="20"/>
                <w:color w:val="auto"/>
              </w:rPr>
            </w:pPr>
            <w:r>
              <w:rPr>
                <w:rFonts w:ascii="Arial" w:cs="Arial" w:eastAsia="Arial" w:hAnsi="Arial"/>
                <w:sz w:val="16"/>
                <w:szCs w:val="16"/>
                <w:color w:val="auto"/>
              </w:rPr>
              <w:t>Amortization of deferred commissions costs</w:t>
            </w:r>
          </w:p>
        </w:tc>
        <w:tc>
          <w:tcPr>
            <w:tcW w:w="100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0.7</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Loss on early extinguishment of debt</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w:t>
            </w:r>
          </w:p>
        </w:tc>
      </w:tr>
      <w:tr>
        <w:trPr>
          <w:trHeight w:val="224"/>
        </w:trPr>
        <w:tc>
          <w:tcPr>
            <w:tcW w:w="7980" w:type="dxa"/>
            <w:vAlign w:val="bottom"/>
          </w:tcPr>
          <w:p>
            <w:pPr>
              <w:ind w:left="460"/>
              <w:spacing w:after="0"/>
              <w:rPr>
                <w:sz w:val="20"/>
                <w:szCs w:val="20"/>
                <w:color w:val="auto"/>
              </w:rPr>
            </w:pPr>
            <w:r>
              <w:rPr>
                <w:rFonts w:ascii="Arial" w:cs="Arial" w:eastAsia="Arial" w:hAnsi="Arial"/>
                <w:sz w:val="16"/>
                <w:szCs w:val="16"/>
                <w:color w:val="auto"/>
              </w:rPr>
              <w:t>Deferred consideration valuation adjustments</w:t>
            </w:r>
          </w:p>
        </w:tc>
        <w:tc>
          <w:tcPr>
            <w:tcW w:w="100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0.2</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Equity-based compensation expense</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w:t>
            </w:r>
          </w:p>
        </w:tc>
      </w:tr>
      <w:tr>
        <w:trPr>
          <w:trHeight w:val="223"/>
        </w:trPr>
        <w:tc>
          <w:tcPr>
            <w:tcW w:w="7980" w:type="dxa"/>
            <w:vAlign w:val="bottom"/>
          </w:tcPr>
          <w:p>
            <w:pPr>
              <w:ind w:left="460"/>
              <w:spacing w:after="0"/>
              <w:rPr>
                <w:sz w:val="20"/>
                <w:szCs w:val="20"/>
                <w:color w:val="auto"/>
              </w:rPr>
            </w:pPr>
            <w:r>
              <w:rPr>
                <w:rFonts w:ascii="Arial" w:cs="Arial" w:eastAsia="Arial" w:hAnsi="Arial"/>
                <w:sz w:val="16"/>
                <w:szCs w:val="16"/>
                <w:color w:val="auto"/>
              </w:rPr>
              <w:t>Deferred income taxes</w:t>
            </w:r>
          </w:p>
        </w:tc>
        <w:tc>
          <w:tcPr>
            <w:tcW w:w="100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Provision for bad debt expense</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r>
      <w:tr>
        <w:trPr>
          <w:trHeight w:val="224"/>
        </w:trPr>
        <w:tc>
          <w:tcPr>
            <w:tcW w:w="79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acquisitions: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23"/>
        </w:trPr>
        <w:tc>
          <w:tcPr>
            <w:tcW w:w="798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costs and other assets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23"/>
        </w:trPr>
        <w:tc>
          <w:tcPr>
            <w:tcW w:w="7980" w:type="dxa"/>
            <w:vAlign w:val="bottom"/>
          </w:tcPr>
          <w:p>
            <w:pPr>
              <w:ind w:left="460"/>
              <w:spacing w:after="0"/>
              <w:rPr>
                <w:sz w:val="20"/>
                <w:szCs w:val="20"/>
                <w:color w:val="auto"/>
              </w:rPr>
            </w:pPr>
            <w:r>
              <w:rPr>
                <w:rFonts w:ascii="Arial" w:cs="Arial" w:eastAsia="Arial" w:hAnsi="Arial"/>
                <w:sz w:val="16"/>
                <w:szCs w:val="16"/>
                <w:color w:val="auto"/>
              </w:rPr>
              <w:t>Income tax receivable</w:t>
            </w:r>
          </w:p>
        </w:tc>
        <w:tc>
          <w:tcPr>
            <w:tcW w:w="100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0.2</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Related party receivable</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23"/>
        </w:trPr>
        <w:tc>
          <w:tcPr>
            <w:tcW w:w="798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100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1.7</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w:t>
            </w:r>
          </w:p>
        </w:tc>
      </w:tr>
      <w:tr>
        <w:trPr>
          <w:trHeight w:val="223"/>
        </w:trPr>
        <w:tc>
          <w:tcPr>
            <w:tcW w:w="7980" w:type="dxa"/>
            <w:vAlign w:val="bottom"/>
          </w:tcPr>
          <w:p>
            <w:pPr>
              <w:ind w:left="460"/>
              <w:spacing w:after="0"/>
              <w:rPr>
                <w:sz w:val="20"/>
                <w:szCs w:val="20"/>
                <w:color w:val="auto"/>
              </w:rPr>
            </w:pPr>
            <w:r>
              <w:rPr>
                <w:rFonts w:ascii="Arial" w:cs="Arial" w:eastAsia="Arial" w:hAnsi="Arial"/>
                <w:sz w:val="16"/>
                <w:szCs w:val="16"/>
                <w:color w:val="auto"/>
              </w:rPr>
              <w:t>Unearned revenue</w:t>
            </w:r>
          </w:p>
        </w:tc>
        <w:tc>
          <w:tcPr>
            <w:tcW w:w="100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17.8</w:t>
            </w:r>
          </w:p>
        </w:tc>
      </w:tr>
      <w:tr>
        <w:trPr>
          <w:trHeight w:val="33"/>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(used in) operating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14.2</w:t>
            </w:r>
          </w:p>
        </w:tc>
      </w:tr>
      <w:tr>
        <w:trPr>
          <w:trHeight w:val="189"/>
        </w:trPr>
        <w:tc>
          <w:tcPr>
            <w:tcW w:w="7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6"/>
                <w:szCs w:val="16"/>
                <w:color w:val="auto"/>
              </w:rPr>
              <w:t>Purchases of property and equipment and other assets</w:t>
            </w:r>
          </w:p>
        </w:tc>
        <w:tc>
          <w:tcPr>
            <w:tcW w:w="100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10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(705.8)</w:t>
            </w:r>
          </w:p>
        </w:tc>
      </w:tr>
      <w:tr>
        <w:trPr>
          <w:trHeight w:val="26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(708.6)</w:t>
            </w:r>
          </w:p>
        </w:tc>
      </w:tr>
      <w:tr>
        <w:trPr>
          <w:trHeight w:val="183"/>
        </w:trPr>
        <w:tc>
          <w:tcPr>
            <w:tcW w:w="79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on long-term debt</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(643.3)</w:t>
            </w:r>
          </w:p>
        </w:tc>
      </w:tr>
      <w:tr>
        <w:trPr>
          <w:trHeight w:val="223"/>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long-term debt</w:t>
            </w:r>
          </w:p>
        </w:tc>
        <w:tc>
          <w:tcPr>
            <w:tcW w:w="100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w w:val="89"/>
              </w:rPr>
              <w:t>1,220.8</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revolving credit loans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100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(16.6)</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Repurchase outstanding equity / member units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equity offering, net of transaction costs</w:t>
            </w:r>
          </w:p>
        </w:tc>
        <w:tc>
          <w:tcPr>
            <w:tcW w:w="100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200.2</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of deferred consideration</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ind w:left="220"/>
              <w:spacing w:after="0"/>
              <w:rPr>
                <w:sz w:val="20"/>
                <w:szCs w:val="20"/>
                <w:color w:val="auto"/>
              </w:rPr>
            </w:pPr>
            <w:r>
              <w:rPr>
                <w:rFonts w:ascii="Arial" w:cs="Arial" w:eastAsia="Arial" w:hAnsi="Arial"/>
                <w:sz w:val="16"/>
                <w:szCs w:val="16"/>
                <w:color w:val="auto"/>
              </w:rPr>
              <w:t>Distributions to members</w:t>
            </w:r>
          </w:p>
        </w:tc>
        <w:tc>
          <w:tcPr>
            <w:tcW w:w="100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(used in) financing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755.0</w:t>
            </w:r>
          </w:p>
        </w:tc>
      </w:tr>
      <w:tr>
        <w:trPr>
          <w:trHeight w:val="189"/>
        </w:trPr>
        <w:tc>
          <w:tcPr>
            <w:tcW w:w="7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60.6</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100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9.0</w:t>
            </w:r>
          </w:p>
        </w:tc>
      </w:tr>
      <w:tr>
        <w:trPr>
          <w:trHeight w:val="33"/>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72"/>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cast at end of year</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24"/>
        </w:trPr>
        <w:tc>
          <w:tcPr>
            <w:tcW w:w="7980" w:type="dxa"/>
            <w:vAlign w:val="bottom"/>
          </w:tcPr>
          <w:p>
            <w:pPr>
              <w:ind w:left="340"/>
              <w:spacing w:after="0"/>
              <w:rPr>
                <w:sz w:val="20"/>
                <w:szCs w:val="20"/>
                <w:color w:val="auto"/>
              </w:rPr>
            </w:pPr>
            <w:r>
              <w:rPr>
                <w:rFonts w:ascii="Arial" w:cs="Arial" w:eastAsia="Arial" w:hAnsi="Arial"/>
                <w:sz w:val="16"/>
                <w:szCs w:val="16"/>
                <w:color w:val="auto"/>
              </w:rPr>
              <w:t>Interest paid in cash:</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9"/>
                <w:szCs w:val="19"/>
                <w:color w:val="auto"/>
              </w:rPr>
            </w:pP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5.6</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3"/>
        </w:trPr>
        <w:tc>
          <w:tcPr>
            <w:tcW w:w="7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variable consideration from acquisition of a business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42.3</w:t>
            </w:r>
          </w:p>
        </w:tc>
      </w:tr>
      <w:tr>
        <w:trPr>
          <w:trHeight w:val="33"/>
        </w:trPr>
        <w:tc>
          <w:tcPr>
            <w:tcW w:w="79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240"/>
          </w:cols>
          <w:pgMar w:left="320" w:top="121" w:right="339" w:bottom="210" w:gutter="0" w:footer="0" w:header="0"/>
          <w:type w:val="continuous"/>
        </w:sectPr>
      </w:pPr>
    </w:p>
    <w:bookmarkStart w:id="274" w:name="page275"/>
    <w:bookmarkEnd w:id="274"/>
    <w:p>
      <w:pPr>
        <w:jc w:val="center"/>
        <w:ind w:right="-49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ZoomInfo Holdings LLC and Subsidiaries</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millions, except unit counts, unless otherwise noted)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spacing w:after="0"/>
              <w:rPr>
                <w:rFonts w:ascii="Arial" w:cs="Arial" w:eastAsia="Arial" w:hAnsi="Arial"/>
                <w:sz w:val="18"/>
                <w:szCs w:val="18"/>
                <w:u w:val="single" w:color="auto"/>
                <w:color w:val="0000FF"/>
              </w:rPr>
            </w:pPr>
            <w:hyperlink w:anchor="page275">
              <w:r>
                <w:rPr>
                  <w:rFonts w:ascii="Arial" w:cs="Arial" w:eastAsia="Arial" w:hAnsi="Arial"/>
                  <w:sz w:val="18"/>
                  <w:szCs w:val="18"/>
                  <w:u w:val="single" w:color="auto"/>
                  <w:color w:val="0000FF"/>
                </w:rPr>
                <w:t>Note 1</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75">
              <w:r>
                <w:rPr>
                  <w:rFonts w:ascii="Arial" w:cs="Arial" w:eastAsia="Arial" w:hAnsi="Arial"/>
                  <w:sz w:val="18"/>
                  <w:szCs w:val="18"/>
                  <w:u w:val="single" w:color="auto"/>
                  <w:color w:val="0000FF"/>
                </w:rPr>
                <w:t>Organization</w:t>
              </w:r>
            </w:hyperlink>
          </w:p>
        </w:tc>
        <w:tc>
          <w:tcPr>
            <w:tcW w:w="2520" w:type="dxa"/>
            <w:vAlign w:val="bottom"/>
          </w:tcPr>
          <w:p>
            <w:pPr>
              <w:ind w:left="2180"/>
              <w:spacing w:after="0"/>
              <w:rPr>
                <w:rFonts w:ascii="Arial" w:cs="Arial" w:eastAsia="Arial" w:hAnsi="Arial"/>
                <w:sz w:val="18"/>
                <w:szCs w:val="18"/>
                <w:color w:val="auto"/>
                <w:w w:val="86"/>
              </w:rPr>
            </w:pPr>
            <w:hyperlink w:anchor="page275">
              <w:r>
                <w:rPr>
                  <w:rFonts w:ascii="Arial" w:cs="Arial" w:eastAsia="Arial" w:hAnsi="Arial"/>
                  <w:sz w:val="18"/>
                  <w:szCs w:val="18"/>
                  <w:color w:val="auto"/>
                  <w:w w:val="86"/>
                </w:rPr>
                <w:t>F-50</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76">
              <w:r>
                <w:rPr>
                  <w:rFonts w:ascii="Arial" w:cs="Arial" w:eastAsia="Arial" w:hAnsi="Arial"/>
                  <w:sz w:val="18"/>
                  <w:szCs w:val="18"/>
                  <w:u w:val="single" w:color="auto"/>
                  <w:color w:val="0000FF"/>
                </w:rPr>
                <w:t>Note 2</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76">
              <w:r>
                <w:rPr>
                  <w:rFonts w:ascii="Arial" w:cs="Arial" w:eastAsia="Arial" w:hAnsi="Arial"/>
                  <w:sz w:val="18"/>
                  <w:szCs w:val="18"/>
                  <w:u w:val="single" w:color="auto"/>
                  <w:color w:val="0000FF"/>
                </w:rPr>
                <w:t>Basis of Presentation and Summary of Significant Accounting Policies</w:t>
              </w:r>
            </w:hyperlink>
          </w:p>
        </w:tc>
        <w:tc>
          <w:tcPr>
            <w:tcW w:w="2520" w:type="dxa"/>
            <w:vAlign w:val="bottom"/>
          </w:tcPr>
          <w:p>
            <w:pPr>
              <w:ind w:left="2180"/>
              <w:spacing w:after="0"/>
              <w:rPr>
                <w:rFonts w:ascii="Arial" w:cs="Arial" w:eastAsia="Arial" w:hAnsi="Arial"/>
                <w:sz w:val="18"/>
                <w:szCs w:val="18"/>
                <w:color w:val="auto"/>
                <w:w w:val="86"/>
              </w:rPr>
            </w:pPr>
            <w:hyperlink w:anchor="page276">
              <w:r>
                <w:rPr>
                  <w:rFonts w:ascii="Arial" w:cs="Arial" w:eastAsia="Arial" w:hAnsi="Arial"/>
                  <w:sz w:val="18"/>
                  <w:szCs w:val="18"/>
                  <w:color w:val="auto"/>
                  <w:w w:val="86"/>
                </w:rPr>
                <w:t>F-50</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82">
              <w:r>
                <w:rPr>
                  <w:rFonts w:ascii="Arial" w:cs="Arial" w:eastAsia="Arial" w:hAnsi="Arial"/>
                  <w:sz w:val="18"/>
                  <w:szCs w:val="18"/>
                  <w:u w:val="single" w:color="auto"/>
                  <w:color w:val="0000FF"/>
                </w:rPr>
                <w:t>Note 3</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82">
              <w:r>
                <w:rPr>
                  <w:rFonts w:ascii="Arial" w:cs="Arial" w:eastAsia="Arial" w:hAnsi="Arial"/>
                  <w:sz w:val="18"/>
                  <w:szCs w:val="18"/>
                  <w:u w:val="single" w:color="auto"/>
                  <w:color w:val="0000FF"/>
                </w:rPr>
                <w:t>Revenue from Contracts with Customers</w:t>
              </w:r>
            </w:hyperlink>
          </w:p>
        </w:tc>
        <w:tc>
          <w:tcPr>
            <w:tcW w:w="2520" w:type="dxa"/>
            <w:vAlign w:val="bottom"/>
          </w:tcPr>
          <w:p>
            <w:pPr>
              <w:ind w:left="2180"/>
              <w:spacing w:after="0"/>
              <w:rPr>
                <w:rFonts w:ascii="Arial" w:cs="Arial" w:eastAsia="Arial" w:hAnsi="Arial"/>
                <w:sz w:val="18"/>
                <w:szCs w:val="18"/>
                <w:color w:val="auto"/>
                <w:w w:val="86"/>
              </w:rPr>
            </w:pPr>
            <w:hyperlink w:anchor="page282">
              <w:r>
                <w:rPr>
                  <w:rFonts w:ascii="Arial" w:cs="Arial" w:eastAsia="Arial" w:hAnsi="Arial"/>
                  <w:sz w:val="18"/>
                  <w:szCs w:val="18"/>
                  <w:color w:val="auto"/>
                  <w:w w:val="86"/>
                </w:rPr>
                <w:t>F-57</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84">
              <w:r>
                <w:rPr>
                  <w:rFonts w:ascii="Arial" w:cs="Arial" w:eastAsia="Arial" w:hAnsi="Arial"/>
                  <w:sz w:val="18"/>
                  <w:szCs w:val="18"/>
                  <w:u w:val="single" w:color="auto"/>
                  <w:color w:val="0000FF"/>
                </w:rPr>
                <w:t>Note 4</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84">
              <w:r>
                <w:rPr>
                  <w:rFonts w:ascii="Arial" w:cs="Arial" w:eastAsia="Arial" w:hAnsi="Arial"/>
                  <w:sz w:val="18"/>
                  <w:szCs w:val="18"/>
                  <w:u w:val="single" w:color="auto"/>
                  <w:color w:val="0000FF"/>
                </w:rPr>
                <w:t>Business Combinations</w:t>
              </w:r>
            </w:hyperlink>
          </w:p>
        </w:tc>
        <w:tc>
          <w:tcPr>
            <w:tcW w:w="2520" w:type="dxa"/>
            <w:vAlign w:val="bottom"/>
          </w:tcPr>
          <w:p>
            <w:pPr>
              <w:ind w:left="2180"/>
              <w:spacing w:after="0"/>
              <w:rPr>
                <w:rFonts w:ascii="Arial" w:cs="Arial" w:eastAsia="Arial" w:hAnsi="Arial"/>
                <w:sz w:val="18"/>
                <w:szCs w:val="18"/>
                <w:color w:val="auto"/>
                <w:w w:val="86"/>
              </w:rPr>
            </w:pPr>
            <w:hyperlink w:anchor="page284">
              <w:r>
                <w:rPr>
                  <w:rFonts w:ascii="Arial" w:cs="Arial" w:eastAsia="Arial" w:hAnsi="Arial"/>
                  <w:sz w:val="18"/>
                  <w:szCs w:val="18"/>
                  <w:color w:val="auto"/>
                  <w:w w:val="86"/>
                </w:rPr>
                <w:t>F-58</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86">
              <w:r>
                <w:rPr>
                  <w:rFonts w:ascii="Arial" w:cs="Arial" w:eastAsia="Arial" w:hAnsi="Arial"/>
                  <w:sz w:val="18"/>
                  <w:szCs w:val="18"/>
                  <w:u w:val="single" w:color="auto"/>
                  <w:color w:val="0000FF"/>
                </w:rPr>
                <w:t>Note 5</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86">
              <w:r>
                <w:rPr>
                  <w:rFonts w:ascii="Arial" w:cs="Arial" w:eastAsia="Arial" w:hAnsi="Arial"/>
                  <w:sz w:val="18"/>
                  <w:szCs w:val="18"/>
                  <w:u w:val="single" w:color="auto"/>
                  <w:color w:val="0000FF"/>
                </w:rPr>
                <w:t>Property and Equipment</w:t>
              </w:r>
            </w:hyperlink>
          </w:p>
        </w:tc>
        <w:tc>
          <w:tcPr>
            <w:tcW w:w="2520" w:type="dxa"/>
            <w:vAlign w:val="bottom"/>
          </w:tcPr>
          <w:p>
            <w:pPr>
              <w:ind w:left="2180"/>
              <w:spacing w:after="0"/>
              <w:rPr>
                <w:rFonts w:ascii="Arial" w:cs="Arial" w:eastAsia="Arial" w:hAnsi="Arial"/>
                <w:sz w:val="18"/>
                <w:szCs w:val="18"/>
                <w:color w:val="auto"/>
                <w:w w:val="86"/>
              </w:rPr>
            </w:pPr>
            <w:hyperlink w:anchor="page286">
              <w:r>
                <w:rPr>
                  <w:rFonts w:ascii="Arial" w:cs="Arial" w:eastAsia="Arial" w:hAnsi="Arial"/>
                  <w:sz w:val="18"/>
                  <w:szCs w:val="18"/>
                  <w:color w:val="auto"/>
                  <w:w w:val="86"/>
                </w:rPr>
                <w:t>F-61</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87">
              <w:r>
                <w:rPr>
                  <w:rFonts w:ascii="Arial" w:cs="Arial" w:eastAsia="Arial" w:hAnsi="Arial"/>
                  <w:sz w:val="18"/>
                  <w:szCs w:val="18"/>
                  <w:u w:val="single" w:color="auto"/>
                  <w:color w:val="0000FF"/>
                </w:rPr>
                <w:t>Note 6</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87">
              <w:r>
                <w:rPr>
                  <w:rFonts w:ascii="Arial" w:cs="Arial" w:eastAsia="Arial" w:hAnsi="Arial"/>
                  <w:sz w:val="18"/>
                  <w:szCs w:val="18"/>
                  <w:u w:val="single" w:color="auto"/>
                  <w:color w:val="0000FF"/>
                </w:rPr>
                <w:t>Goodwill and Acquired Intangible Assets</w:t>
              </w:r>
            </w:hyperlink>
          </w:p>
        </w:tc>
        <w:tc>
          <w:tcPr>
            <w:tcW w:w="2520" w:type="dxa"/>
            <w:vAlign w:val="bottom"/>
          </w:tcPr>
          <w:p>
            <w:pPr>
              <w:ind w:left="2180"/>
              <w:spacing w:after="0"/>
              <w:rPr>
                <w:rFonts w:ascii="Arial" w:cs="Arial" w:eastAsia="Arial" w:hAnsi="Arial"/>
                <w:sz w:val="18"/>
                <w:szCs w:val="18"/>
                <w:color w:val="auto"/>
                <w:w w:val="86"/>
              </w:rPr>
            </w:pPr>
            <w:hyperlink w:anchor="page287">
              <w:r>
                <w:rPr>
                  <w:rFonts w:ascii="Arial" w:cs="Arial" w:eastAsia="Arial" w:hAnsi="Arial"/>
                  <w:sz w:val="18"/>
                  <w:szCs w:val="18"/>
                  <w:color w:val="auto"/>
                  <w:w w:val="86"/>
                </w:rPr>
                <w:t>F-61</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87">
              <w:r>
                <w:rPr>
                  <w:rFonts w:ascii="Arial" w:cs="Arial" w:eastAsia="Arial" w:hAnsi="Arial"/>
                  <w:sz w:val="18"/>
                  <w:szCs w:val="18"/>
                  <w:u w:val="single" w:color="auto"/>
                  <w:color w:val="0000FF"/>
                </w:rPr>
                <w:t>Note 7</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87">
              <w:r>
                <w:rPr>
                  <w:rFonts w:ascii="Arial" w:cs="Arial" w:eastAsia="Arial" w:hAnsi="Arial"/>
                  <w:sz w:val="18"/>
                  <w:szCs w:val="18"/>
                  <w:u w:val="single" w:color="auto"/>
                  <w:color w:val="0000FF"/>
                </w:rPr>
                <w:t>Financing Arrangements</w:t>
              </w:r>
            </w:hyperlink>
          </w:p>
        </w:tc>
        <w:tc>
          <w:tcPr>
            <w:tcW w:w="2520" w:type="dxa"/>
            <w:vAlign w:val="bottom"/>
          </w:tcPr>
          <w:p>
            <w:pPr>
              <w:ind w:left="2180"/>
              <w:spacing w:after="0"/>
              <w:rPr>
                <w:rFonts w:ascii="Arial" w:cs="Arial" w:eastAsia="Arial" w:hAnsi="Arial"/>
                <w:sz w:val="18"/>
                <w:szCs w:val="18"/>
                <w:color w:val="auto"/>
                <w:w w:val="86"/>
              </w:rPr>
            </w:pPr>
            <w:hyperlink w:anchor="page287">
              <w:r>
                <w:rPr>
                  <w:rFonts w:ascii="Arial" w:cs="Arial" w:eastAsia="Arial" w:hAnsi="Arial"/>
                  <w:sz w:val="18"/>
                  <w:szCs w:val="18"/>
                  <w:color w:val="auto"/>
                  <w:w w:val="86"/>
                </w:rPr>
                <w:t>F-61</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89">
              <w:r>
                <w:rPr>
                  <w:rFonts w:ascii="Arial" w:cs="Arial" w:eastAsia="Arial" w:hAnsi="Arial"/>
                  <w:sz w:val="18"/>
                  <w:szCs w:val="18"/>
                  <w:u w:val="single" w:color="auto"/>
                  <w:color w:val="0000FF"/>
                </w:rPr>
                <w:t>Note 8</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89">
              <w:r>
                <w:rPr>
                  <w:rFonts w:ascii="Arial" w:cs="Arial" w:eastAsia="Arial" w:hAnsi="Arial"/>
                  <w:sz w:val="18"/>
                  <w:szCs w:val="18"/>
                  <w:u w:val="single" w:color="auto"/>
                  <w:color w:val="0000FF"/>
                </w:rPr>
                <w:t>Derivatives and Hedging Activities</w:t>
              </w:r>
            </w:hyperlink>
          </w:p>
        </w:tc>
        <w:tc>
          <w:tcPr>
            <w:tcW w:w="2520" w:type="dxa"/>
            <w:vAlign w:val="bottom"/>
          </w:tcPr>
          <w:p>
            <w:pPr>
              <w:ind w:left="2180"/>
              <w:spacing w:after="0"/>
              <w:rPr>
                <w:rFonts w:ascii="Arial" w:cs="Arial" w:eastAsia="Arial" w:hAnsi="Arial"/>
                <w:sz w:val="18"/>
                <w:szCs w:val="18"/>
                <w:color w:val="auto"/>
                <w:w w:val="86"/>
              </w:rPr>
            </w:pPr>
            <w:hyperlink w:anchor="page289">
              <w:r>
                <w:rPr>
                  <w:rFonts w:ascii="Arial" w:cs="Arial" w:eastAsia="Arial" w:hAnsi="Arial"/>
                  <w:sz w:val="18"/>
                  <w:szCs w:val="18"/>
                  <w:color w:val="auto"/>
                  <w:w w:val="86"/>
                </w:rPr>
                <w:t>F-63</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90">
              <w:r>
                <w:rPr>
                  <w:rFonts w:ascii="Arial" w:cs="Arial" w:eastAsia="Arial" w:hAnsi="Arial"/>
                  <w:sz w:val="18"/>
                  <w:szCs w:val="18"/>
                  <w:u w:val="single" w:color="auto"/>
                  <w:color w:val="0000FF"/>
                </w:rPr>
                <w:t>Note 9</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90">
              <w:r>
                <w:rPr>
                  <w:rFonts w:ascii="Arial" w:cs="Arial" w:eastAsia="Arial" w:hAnsi="Arial"/>
                  <w:sz w:val="18"/>
                  <w:szCs w:val="18"/>
                  <w:u w:val="single" w:color="auto"/>
                  <w:color w:val="0000FF"/>
                </w:rPr>
                <w:t>Commitments and Contingencies</w:t>
              </w:r>
            </w:hyperlink>
          </w:p>
        </w:tc>
        <w:tc>
          <w:tcPr>
            <w:tcW w:w="2520" w:type="dxa"/>
            <w:vAlign w:val="bottom"/>
          </w:tcPr>
          <w:p>
            <w:pPr>
              <w:ind w:left="2180"/>
              <w:spacing w:after="0"/>
              <w:rPr>
                <w:rFonts w:ascii="Arial" w:cs="Arial" w:eastAsia="Arial" w:hAnsi="Arial"/>
                <w:sz w:val="18"/>
                <w:szCs w:val="18"/>
                <w:color w:val="auto"/>
                <w:w w:val="86"/>
              </w:rPr>
            </w:pPr>
            <w:hyperlink w:anchor="page290">
              <w:r>
                <w:rPr>
                  <w:rFonts w:ascii="Arial" w:cs="Arial" w:eastAsia="Arial" w:hAnsi="Arial"/>
                  <w:sz w:val="18"/>
                  <w:szCs w:val="18"/>
                  <w:color w:val="auto"/>
                  <w:w w:val="86"/>
                </w:rPr>
                <w:t>F-64</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91">
              <w:r>
                <w:rPr>
                  <w:rFonts w:ascii="Arial" w:cs="Arial" w:eastAsia="Arial" w:hAnsi="Arial"/>
                  <w:sz w:val="18"/>
                  <w:szCs w:val="18"/>
                  <w:u w:val="single" w:color="auto"/>
                  <w:color w:val="0000FF"/>
                </w:rPr>
                <w:t>Note 10</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91">
              <w:r>
                <w:rPr>
                  <w:rFonts w:ascii="Arial" w:cs="Arial" w:eastAsia="Arial" w:hAnsi="Arial"/>
                  <w:sz w:val="18"/>
                  <w:szCs w:val="18"/>
                  <w:u w:val="single" w:color="auto"/>
                  <w:color w:val="0000FF"/>
                </w:rPr>
                <w:t>Leases</w:t>
              </w:r>
            </w:hyperlink>
          </w:p>
        </w:tc>
        <w:tc>
          <w:tcPr>
            <w:tcW w:w="2520" w:type="dxa"/>
            <w:vAlign w:val="bottom"/>
          </w:tcPr>
          <w:p>
            <w:pPr>
              <w:ind w:left="2180"/>
              <w:spacing w:after="0"/>
              <w:rPr>
                <w:rFonts w:ascii="Arial" w:cs="Arial" w:eastAsia="Arial" w:hAnsi="Arial"/>
                <w:sz w:val="18"/>
                <w:szCs w:val="18"/>
                <w:color w:val="auto"/>
                <w:w w:val="86"/>
              </w:rPr>
            </w:pPr>
            <w:hyperlink w:anchor="page291">
              <w:r>
                <w:rPr>
                  <w:rFonts w:ascii="Arial" w:cs="Arial" w:eastAsia="Arial" w:hAnsi="Arial"/>
                  <w:sz w:val="18"/>
                  <w:szCs w:val="18"/>
                  <w:color w:val="auto"/>
                  <w:w w:val="86"/>
                </w:rPr>
                <w:t>F-65</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92">
              <w:r>
                <w:rPr>
                  <w:rFonts w:ascii="Arial" w:cs="Arial" w:eastAsia="Arial" w:hAnsi="Arial"/>
                  <w:sz w:val="18"/>
                  <w:szCs w:val="18"/>
                  <w:u w:val="single" w:color="auto"/>
                  <w:color w:val="0000FF"/>
                </w:rPr>
                <w:t>Note 11</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92">
              <w:r>
                <w:rPr>
                  <w:rFonts w:ascii="Arial" w:cs="Arial" w:eastAsia="Arial" w:hAnsi="Arial"/>
                  <w:sz w:val="18"/>
                  <w:szCs w:val="18"/>
                  <w:u w:val="single" w:color="auto"/>
                  <w:color w:val="0000FF"/>
                </w:rPr>
                <w:t>Members’ Deficit</w:t>
              </w:r>
            </w:hyperlink>
          </w:p>
        </w:tc>
        <w:tc>
          <w:tcPr>
            <w:tcW w:w="2520" w:type="dxa"/>
            <w:vAlign w:val="bottom"/>
          </w:tcPr>
          <w:p>
            <w:pPr>
              <w:ind w:left="2180"/>
              <w:spacing w:after="0"/>
              <w:rPr>
                <w:rFonts w:ascii="Arial" w:cs="Arial" w:eastAsia="Arial" w:hAnsi="Arial"/>
                <w:sz w:val="18"/>
                <w:szCs w:val="18"/>
                <w:color w:val="auto"/>
                <w:w w:val="86"/>
              </w:rPr>
            </w:pPr>
            <w:hyperlink w:anchor="page292">
              <w:r>
                <w:rPr>
                  <w:rFonts w:ascii="Arial" w:cs="Arial" w:eastAsia="Arial" w:hAnsi="Arial"/>
                  <w:sz w:val="18"/>
                  <w:szCs w:val="18"/>
                  <w:color w:val="auto"/>
                  <w:w w:val="86"/>
                </w:rPr>
                <w:t>F-66</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93">
              <w:r>
                <w:rPr>
                  <w:rFonts w:ascii="Arial" w:cs="Arial" w:eastAsia="Arial" w:hAnsi="Arial"/>
                  <w:sz w:val="18"/>
                  <w:szCs w:val="18"/>
                  <w:u w:val="single" w:color="auto"/>
                  <w:color w:val="0000FF"/>
                </w:rPr>
                <w:t>Note 12</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93">
              <w:r>
                <w:rPr>
                  <w:rFonts w:ascii="Arial" w:cs="Arial" w:eastAsia="Arial" w:hAnsi="Arial"/>
                  <w:sz w:val="18"/>
                  <w:szCs w:val="18"/>
                  <w:u w:val="single" w:color="auto"/>
                  <w:color w:val="0000FF"/>
                </w:rPr>
                <w:t>Redeemable Series A Preferred Units</w:t>
              </w:r>
            </w:hyperlink>
          </w:p>
        </w:tc>
        <w:tc>
          <w:tcPr>
            <w:tcW w:w="2520" w:type="dxa"/>
            <w:vAlign w:val="bottom"/>
          </w:tcPr>
          <w:p>
            <w:pPr>
              <w:ind w:left="2180"/>
              <w:spacing w:after="0"/>
              <w:rPr>
                <w:rFonts w:ascii="Arial" w:cs="Arial" w:eastAsia="Arial" w:hAnsi="Arial"/>
                <w:sz w:val="18"/>
                <w:szCs w:val="18"/>
                <w:color w:val="auto"/>
                <w:w w:val="86"/>
              </w:rPr>
            </w:pPr>
            <w:hyperlink w:anchor="page293">
              <w:r>
                <w:rPr>
                  <w:rFonts w:ascii="Arial" w:cs="Arial" w:eastAsia="Arial" w:hAnsi="Arial"/>
                  <w:sz w:val="18"/>
                  <w:szCs w:val="18"/>
                  <w:color w:val="auto"/>
                  <w:w w:val="86"/>
                </w:rPr>
                <w:t>F-67</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93">
              <w:r>
                <w:rPr>
                  <w:rFonts w:ascii="Arial" w:cs="Arial" w:eastAsia="Arial" w:hAnsi="Arial"/>
                  <w:sz w:val="18"/>
                  <w:szCs w:val="18"/>
                  <w:u w:val="single" w:color="auto"/>
                  <w:color w:val="0000FF"/>
                </w:rPr>
                <w:t>Note 13</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93">
              <w:r>
                <w:rPr>
                  <w:rFonts w:ascii="Arial" w:cs="Arial" w:eastAsia="Arial" w:hAnsi="Arial"/>
                  <w:sz w:val="18"/>
                  <w:szCs w:val="18"/>
                  <w:u w:val="single" w:color="auto"/>
                  <w:color w:val="0000FF"/>
                </w:rPr>
                <w:t>Equity-Based Compensation</w:t>
              </w:r>
            </w:hyperlink>
          </w:p>
        </w:tc>
        <w:tc>
          <w:tcPr>
            <w:tcW w:w="2520" w:type="dxa"/>
            <w:vAlign w:val="bottom"/>
          </w:tcPr>
          <w:p>
            <w:pPr>
              <w:ind w:left="2180"/>
              <w:spacing w:after="0"/>
              <w:rPr>
                <w:rFonts w:ascii="Arial" w:cs="Arial" w:eastAsia="Arial" w:hAnsi="Arial"/>
                <w:sz w:val="18"/>
                <w:szCs w:val="18"/>
                <w:color w:val="auto"/>
                <w:w w:val="86"/>
              </w:rPr>
            </w:pPr>
            <w:hyperlink w:anchor="page293">
              <w:r>
                <w:rPr>
                  <w:rFonts w:ascii="Arial" w:cs="Arial" w:eastAsia="Arial" w:hAnsi="Arial"/>
                  <w:sz w:val="18"/>
                  <w:szCs w:val="18"/>
                  <w:color w:val="auto"/>
                  <w:w w:val="86"/>
                </w:rPr>
                <w:t>F-67</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95">
              <w:r>
                <w:rPr>
                  <w:rFonts w:ascii="Arial" w:cs="Arial" w:eastAsia="Arial" w:hAnsi="Arial"/>
                  <w:sz w:val="18"/>
                  <w:szCs w:val="18"/>
                  <w:u w:val="single" w:color="auto"/>
                  <w:color w:val="0000FF"/>
                </w:rPr>
                <w:t>Note 14</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95">
              <w:r>
                <w:rPr>
                  <w:rFonts w:ascii="Arial" w:cs="Arial" w:eastAsia="Arial" w:hAnsi="Arial"/>
                  <w:sz w:val="18"/>
                  <w:szCs w:val="18"/>
                  <w:u w:val="single" w:color="auto"/>
                  <w:color w:val="0000FF"/>
                </w:rPr>
                <w:t>Income Tax Provision</w:t>
              </w:r>
            </w:hyperlink>
          </w:p>
        </w:tc>
        <w:tc>
          <w:tcPr>
            <w:tcW w:w="2520" w:type="dxa"/>
            <w:vAlign w:val="bottom"/>
          </w:tcPr>
          <w:p>
            <w:pPr>
              <w:ind w:left="2180"/>
              <w:spacing w:after="0"/>
              <w:rPr>
                <w:rFonts w:ascii="Arial" w:cs="Arial" w:eastAsia="Arial" w:hAnsi="Arial"/>
                <w:sz w:val="18"/>
                <w:szCs w:val="18"/>
                <w:color w:val="auto"/>
                <w:w w:val="86"/>
              </w:rPr>
            </w:pPr>
            <w:hyperlink w:anchor="page295">
              <w:r>
                <w:rPr>
                  <w:rFonts w:ascii="Arial" w:cs="Arial" w:eastAsia="Arial" w:hAnsi="Arial"/>
                  <w:sz w:val="18"/>
                  <w:szCs w:val="18"/>
                  <w:color w:val="auto"/>
                  <w:w w:val="86"/>
                </w:rPr>
                <w:t>F-69</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96">
              <w:r>
                <w:rPr>
                  <w:rFonts w:ascii="Arial" w:cs="Arial" w:eastAsia="Arial" w:hAnsi="Arial"/>
                  <w:sz w:val="18"/>
                  <w:szCs w:val="18"/>
                  <w:u w:val="single" w:color="auto"/>
                  <w:color w:val="0000FF"/>
                </w:rPr>
                <w:t>Note 15</w:t>
              </w:r>
            </w:hyperlink>
          </w:p>
        </w:tc>
        <w:tc>
          <w:tcPr>
            <w:tcW w:w="7620" w:type="dxa"/>
            <w:vAlign w:val="bottom"/>
          </w:tcPr>
          <w:p>
            <w:pPr>
              <w:ind w:left="340"/>
              <w:spacing w:after="0"/>
              <w:rPr>
                <w:rFonts w:ascii="Arial" w:cs="Arial" w:eastAsia="Arial" w:hAnsi="Arial"/>
                <w:sz w:val="18"/>
                <w:szCs w:val="18"/>
                <w:u w:val="single" w:color="auto"/>
                <w:color w:val="0000FF"/>
              </w:rPr>
            </w:pPr>
            <w:hyperlink w:anchor="page296">
              <w:r>
                <w:rPr>
                  <w:rFonts w:ascii="Arial" w:cs="Arial" w:eastAsia="Arial" w:hAnsi="Arial"/>
                  <w:sz w:val="18"/>
                  <w:szCs w:val="18"/>
                  <w:u w:val="single" w:color="auto"/>
                  <w:color w:val="0000FF"/>
                </w:rPr>
                <w:t>Subsequent Events</w:t>
              </w:r>
            </w:hyperlink>
          </w:p>
        </w:tc>
        <w:tc>
          <w:tcPr>
            <w:tcW w:w="2520" w:type="dxa"/>
            <w:vAlign w:val="bottom"/>
          </w:tcPr>
          <w:p>
            <w:pPr>
              <w:ind w:left="2180"/>
              <w:spacing w:after="0"/>
              <w:rPr>
                <w:rFonts w:ascii="Arial" w:cs="Arial" w:eastAsia="Arial" w:hAnsi="Arial"/>
                <w:sz w:val="18"/>
                <w:szCs w:val="18"/>
                <w:color w:val="auto"/>
                <w:w w:val="86"/>
              </w:rPr>
            </w:pPr>
            <w:hyperlink w:anchor="page296">
              <w:r>
                <w:rPr>
                  <w:rFonts w:ascii="Arial" w:cs="Arial" w:eastAsia="Arial" w:hAnsi="Arial"/>
                  <w:sz w:val="18"/>
                  <w:szCs w:val="18"/>
                  <w:color w:val="auto"/>
                  <w:w w:val="86"/>
                </w:rPr>
                <w:t>F-70</w:t>
              </w:r>
            </w:hyperlink>
          </w:p>
        </w:tc>
      </w:tr>
      <w:tr>
        <w:trPr>
          <w:trHeight w:val="824"/>
        </w:trPr>
        <w:tc>
          <w:tcPr>
            <w:tcW w:w="900" w:type="dxa"/>
            <w:vAlign w:val="bottom"/>
          </w:tcPr>
          <w:p>
            <w:pPr>
              <w:spacing w:after="0"/>
              <w:rPr>
                <w:sz w:val="24"/>
                <w:szCs w:val="24"/>
                <w:color w:val="auto"/>
              </w:rPr>
            </w:pPr>
          </w:p>
        </w:tc>
        <w:tc>
          <w:tcPr>
            <w:tcW w:w="7620" w:type="dxa"/>
            <w:vAlign w:val="bottom"/>
          </w:tcPr>
          <w:p>
            <w:pPr>
              <w:ind w:left="4540"/>
              <w:spacing w:after="0"/>
              <w:rPr>
                <w:sz w:val="20"/>
                <w:szCs w:val="20"/>
                <w:color w:val="auto"/>
              </w:rPr>
            </w:pPr>
            <w:r>
              <w:rPr>
                <w:rFonts w:ascii="Arial" w:cs="Arial" w:eastAsia="Arial" w:hAnsi="Arial"/>
                <w:sz w:val="18"/>
                <w:szCs w:val="18"/>
                <w:color w:val="auto"/>
              </w:rPr>
              <w:t>F-49</w:t>
            </w:r>
          </w:p>
        </w:tc>
        <w:tc>
          <w:tcPr>
            <w:tcW w:w="2520" w:type="dxa"/>
            <w:vAlign w:val="bottom"/>
          </w:tcPr>
          <w:p>
            <w:pPr>
              <w:spacing w:after="0"/>
              <w:rPr>
                <w:sz w:val="24"/>
                <w:szCs w:val="24"/>
                <w:color w:val="auto"/>
              </w:rPr>
            </w:pPr>
          </w:p>
        </w:tc>
      </w:tr>
    </w:tbl>
    <w:p>
      <w:pPr>
        <w:sectPr>
          <w:pgSz w:w="11900" w:h="16838" w:orient="portrait"/>
          <w:cols w:equalWidth="0" w:num="1">
            <w:col w:w="11040"/>
          </w:cols>
          <w:pgMar w:left="340" w:top="121" w:right="519" w:bottom="1440" w:gutter="0" w:footer="0" w:header="0"/>
        </w:sectPr>
      </w:pPr>
    </w:p>
    <w:bookmarkStart w:id="275" w:name="page276"/>
    <w:bookmarkEnd w:id="27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ZoomInfo Holdings LLC (together with its subsidiaries, “ZoomInfo” or the “Company”) provides a go-to-market intelligence platform for sales and marketing teams. Our cloud-based solutions provide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headquarters are located in Vancouver, WA and we operate in seven offices throughout the US, one office in Russia and one office in Israel.</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began operations in 2007 through a predecessor entity then called DiscoverOrg LLC and were incorporated in Delaware in 2014 as a limited liability company. The Company is comprised of two limited liability companies that are treated as partnerships for tax purposes, ten limited liability companies that are single member entities and disregarded for tax purposes, three corporations, and one foreign entity.</w:t>
      </w:r>
    </w:p>
    <w:p>
      <w:pPr>
        <w:spacing w:after="0" w:line="126" w:lineRule="exact"/>
        <w:rPr>
          <w:sz w:val="20"/>
          <w:szCs w:val="20"/>
          <w:color w:val="auto"/>
        </w:rPr>
      </w:pPr>
    </w:p>
    <w:p>
      <w:pPr>
        <w:ind w:right="5220"/>
        <w:spacing w:after="0" w:line="440"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(“GAAP”). The consolidated financial statements include the results of ZoomInfo and its wholly owned subsidiaries. All intercompany balances and transactions have been eliminated in consolidation. In management's opinion, the unaudited condensed consolidated financial statements contain all adjustments, which include normal and recurring adjustments, necessary for a fair presentation of the financial position and results of operations as of the dates and for the interim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number of datasets or records that can be accessed. Our subscriptions contracts typically have a term of 1 to 3 years and are non-cancellable. We typically bill for services quarterly or annually in advance of delivery.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71" w:lineRule="exact"/>
        <w:rPr>
          <w:sz w:val="20"/>
          <w:szCs w:val="20"/>
          <w:color w:val="auto"/>
        </w:rPr>
      </w:pPr>
    </w:p>
    <w:p>
      <w:pPr>
        <w:ind w:left="640" w:hanging="308"/>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21" w:right="339" w:bottom="1440" w:gutter="0" w:footer="0" w:header="0"/>
        </w:sectPr>
      </w:pPr>
    </w:p>
    <w:bookmarkStart w:id="276" w:name="page277"/>
    <w:bookmarkEnd w:id="27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ind w:left="640" w:hanging="308"/>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under Topic 606. The Company estimates these amounts based on historical experience and reduces revenue recognized.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inputs or methodology used for valuing financial assets and liabilities are not necessarily an indication of the risk associated with investing in them.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elected to use the income approach to value the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21" w:right="339" w:bottom="1440" w:gutter="0" w:footer="0" w:header="0"/>
        </w:sectPr>
      </w:pPr>
    </w:p>
    <w:bookmarkStart w:id="277" w:name="page278"/>
    <w:bookmarkEnd w:id="27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consist of highly liquid investments with maturities of three months or less at the time of 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Financial instruments that potentially subject us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months ended March 31, 2020 and 2019, or accounted for more than 10% of accounts receivable as of March 31, 2020 and December 31, 2019.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Contract Assets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March 31, 2020 and December 31, 2019.</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21" w:right="339" w:bottom="1440" w:gutter="0" w:footer="0" w:header="0"/>
        </w:sectPr>
      </w:pPr>
    </w:p>
    <w:bookmarkStart w:id="278" w:name="page279"/>
    <w:bookmarkEnd w:id="27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years to ten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Certain sales commissions earned by our sales force are considered incremental and recoverable costs of obtaining a contract with a customer. These sales commissions for initial contracts are capitalized and current amounts are included in </w:t>
      </w:r>
      <w:r>
        <w:rPr>
          <w:rFonts w:ascii="Arial" w:cs="Arial" w:eastAsia="Arial" w:hAnsi="Arial"/>
          <w:sz w:val="18"/>
          <w:szCs w:val="18"/>
          <w:i w:val="1"/>
          <w:iCs w:val="1"/>
          <w:color w:val="auto"/>
        </w:rPr>
        <w:t>Deferred costs</w:t>
      </w:r>
      <w:r>
        <w:rPr>
          <w:rFonts w:ascii="Arial" w:cs="Arial" w:eastAsia="Arial" w:hAnsi="Arial"/>
          <w:sz w:val="18"/>
          <w:szCs w:val="18"/>
          <w:color w:val="auto"/>
        </w:rPr>
        <w:t xml:space="preserve"> and noncurrent amounts are included in </w:t>
      </w:r>
      <w:r>
        <w:rPr>
          <w:rFonts w:ascii="Arial" w:cs="Arial" w:eastAsia="Arial" w:hAnsi="Arial"/>
          <w:sz w:val="18"/>
          <w:szCs w:val="18"/>
          <w:i w:val="1"/>
          <w:iCs w:val="1"/>
          <w:color w:val="auto"/>
        </w:rPr>
        <w:t>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net of current portion </w:t>
      </w:r>
      <w:r>
        <w:rPr>
          <w:rFonts w:ascii="Arial" w:cs="Arial" w:eastAsia="Arial" w:hAnsi="Arial"/>
          <w:sz w:val="18"/>
          <w:szCs w:val="18"/>
          <w:color w:val="auto"/>
        </w:rPr>
        <w:t>in our consolidated balance sheets. Deferred sales commissions are amortized on a straight-line basis over the estimated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benefit from the customer relationship that we have determined to be three years. We determined the period of benefit by taking into consideration our customer contracts, our technology, and other factors. Amortization expense is included in Sales and marketing expense on the Consolidated statement of operations.</w:t>
      </w:r>
    </w:p>
    <w:p>
      <w:pPr>
        <w:spacing w:after="0" w:line="138" w:lineRule="exact"/>
        <w:rPr>
          <w:sz w:val="20"/>
          <w:szCs w:val="20"/>
          <w:color w:val="auto"/>
        </w:rPr>
      </w:pPr>
    </w:p>
    <w:p>
      <w:pPr>
        <w:ind w:right="20" w:firstLine="324"/>
        <w:spacing w:after="0" w:line="438" w:lineRule="auto"/>
        <w:rPr>
          <w:sz w:val="20"/>
          <w:szCs w:val="20"/>
          <w:color w:val="auto"/>
        </w:rPr>
      </w:pPr>
      <w:r>
        <w:rPr>
          <w:rFonts w:ascii="Arial" w:cs="Arial" w:eastAsia="Arial" w:hAnsi="Arial"/>
          <w:sz w:val="18"/>
          <w:szCs w:val="18"/>
          <w:color w:val="auto"/>
        </w:rPr>
        <w:t xml:space="preserve">Certain commissions are not capitalized as they do not represent incremental costs of obtaining a contract. Such commissions are expensed as incurred. </w:t>
      </w:r>
      <w:r>
        <w:rPr>
          <w:rFonts w:ascii="Arial" w:cs="Arial" w:eastAsia="Arial" w:hAnsi="Arial"/>
          <w:sz w:val="18"/>
          <w:szCs w:val="18"/>
          <w:b w:val="1"/>
          <w:bCs w:val="1"/>
          <w:i w:val="1"/>
          <w:iCs w:val="1"/>
          <w:color w:val="auto"/>
        </w:rPr>
        <w:t>Advertising and Promotional Expenses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expenses advertising costs as incurred in accordance with ASC 720-35, Other Expenses - Advertising Cost. Advertising expenses of $2.9 million and $1.7 million for the three months ended March 31, 2020 and 2019, respectively, are included in Sales and marketing on the consolidated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account for research and development costs in accordance with the ASC 730, Research and Development.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Transaction-Related Expenses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defines restructuring and transaction related expenses as costs directly associated with acquisition or disposal activities. Such costs include employee severance and termination benefits, contract termination fees and penalties, and other exist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21" w:right="339" w:bottom="1440" w:gutter="0" w:footer="0" w:header="0"/>
        </w:sectPr>
      </w:pPr>
    </w:p>
    <w:bookmarkStart w:id="279" w:name="page280"/>
    <w:bookmarkEnd w:id="27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Acquired technology, customer lists, trade names or brand portfolios, and other intangible assets are related to previous acquisitions (see Note 6 - Goodwill and Acquired Intangible Assets). Acquired intangible assets are amortized on a straight-line basis over the estimated period over which we expect to realize economic value related to the intangible asset. The amortization periods range from 2 years to 15 years.</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Indefinite 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 lived intangible asset is less than the carrying value as a basis to determine whether further impairment testing under ASC 350 is necessary. No impairment charges were recorded for the three months ended March 31, 2020 and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121" w:right="339" w:bottom="1440" w:gutter="0" w:footer="0" w:header="0"/>
        </w:sectPr>
      </w:pPr>
    </w:p>
    <w:bookmarkStart w:id="280" w:name="page281"/>
    <w:bookmarkEnd w:id="28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The company performs assessments of debt modifications at a lender specific level for all syndicated financing arrangements.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comprised of two limited liability companies that are treated as partnerships for tax purposes, ten limited liability companies that are single member entities and disregarded for tax purposes, three corporations, and one foreign entity.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the Company is responsible for making payments directly to the relevant tax authority.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Managers. The holder, therefore, has the right to participate in distributions of profits only in excess of the Participation Threshold. The Participation Threshold was based on the valuation determined by the Board of Managers of the common unit on or around the grant date.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accounts for incentive units in accordance with ASC 718, Compensation-Stock Compensation (ASC 718). In accordance with ASC 718, compensation expense is measured at estimated fair value of the incentive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21" w:right="339" w:bottom="1440" w:gutter="0" w:footer="0" w:header="0"/>
        </w:sectPr>
      </w:pPr>
    </w:p>
    <w:bookmarkStart w:id="281" w:name="page282"/>
    <w:bookmarkEnd w:id="28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units and is included as compensation expense over the vesting period during which an employee provides service in exchange for the award.</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uses a Black-Scholes option pricing model to determine fair value of its incentive units, as the equity units granted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accounts for non-employee equity-based compensation in accordance with ASC 505-50-25, “Equity Based Payments to Non-Employees,” which requires the measurement and recognition of compensation expense for all equity-based payment awards made to non-employees based on estimated fair values.</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March 2020, the FASB issued ASU 2020-04, “Reference Rate Reform (Topic 848).” ASU 2020-04 contains practical expedients for reference rate reform related activities that impact debt, leases, derivatives and other contracts. The guidance in ASU 2020-04 is optional and may be elected over time as reference rate reform activities occur. During the first quarter of 2020, the Company has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the guidance and may apply other elections as applicable as additional changes in the market occur.</w:t>
      </w:r>
    </w:p>
    <w:p>
      <w:pPr>
        <w:spacing w:after="0" w:line="14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adopted ASU 2018-13 on January 1, 2020. However, as the Company did not have any Level 3 fair value measurements and/or other circumstances addressed in ASU 2018-13, adoption did not have a material effect on the Company’s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121" w:right="339" w:bottom="1440" w:gutter="0" w:footer="0" w:header="0"/>
        </w:sectPr>
      </w:pPr>
    </w:p>
    <w:bookmarkStart w:id="282" w:name="page283"/>
    <w:bookmarkEnd w:id="28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comprised the following service offerings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intelligence tools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Email verification service</w:t>
            </w:r>
          </w:p>
        </w:tc>
        <w:tc>
          <w:tcPr>
            <w:tcW w:w="98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102.2</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total revenue recognized in the three months ended March 31, 2020 and 2019, $79.9 million and $30.1 million was included in the unearned revenue balance as of December 31, 2019 and 2018, respectively. Revenue recognized from performance obligations satisfied (or partially satisfied) in previous periods was not material for the three months ended March 31, 2020 and 2019.</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Revenue by geography is determined based on the domicile of the ZoomInfo contracting entity. All customer contracts are with our U.S. entities, therefore 100% of our revenue is designated as U.S. revenue. Due to the SaaS-based nature of our service, it is possible that some of our customers use the service outside of the U.S. We estimate that less than 10% of the company's customers were located outside of the U.S. as of March 31, 2020 and 2019.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Unearned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standard billing terms typically require payment at the beginning of each annual or quarterly period. 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the Company expects to be entitled to receive in exchange for these services.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As of March 31, 2020 and December 31, 2019, the Company had contract assets of $1.2 million and $0.1 million, respectively, which are recorded as current assets within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in the consolidated balance sheets. As of March 31, 2020 and December 31, 2019, the Company had unearned revenue of $173.2 million and $159.1 million, respectively.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121" w:right="339" w:bottom="1440" w:gutter="0" w:footer="0" w:header="0"/>
        </w:sectPr>
      </w:pPr>
    </w:p>
    <w:bookmarkStart w:id="283" w:name="page284"/>
    <w:bookmarkEnd w:id="28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200" w:lineRule="exact"/>
        <w:rPr>
          <w:sz w:val="20"/>
          <w:szCs w:val="20"/>
          <w:color w:val="auto"/>
        </w:rPr>
      </w:pP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performance obligations consisted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Current</w:t>
            </w:r>
          </w:p>
        </w:tc>
        <w:tc>
          <w:tcPr>
            <w:tcW w:w="28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Arial" w:cs="Arial" w:eastAsia="Arial" w:hAnsi="Arial"/>
                <w:sz w:val="14"/>
                <w:szCs w:val="14"/>
                <w:b w:val="1"/>
                <w:bCs w:val="1"/>
                <w:color w:val="auto"/>
              </w:rPr>
              <w:t>Total</w:t>
            </w:r>
          </w:p>
        </w:tc>
      </w:tr>
      <w:tr>
        <w:trPr>
          <w:trHeight w:val="24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March 31, 2020</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294.8</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81.6</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376.4</w:t>
            </w:r>
          </w:p>
        </w:tc>
      </w:tr>
      <w:tr>
        <w:trPr>
          <w:trHeight w:val="27"/>
        </w:trPr>
        <w:tc>
          <w:tcPr>
            <w:tcW w:w="6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Komiko</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9, 2019, through a newly formed wholly 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Contingent earnout payments</w:t>
            </w:r>
          </w:p>
        </w:tc>
        <w:tc>
          <w:tcPr>
            <w:tcW w:w="6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 During the three months ended March 31, 2020, the Company recognized an additional liability of $1.0 relating to the Komiko contingent payments.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date of acquisition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7"/>
              </w:rPr>
              <w:t>2.4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600" w:type="dxa"/>
            <w:vAlign w:val="bottom"/>
          </w:tcPr>
          <w:p>
            <w:pPr>
              <w:spacing w:after="0"/>
              <w:rPr>
                <w:sz w:val="21"/>
                <w:szCs w:val="21"/>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7"/>
              </w:rPr>
              <w:t>(0.2)</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2.2</w:t>
            </w:r>
          </w:p>
        </w:tc>
      </w:tr>
      <w:tr>
        <w:trPr>
          <w:trHeight w:val="243"/>
        </w:trPr>
        <w:tc>
          <w:tcPr>
            <w:tcW w:w="9680" w:type="dxa"/>
            <w:vAlign w:val="bottom"/>
          </w:tcPr>
          <w:p>
            <w:pPr>
              <w:ind w:left="46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21"/>
                <w:szCs w:val="21"/>
                <w:color w:val="auto"/>
              </w:rPr>
            </w:pPr>
          </w:p>
        </w:tc>
        <w:tc>
          <w:tcPr>
            <w:tcW w:w="960" w:type="dxa"/>
            <w:vAlign w:val="bottom"/>
          </w:tcPr>
          <w:p>
            <w:pPr>
              <w:jc w:val="center"/>
              <w:ind w:left="330"/>
              <w:spacing w:after="0"/>
              <w:rPr>
                <w:sz w:val="20"/>
                <w:szCs w:val="20"/>
                <w:color w:val="auto"/>
              </w:rPr>
            </w:pPr>
            <w:r>
              <w:rPr>
                <w:rFonts w:ascii="Arial" w:cs="Arial" w:eastAsia="Arial" w:hAnsi="Arial"/>
                <w:sz w:val="18"/>
                <w:szCs w:val="18"/>
                <w:color w:val="auto"/>
                <w:w w:val="87"/>
              </w:rPr>
              <w:t>6.3</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8.5</w:t>
            </w:r>
          </w:p>
        </w:tc>
      </w:tr>
      <w:tr>
        <w:trPr>
          <w:trHeight w:val="243"/>
        </w:trPr>
        <w:tc>
          <w:tcPr>
            <w:tcW w:w="9680" w:type="dxa"/>
            <w:vAlign w:val="bottom"/>
          </w:tcPr>
          <w:p>
            <w:pPr>
              <w:ind w:left="460"/>
              <w:spacing w:after="0"/>
              <w:rPr>
                <w:sz w:val="20"/>
                <w:szCs w:val="20"/>
                <w:color w:val="auto"/>
              </w:rPr>
            </w:pPr>
            <w:r>
              <w:rPr>
                <w:rFonts w:ascii="Arial" w:cs="Arial" w:eastAsia="Arial" w:hAnsi="Arial"/>
                <w:sz w:val="18"/>
                <w:szCs w:val="18"/>
                <w:color w:val="auto"/>
              </w:rPr>
              <w:t>Contingent Earnout Payments</w:t>
            </w:r>
          </w:p>
        </w:tc>
        <w:tc>
          <w:tcPr>
            <w:tcW w:w="600" w:type="dxa"/>
            <w:vAlign w:val="bottom"/>
          </w:tcPr>
          <w:p>
            <w:pPr>
              <w:spacing w:after="0"/>
              <w:rPr>
                <w:sz w:val="21"/>
                <w:szCs w:val="21"/>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97"/>
              </w:rPr>
              <w:t>(0.2)</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acquisitions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8.3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Developed technology represents the fair value of the Komiko technology portfolio. The goodwill balance is primarily attributed to the expanded market opportunities when integrating Komiko’s technology with ZoomInfo’s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121" w:right="339" w:bottom="1440" w:gutter="0" w:footer="0" w:header="0"/>
        </w:sectPr>
      </w:pPr>
    </w:p>
    <w:bookmarkStart w:id="284" w:name="page285"/>
    <w:bookmarkEnd w:id="28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technology and the assembled workforce. The goodwill balance is expected to be deductible for U.S. income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Pre-Acquisition ZI</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date fair value of the consideration paid by the Company for Pre-Acquisition ZI was $760.1 million, including cash acquired of $12.1 million, and was comprised of the following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667.3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Liability for equity award settlement</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25.2</w:t>
            </w:r>
          </w:p>
        </w:tc>
      </w:tr>
      <w:tr>
        <w:trPr>
          <w:trHeight w:val="27"/>
        </w:trPr>
        <w:tc>
          <w:tcPr>
            <w:tcW w:w="9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Portion of replacement awards attributable to pre-acquisition service</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27.9</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Other purchase consideration liabilities</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6.5</w:t>
            </w:r>
          </w:p>
        </w:tc>
      </w:tr>
      <w:tr>
        <w:trPr>
          <w:trHeight w:val="27"/>
        </w:trPr>
        <w:tc>
          <w:tcPr>
            <w:tcW w:w="9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consideration</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w:t>
            </w:r>
          </w:p>
        </w:tc>
      </w:tr>
      <w:tr>
        <w:trPr>
          <w:trHeight w:val="263"/>
        </w:trPr>
        <w:tc>
          <w:tcPr>
            <w:tcW w:w="968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760.1</w:t>
            </w:r>
          </w:p>
        </w:tc>
      </w:tr>
      <w:tr>
        <w:trPr>
          <w:trHeight w:val="20"/>
        </w:trPr>
        <w:tc>
          <w:tcPr>
            <w:tcW w:w="9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accordance with the purchase agreement, the Company agreed to pay deferred consideration of $25.0 million and $10.0 million on the first and second anniversary of the Pre-Acquisition ZI acquisition, respectively. As of March 31, 2020, $9.7 million is recorded in </w:t>
      </w:r>
      <w:r>
        <w:rPr>
          <w:rFonts w:ascii="Arial" w:cs="Arial" w:eastAsia="Arial" w:hAnsi="Arial"/>
          <w:sz w:val="18"/>
          <w:szCs w:val="18"/>
          <w:i w:val="1"/>
          <w:iCs w:val="1"/>
          <w:color w:val="auto"/>
        </w:rPr>
        <w:t>Accrued expenses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liabilities </w:t>
      </w:r>
      <w:r>
        <w:rPr>
          <w:rFonts w:ascii="Arial" w:cs="Arial" w:eastAsia="Arial" w:hAnsi="Arial"/>
          <w:sz w:val="18"/>
          <w:szCs w:val="18"/>
          <w:color w:val="auto"/>
        </w:rPr>
        <w:t>on the Company’s consolidated balance sheets representing the present value of the $10.0 deferred consideration to be paid in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deferred consideration payments was determined using a present value calculation. The following table summarizes the fair values of the assets acquired and liabilities assumed, as of the date of acquisition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58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22.1</w:t>
            </w:r>
          </w:p>
        </w:tc>
      </w:tr>
      <w:tr>
        <w:trPr>
          <w:trHeight w:val="27"/>
        </w:trPr>
        <w:tc>
          <w:tcPr>
            <w:tcW w:w="44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5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6.3</w:t>
            </w:r>
          </w:p>
        </w:tc>
      </w:tr>
      <w:tr>
        <w:trPr>
          <w:trHeight w:val="27"/>
        </w:trPr>
        <w:tc>
          <w:tcPr>
            <w:tcW w:w="44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5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322.0</w:t>
            </w:r>
          </w:p>
        </w:tc>
      </w:tr>
      <w:tr>
        <w:trPr>
          <w:trHeight w:val="27"/>
        </w:trPr>
        <w:tc>
          <w:tcPr>
            <w:tcW w:w="44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liabilities</w:t>
            </w:r>
          </w:p>
        </w:tc>
        <w:tc>
          <w:tcPr>
            <w:tcW w:w="5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5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44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5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5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44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5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245.3</w:t>
            </w:r>
          </w:p>
        </w:tc>
      </w:tr>
      <w:tr>
        <w:trPr>
          <w:trHeight w:val="243"/>
        </w:trPr>
        <w:tc>
          <w:tcPr>
            <w:tcW w:w="4440" w:type="dxa"/>
            <w:vAlign w:val="bottom"/>
          </w:tcPr>
          <w:p>
            <w:pPr>
              <w:ind w:left="460"/>
              <w:spacing w:after="0"/>
              <w:rPr>
                <w:sz w:val="20"/>
                <w:szCs w:val="20"/>
                <w:color w:val="auto"/>
              </w:rPr>
            </w:pPr>
            <w:r>
              <w:rPr>
                <w:rFonts w:ascii="Arial" w:cs="Arial" w:eastAsia="Arial" w:hAnsi="Arial"/>
                <w:sz w:val="18"/>
                <w:szCs w:val="18"/>
                <w:color w:val="auto"/>
              </w:rPr>
              <w:t>Goodwill</w:t>
            </w:r>
          </w:p>
        </w:tc>
        <w:tc>
          <w:tcPr>
            <w:tcW w:w="5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514.8</w:t>
            </w:r>
          </w:p>
        </w:tc>
      </w:tr>
      <w:tr>
        <w:trPr>
          <w:trHeight w:val="27"/>
        </w:trPr>
        <w:tc>
          <w:tcPr>
            <w:tcW w:w="44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580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760.1</w:t>
            </w:r>
          </w:p>
        </w:tc>
      </w:tr>
      <w:tr>
        <w:trPr>
          <w:trHeight w:val="237"/>
        </w:trPr>
        <w:tc>
          <w:tcPr>
            <w:tcW w:w="4440" w:type="dxa"/>
            <w:vAlign w:val="bottom"/>
          </w:tcPr>
          <w:p>
            <w:pPr>
              <w:ind w:left="460"/>
              <w:spacing w:after="0"/>
              <w:rPr>
                <w:sz w:val="20"/>
                <w:szCs w:val="20"/>
                <w:color w:val="auto"/>
              </w:rPr>
            </w:pPr>
            <w:r>
              <w:rPr>
                <w:rFonts w:ascii="Arial" w:cs="Arial" w:eastAsia="Arial" w:hAnsi="Arial"/>
                <w:sz w:val="18"/>
                <w:szCs w:val="18"/>
                <w:color w:val="auto"/>
              </w:rPr>
              <w:t>Deferred consideration</w:t>
            </w:r>
          </w:p>
        </w:tc>
        <w:tc>
          <w:tcPr>
            <w:tcW w:w="52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w:t>
            </w:r>
          </w:p>
        </w:tc>
      </w:tr>
      <w:tr>
        <w:trPr>
          <w:trHeight w:val="27"/>
        </w:trPr>
        <w:tc>
          <w:tcPr>
            <w:tcW w:w="44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acquired</w:t>
            </w:r>
          </w:p>
        </w:tc>
        <w:tc>
          <w:tcPr>
            <w:tcW w:w="5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63"/>
        </w:trPr>
        <w:tc>
          <w:tcPr>
            <w:tcW w:w="444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52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714.8</w:t>
            </w:r>
          </w:p>
        </w:tc>
      </w:tr>
      <w:tr>
        <w:trPr>
          <w:trHeight w:val="21"/>
        </w:trPr>
        <w:tc>
          <w:tcPr>
            <w:tcW w:w="44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84"/>
        </w:trPr>
        <w:tc>
          <w:tcPr>
            <w:tcW w:w="4440" w:type="dxa"/>
            <w:vAlign w:val="bottom"/>
          </w:tcPr>
          <w:p>
            <w:pPr>
              <w:spacing w:after="0"/>
              <w:rPr>
                <w:sz w:val="24"/>
                <w:szCs w:val="24"/>
                <w:color w:val="auto"/>
              </w:rPr>
            </w:pPr>
          </w:p>
        </w:tc>
        <w:tc>
          <w:tcPr>
            <w:tcW w:w="5800" w:type="dxa"/>
            <w:vAlign w:val="bottom"/>
            <w:gridSpan w:val="2"/>
          </w:tcPr>
          <w:p>
            <w:pPr>
              <w:jc w:val="right"/>
              <w:ind w:right="4350"/>
              <w:spacing w:after="0"/>
              <w:rPr>
                <w:sz w:val="20"/>
                <w:szCs w:val="20"/>
                <w:color w:val="auto"/>
              </w:rPr>
            </w:pPr>
            <w:r>
              <w:rPr>
                <w:rFonts w:ascii="Arial" w:cs="Arial" w:eastAsia="Arial" w:hAnsi="Arial"/>
                <w:sz w:val="18"/>
                <w:szCs w:val="18"/>
                <w:color w:val="auto"/>
              </w:rPr>
              <w:t>F-59</w:t>
            </w:r>
          </w:p>
        </w:tc>
        <w:tc>
          <w:tcPr>
            <w:tcW w:w="10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85" w:name="page286"/>
    <w:bookmarkEnd w:id="28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acquired unearned revenue was $34.5 million which differs from the unearned revenue recorded by Pre-Acquisition ZI immediately prior to the acquisition of $68.3 million. The acquired unearned revenue, net of the $33.8 million fair value adjustment, will be recognized as revenue over a period of approximately one year, which represents the period the related contracted services will be provided.</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the acquisition date, the potential value of future payments under the Cash Vesting Payment Program was $23.1 million to be paid to employees through 2022, assuming continued employment for each employee. The Company recognized $8.8 million of expense under the Cash Vesting Program for the year ended December 31, 2019.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 of acquisition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5.8 years</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15.0 years</w:t>
            </w:r>
          </w:p>
        </w:tc>
        <w:tc>
          <w:tcPr>
            <w:tcW w:w="0" w:type="dxa"/>
            <w:vAlign w:val="bottom"/>
          </w:tcPr>
          <w:p>
            <w:pPr>
              <w:spacing w:after="0"/>
              <w:rPr>
                <w:sz w:val="1"/>
                <w:szCs w:val="1"/>
                <w:color w:val="auto"/>
              </w:rPr>
            </w:pPr>
          </w:p>
        </w:tc>
      </w:tr>
      <w:tr>
        <w:trPr>
          <w:trHeight w:val="264"/>
        </w:trPr>
        <w:tc>
          <w:tcPr>
            <w:tcW w:w="800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ZoomInfo’s technology. The goodwill balance is not expected to be deductible for U.S. income tax purposes.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121" w:right="339" w:bottom="1440" w:gutter="0" w:footer="0" w:header="0"/>
        </w:sectPr>
      </w:pPr>
    </w:p>
    <w:bookmarkStart w:id="286" w:name="page287"/>
    <w:bookmarkEnd w:id="28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fixed assets consist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6"/>
                <w:szCs w:val="16"/>
                <w:color w:val="auto"/>
              </w:rPr>
            </w:pPr>
          </w:p>
        </w:tc>
        <w:tc>
          <w:tcPr>
            <w:tcW w:w="1220" w:type="dxa"/>
            <w:vAlign w:val="bottom"/>
          </w:tcPr>
          <w:p>
            <w:pPr>
              <w:jc w:val="right"/>
              <w:ind w:right="274"/>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79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196"/>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220" w:type="dxa"/>
            <w:vAlign w:val="bottom"/>
          </w:tcPr>
          <w:p>
            <w:pPr>
              <w:spacing w:after="0"/>
              <w:rPr>
                <w:sz w:val="17"/>
                <w:szCs w:val="17"/>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4.8</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Internal use developed software</w:t>
            </w:r>
          </w:p>
        </w:tc>
        <w:tc>
          <w:tcPr>
            <w:tcW w:w="30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19.7</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r>
      <w:tr>
        <w:trPr>
          <w:trHeight w:val="237"/>
        </w:trPr>
        <w:tc>
          <w:tcPr>
            <w:tcW w:w="79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34.5</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r>
      <w:tr>
        <w:trPr>
          <w:trHeight w:val="264"/>
        </w:trPr>
        <w:tc>
          <w:tcPr>
            <w:tcW w:w="798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23.3</w:t>
            </w: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$1.9 million and $1.1 million for the three months ended March 31, 2020 and March 31, 2019,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Acquired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consisted of the following as of March 31, 2020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 Period in</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229.6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95.8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Brand portfolio</w:t>
            </w:r>
          </w:p>
        </w:tc>
        <w:tc>
          <w:tcPr>
            <w:tcW w:w="5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437.1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Pre-Acquisition ZI brand portfolio</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966.8</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was $10.3 million and $9.2 million for the three months ended March 31, 2020 and March 31, 2019,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rPr>
              <w:t>The following summarizes changes to the Company’s goodwill (in millions):</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966.8</w:t>
            </w:r>
          </w:p>
        </w:tc>
      </w:tr>
      <w:tr>
        <w:trPr>
          <w:trHeight w:val="243"/>
        </w:trPr>
        <w:tc>
          <w:tcPr>
            <w:tcW w:w="9680" w:type="dxa"/>
            <w:vAlign w:val="bottom"/>
          </w:tcPr>
          <w:p>
            <w:pPr>
              <w:ind w:left="220"/>
              <w:spacing w:after="0"/>
              <w:rPr>
                <w:sz w:val="20"/>
                <w:szCs w:val="20"/>
                <w:color w:val="auto"/>
              </w:rPr>
            </w:pPr>
            <w:r>
              <w:rPr>
                <w:rFonts w:ascii="Arial" w:cs="Arial" w:eastAsia="Arial" w:hAnsi="Arial"/>
                <w:sz w:val="18"/>
                <w:szCs w:val="18"/>
                <w:color w:val="auto"/>
              </w:rPr>
              <w:t>Acquisition</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966.8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three months ended March 31, 2020 or March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conjunction with the acquisition of Pre-Acquisition ZI on February 1, 2019, ZoomInfo raised $965 million of first lien debt (including a $100 million revolving credit facility), $370 million of second lien debt, and issued 51.8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121" w:right="339" w:bottom="1440" w:gutter="0" w:footer="0" w:header="0"/>
        </w:sectPr>
      </w:pPr>
    </w:p>
    <w:bookmarkStart w:id="287" w:name="page288"/>
    <w:bookmarkEnd w:id="28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million of Series A Preferred Units in exchange for $200.2 million, net of issuance costs. In addition to funding the purchase of Pre-Acquisition ZI, the proceeds were using to repay the Antares First Lien Term Loan, the Goldman Second Lien Term Loan, and the Subordinated Loan described below.</w:t>
      </w:r>
    </w:p>
    <w:p>
      <w:pPr>
        <w:spacing w:after="0" w:line="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February 19, 2020, the Company completed a repricing of its First Lien Term Loan Facility in order to take advantage of currently available lower interest rates. The repricing decreases the interest rate by 50 basis points to LIBOR plus 4.00% per annum. The Company’s interest rate swap agreements are unaffected by this repricing and effectively fix the interest rate on the portion of the First Lien Term Loan Facility hedged by the interest rate swaps at 6.301%. The transaction did not include additional borrowings, and the maturity date of the financing arrangement remained unchanged. The Company recognized a $2.2 million loss on the extinguishment of debt relating to the write-off of unamortized issuance costs.</w:t>
      </w:r>
    </w:p>
    <w:p>
      <w:pPr>
        <w:spacing w:after="0" w:line="1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first lien debt has a variable interest rate whereby the Company can elect to use a Base Rate or the London Interbank Offer Rate (“LIBOR”) plus an applicable rate. The applicable margin is 2.75% to 3.0% for Base Rate loans or 3.75% or 4.0% for LIBOR Based Loans, depending on the Company’s leverage. The first lien borrowings are to be repaid quarterly in the amount of $2.2 million with the final payment due on February 1, 2026. The effective interest rate on the first lien debt was 5.4% and 7.5% as of March 31, 2020 and December 31, 2019, respectively.</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On March 25th, 2020, the Company drew down $35.0 million under the revolving credit facility. Any outstanding borrowings under the revolving credit facility must be repaid by February 1, 2024.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Arial" w:cs="Arial" w:eastAsia="Arial" w:hAnsi="Arial"/>
          <w:sz w:val="17"/>
          <w:szCs w:val="17"/>
          <w:i w:val="1"/>
          <w:iCs w:val="1"/>
          <w:color w:val="auto"/>
        </w:rPr>
        <w:t>Deferred costs, net of current portion</w:t>
      </w:r>
      <w:r>
        <w:rPr>
          <w:rFonts w:ascii="Arial" w:cs="Arial" w:eastAsia="Arial" w:hAnsi="Arial"/>
          <w:sz w:val="17"/>
          <w:szCs w:val="17"/>
          <w:color w:val="auto"/>
        </w:rPr>
        <w:t xml:space="preserve"> on the accompanying consolidated balance sheets were immaterial as of March 31, 2020 and December 31, 2019, respectively. The effective interest rate on the revolving credit facility was 5.0% as of March 31, 2020.</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second lien debt has a variable interest rate whereby the Company can elect to use a Base Rate or LIBOR plus an applicable rate. The applicable rate is 7.5% for Base Rate loans or 8.5% for LIBOR Based Loans. The second lien borrowings must be repaid on February 1, 2027. Under certain conditions, the Company will owe a prepayment penalty of 1%, if the Company repays the loans before February 1, 2021. The effective interest rate on the second lien debt was 10.4% and 11.9% as of March 31, 2020 and December 31, 2019, respectively.</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first and second lien credit agreements are secured by substantially all the productive assets of the Company. The first and second lien credit agreement contains a number of covenants that restrict, subject to certain exceptions, the Company’s ability to, among other things:</w:t>
      </w:r>
    </w:p>
    <w:p>
      <w:pPr>
        <w:spacing w:after="0" w:line="92" w:lineRule="exact"/>
        <w:rPr>
          <w:sz w:val="20"/>
          <w:szCs w:val="20"/>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121" w:right="339" w:bottom="1440" w:gutter="0" w:footer="0" w:header="0"/>
        </w:sectPr>
      </w:pPr>
    </w:p>
    <w:bookmarkStart w:id="288" w:name="page289"/>
    <w:bookmarkEnd w:id="28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various actions, including the acceleration of amounts due under the credit agreements and all actions permitted to be taken by a secured creditor.</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Series A Preferred Units have preference with respect to cash flows generated by ZoomInfo and will receive proceeds from future distributions on a preferential basis for the value of the preferred plus accrued but unpaid interest at an annual rate of 15%. Refer to </w:t>
      </w:r>
      <w:r>
        <w:rPr>
          <w:rFonts w:ascii="Arial" w:cs="Arial" w:eastAsia="Arial" w:hAnsi="Arial"/>
          <w:sz w:val="18"/>
          <w:szCs w:val="18"/>
          <w:b w:val="1"/>
          <w:bCs w:val="1"/>
          <w:color w:val="auto"/>
        </w:rPr>
        <w:t>Note 12</w:t>
      </w:r>
      <w:r>
        <w:rPr>
          <w:rFonts w:ascii="Arial" w:cs="Arial" w:eastAsia="Arial" w:hAnsi="Arial"/>
          <w:sz w:val="18"/>
          <w:szCs w:val="18"/>
          <w:color w:val="auto"/>
        </w:rPr>
        <w:t xml:space="preserve"> for additional discussion regarding Series A Preferred Units.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and December 31, 2019, the carrying values of the Company’s borrowings were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Date of Issuance</w:t>
            </w:r>
          </w:p>
        </w:tc>
        <w:tc>
          <w:tcPr>
            <w:tcW w:w="100" w:type="dxa"/>
            <w:vAlign w:val="bottom"/>
            <w:vMerge w:val="restart"/>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vMerge w:val="restart"/>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Elected Interest Rate</w:t>
            </w:r>
          </w:p>
        </w:tc>
        <w:tc>
          <w:tcPr>
            <w:tcW w:w="100" w:type="dxa"/>
            <w:vAlign w:val="bottom"/>
            <w:vMerge w:val="restart"/>
          </w:tcPr>
          <w:p>
            <w:pPr>
              <w:spacing w:after="0"/>
              <w:rPr>
                <w:sz w:val="14"/>
                <w:szCs w:val="14"/>
                <w:color w:val="auto"/>
              </w:rPr>
            </w:pPr>
          </w:p>
        </w:tc>
        <w:tc>
          <w:tcPr>
            <w:tcW w:w="1540" w:type="dxa"/>
            <w:vAlign w:val="bottom"/>
            <w:gridSpan w:val="3"/>
          </w:tcPr>
          <w:p>
            <w:pPr>
              <w:ind w:left="100"/>
              <w:spacing w:after="0"/>
              <w:rPr>
                <w:sz w:val="20"/>
                <w:szCs w:val="20"/>
                <w:color w:val="auto"/>
              </w:rPr>
            </w:pPr>
            <w:r>
              <w:rPr>
                <w:rFonts w:ascii="Arial" w:cs="Arial" w:eastAsia="Arial" w:hAnsi="Arial"/>
                <w:sz w:val="14"/>
                <w:szCs w:val="14"/>
                <w:b w:val="1"/>
                <w:bCs w:val="1"/>
                <w:color w:val="auto"/>
              </w:rPr>
              <w:t>Carrying value as of</w:t>
            </w:r>
          </w:p>
        </w:tc>
        <w:tc>
          <w:tcPr>
            <w:tcW w:w="14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70"/>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Lien Term Loan</w:t>
            </w:r>
          </w:p>
        </w:tc>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1, 2019</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1, 2026</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LIBOR + 4.0%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841.5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70"/>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First Lien Revolver</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1, 2019</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1, 2024</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LIBOR + 4.0%</w:t>
            </w:r>
          </w:p>
        </w:tc>
        <w:tc>
          <w:tcPr>
            <w:tcW w:w="18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5"/>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Second Lien Term Loan</w:t>
            </w: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1, 2019</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1, 2027</w:t>
            </w:r>
          </w:p>
        </w:tc>
        <w:tc>
          <w:tcPr>
            <w:tcW w:w="2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LIBOR + 8.5%</w:t>
            </w:r>
          </w:p>
        </w:tc>
        <w:tc>
          <w:tcPr>
            <w:tcW w:w="1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rPr>
              <w:t>Total Carrying Value of</w:t>
            </w: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0" w:type="dxa"/>
            <w:vAlign w:val="bottom"/>
            <w:gridSpan w:val="2"/>
            <w:vMerge w:val="continue"/>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73"/>
              <w:spacing w:after="0"/>
              <w:rPr>
                <w:sz w:val="20"/>
                <w:szCs w:val="20"/>
                <w:color w:val="auto"/>
              </w:rPr>
            </w:pPr>
            <w:r>
              <w:rPr>
                <w:rFonts w:ascii="Arial" w:cs="Arial" w:eastAsia="Arial" w:hAnsi="Arial"/>
                <w:sz w:val="18"/>
                <w:szCs w:val="18"/>
                <w:color w:val="auto"/>
              </w:rPr>
              <w:t>1,238.8</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ind w:right="73"/>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230"/>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Debt</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current portion</w:t>
            </w:r>
          </w:p>
        </w:tc>
        <w:tc>
          <w:tcPr>
            <w:tcW w:w="1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63"/>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Total Long Term Debt</w:t>
            </w: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future principal payments for all borrowings as of March 31, 2020 is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Maturity</w:t>
            </w: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Discounts and Issuance</w:t>
            </w:r>
          </w:p>
        </w:tc>
        <w:tc>
          <w:tcPr>
            <w:tcW w:w="240" w:type="dxa"/>
            <w:vAlign w:val="bottom"/>
          </w:tcPr>
          <w:p>
            <w:pPr>
              <w:spacing w:after="0"/>
              <w:rPr>
                <w:sz w:val="14"/>
                <w:szCs w:val="14"/>
                <w:color w:val="auto"/>
              </w:rPr>
            </w:pPr>
          </w:p>
        </w:tc>
        <w:tc>
          <w:tcPr>
            <w:tcW w:w="13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Costs</w:t>
            </w: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w:t>
            </w:r>
          </w:p>
        </w:tc>
        <w:tc>
          <w:tcPr>
            <w:tcW w:w="34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420" w:type="dxa"/>
            <w:vAlign w:val="bottom"/>
          </w:tcPr>
          <w:p>
            <w:pPr>
              <w:ind w:left="46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420" w:type="dxa"/>
            <w:vAlign w:val="bottom"/>
          </w:tcPr>
          <w:p>
            <w:pPr>
              <w:ind w:left="46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3420" w:type="dxa"/>
            <w:vAlign w:val="bottom"/>
          </w:tcPr>
          <w:p>
            <w:pPr>
              <w:ind w:left="46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1,220.1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1,219.8</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900" w:type="dxa"/>
            <w:vAlign w:val="bottom"/>
            <w:tcBorders>
              <w:bottom w:val="single" w:sz="8" w:color="CCEEFF"/>
            </w:tcBorders>
            <w:shd w:val="clear" w:color="auto" w:fill="CCEEFF"/>
          </w:tcPr>
          <w:p>
            <w:pPr>
              <w:spacing w:after="0"/>
              <w:rPr>
                <w:sz w:val="24"/>
                <w:szCs w:val="24"/>
                <w:color w:val="auto"/>
              </w:rPr>
            </w:pPr>
          </w:p>
        </w:tc>
        <w:tc>
          <w:tcPr>
            <w:tcW w:w="3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1,261.4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1,238.8</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changes in interest rates, primarily relating to changes in interest rates as a result of our term loans, which have variable interest rates. Consequently, from time to time, we may use interest rate swaps or other financial instruments to manage our exposure to interest rate movements. We do not enter into derivative transactions for speculative or trading purposes.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derivative instruments and hedging activities on a gross basis as either assets or liabilities on our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121" w:right="339" w:bottom="1440" w:gutter="0" w:footer="0" w:header="0"/>
        </w:sectPr>
      </w:pPr>
    </w:p>
    <w:bookmarkStart w:id="289" w:name="page290"/>
    <w:bookmarkEnd w:id="28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Derivatives and Hedging Activities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2019, we entered into two separate interest rate swap agreements effectively converting $350 million of floating rate debt under our first lien credit facility to fixed rate obligations. In April 2019, we also entered into a $500 million interest rate cap. These agreements have been designated and qualify as cash flow hedging instruments and, as such, changes in the fair value are recorded in accumulated other comprehensive income (loss) on our consolidated balance sheets to the extent the agreements are effective hedges.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2020, the Company had the following outstanding interest rate derivatives that were designated as cash flow hedges of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Interest Rate Derivatives</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Instruments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 Aggregate</w:t>
            </w:r>
          </w:p>
        </w:tc>
        <w:tc>
          <w:tcPr>
            <w:tcW w:w="18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Interest Cap / Swap Rate</w:t>
            </w:r>
          </w:p>
        </w:tc>
        <w:tc>
          <w:tcPr>
            <w:tcW w:w="120" w:type="dxa"/>
            <w:vAlign w:val="bottom"/>
            <w:vMerge w:val="restart"/>
          </w:tcPr>
          <w:p>
            <w:pPr>
              <w:spacing w:after="0"/>
              <w:rPr>
                <w:sz w:val="14"/>
                <w:szCs w:val="14"/>
                <w:color w:val="auto"/>
              </w:rPr>
            </w:pPr>
          </w:p>
        </w:tc>
        <w:tc>
          <w:tcPr>
            <w:tcW w:w="17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8"/>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 contract</w:t>
            </w:r>
          </w:p>
        </w:tc>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One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5"/>
              </w:rPr>
              <w:t>April 30, 2024</w:t>
            </w:r>
          </w:p>
        </w:tc>
        <w:tc>
          <w:tcPr>
            <w:tcW w:w="0" w:type="dxa"/>
            <w:vAlign w:val="bottom"/>
          </w:tcPr>
          <w:p>
            <w:pPr>
              <w:spacing w:after="0"/>
              <w:rPr>
                <w:sz w:val="1"/>
                <w:szCs w:val="1"/>
                <w:color w:val="auto"/>
              </w:rPr>
            </w:pPr>
          </w:p>
        </w:tc>
      </w:tr>
      <w:tr>
        <w:trPr>
          <w:trHeight w:val="24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Two</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9"/>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780" w:type="dxa"/>
            <w:vAlign w:val="bottom"/>
          </w:tcPr>
          <w:p>
            <w:pPr>
              <w:ind w:left="700"/>
              <w:spacing w:after="0"/>
              <w:rPr>
                <w:sz w:val="20"/>
                <w:szCs w:val="20"/>
                <w:color w:val="auto"/>
              </w:rPr>
            </w:pPr>
            <w:r>
              <w:rPr>
                <w:rFonts w:ascii="Arial" w:cs="Arial" w:eastAsia="Arial" w:hAnsi="Arial"/>
                <w:sz w:val="18"/>
                <w:szCs w:val="18"/>
                <w:color w:val="auto"/>
                <w:w w:val="95"/>
              </w:rPr>
              <w:t>April 29, 2022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fair value and presentation in the Consolidated Balance Sheets for derivatives as of March 31, 2020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620"/>
        <w:spacing w:after="0"/>
        <w:rPr>
          <w:sz w:val="20"/>
          <w:szCs w:val="20"/>
          <w:color w:val="auto"/>
        </w:rPr>
      </w:pPr>
      <w:r>
        <w:rPr>
          <w:rFonts w:ascii="Arial" w:cs="Arial" w:eastAsia="Arial" w:hAnsi="Arial"/>
          <w:sz w:val="13"/>
          <w:szCs w:val="13"/>
          <w:b w:val="1"/>
          <w:bCs w:val="1"/>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44234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portion of long-term debt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long-term liabilities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Unrealized Gains (Losses) Recognized in Other Comprehensive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26231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18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16"/>
                <w:szCs w:val="16"/>
                <w:color w:val="auto"/>
              </w:rPr>
            </w:pPr>
          </w:p>
        </w:tc>
        <w:tc>
          <w:tcPr>
            <w:tcW w:w="1760" w:type="dxa"/>
            <w:vAlign w:val="bottom"/>
          </w:tcPr>
          <w:p>
            <w:pPr>
              <w:jc w:val="right"/>
              <w:ind w:right="355"/>
              <w:spacing w:after="0"/>
              <w:rPr>
                <w:sz w:val="20"/>
                <w:szCs w:val="20"/>
                <w:color w:val="auto"/>
              </w:rPr>
            </w:pPr>
            <w:r>
              <w:rPr>
                <w:rFonts w:ascii="Arial" w:cs="Arial" w:eastAsia="Arial" w:hAnsi="Arial"/>
                <w:sz w:val="14"/>
                <w:szCs w:val="14"/>
                <w:b w:val="1"/>
                <w:bCs w:val="1"/>
                <w:color w:val="auto"/>
              </w:rPr>
              <w:t>December 31, 2019</w:t>
            </w:r>
          </w:p>
        </w:tc>
      </w:tr>
      <w:tr>
        <w:trPr>
          <w:trHeight w:val="243"/>
        </w:trPr>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2.6</w:t>
            </w:r>
          </w:p>
        </w:tc>
      </w:tr>
      <w:tr>
        <w:trPr>
          <w:trHeight w:val="270"/>
        </w:trPr>
        <w:tc>
          <w:tcPr>
            <w:tcW w:w="320" w:type="dxa"/>
            <w:vAlign w:val="bottom"/>
          </w:tcPr>
          <w:p>
            <w:pPr>
              <w:spacing w:after="0"/>
              <w:rPr>
                <w:sz w:val="23"/>
                <w:szCs w:val="23"/>
                <w:color w:val="auto"/>
              </w:rPr>
            </w:pPr>
          </w:p>
        </w:tc>
        <w:tc>
          <w:tcPr>
            <w:tcW w:w="1700" w:type="dxa"/>
            <w:vAlign w:val="bottom"/>
          </w:tcPr>
          <w:p>
            <w:pPr>
              <w:jc w:val="right"/>
              <w:ind w:right="75"/>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jc w:val="right"/>
              <w:ind w:right="75"/>
              <w:spacing w:after="0"/>
              <w:rPr>
                <w:sz w:val="20"/>
                <w:szCs w:val="20"/>
                <w:color w:val="auto"/>
              </w:rPr>
            </w:pPr>
            <w:r>
              <w:rPr>
                <w:rFonts w:ascii="Arial" w:cs="Arial" w:eastAsia="Arial" w:hAnsi="Arial"/>
                <w:sz w:val="18"/>
                <w:szCs w:val="18"/>
                <w:color w:val="auto"/>
              </w:rPr>
              <w:t>3.4</w:t>
            </w:r>
          </w:p>
        </w:tc>
      </w:tr>
      <w:tr>
        <w:trPr>
          <w:trHeight w:val="27"/>
        </w:trPr>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5"/>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75"/>
              <w:spacing w:after="0"/>
              <w:rPr>
                <w:sz w:val="20"/>
                <w:szCs w:val="20"/>
                <w:color w:val="auto"/>
              </w:rPr>
            </w:pPr>
            <w:r>
              <w:rPr>
                <w:rFonts w:ascii="Arial" w:cs="Arial" w:eastAsia="Arial" w:hAnsi="Arial"/>
                <w:sz w:val="18"/>
                <w:szCs w:val="18"/>
                <w:color w:val="auto"/>
              </w:rPr>
              <w:t>6.0</w:t>
            </w:r>
          </w:p>
        </w:tc>
      </w:tr>
      <w:tr>
        <w:trPr>
          <w:trHeight w:val="27"/>
        </w:trPr>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-213995</wp:posOffset>
            </wp:positionV>
            <wp:extent cx="7115175" cy="1974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15175" cy="1974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-565150</wp:posOffset>
            </wp:positionV>
            <wp:extent cx="7115175"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6360" w:space="720"/>
            <w:col w:w="4160"/>
          </w:cols>
          <w:pgMar w:left="320" w:top="121" w:right="339" w:bottom="1440" w:gutter="0" w:footer="0" w:header="0"/>
          <w:type w:val="continuous"/>
        </w:sectPr>
      </w:pPr>
    </w:p>
    <w:p>
      <w:pPr>
        <w:jc w:val="both"/>
        <w:ind w:firstLine="324"/>
        <w:spacing w:after="0" w:line="286" w:lineRule="auto"/>
        <w:rPr>
          <w:sz w:val="20"/>
          <w:szCs w:val="20"/>
          <w:color w:val="auto"/>
        </w:rPr>
      </w:pPr>
      <w:r>
        <w:rPr>
          <w:rFonts w:ascii="Arial" w:cs="Arial" w:eastAsia="Arial" w:hAnsi="Arial"/>
          <w:sz w:val="17"/>
          <w:szCs w:val="17"/>
          <w:color w:val="auto"/>
        </w:rPr>
        <w:t>In the period that the hedged item affects earnings, such as when interest payments are made on the Company’s variable-rate debt, we reclassify the related gain or loss on the interest rate swap cash flow hedges to interest expense and as operating cash flows in our Consolidated Statements of Cash Flows. Any ineffectiveness in our hedging relationships would be recognized immediately in as interest expense.</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Amounts reclassified from accumulated other comprehensive loss into earnings related to the Company’s derivative instruments designated as cash flow hedging instruments for each of the reporting periods was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are the disclosures related to our assets and (liabilities) that are measured at fair value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 at March 31, 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Level 3</w:t>
            </w:r>
          </w:p>
        </w:tc>
      </w:tr>
      <w:tr>
        <w:trPr>
          <w:trHeight w:val="249"/>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Derivative contract,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9"/>
        </w:trPr>
        <w:tc>
          <w:tcPr>
            <w:tcW w:w="6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r>
      <w:tr>
        <w:trPr>
          <w:trHeight w:val="453"/>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Level 3</w:t>
            </w: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Derivative contract,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8"/>
        </w:trPr>
        <w:tc>
          <w:tcPr>
            <w:tcW w:w="6320" w:type="dxa"/>
            <w:vAlign w:val="bottom"/>
            <w:gridSpan w:val="2"/>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Impaired right-of-use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w:t>
            </w:r>
          </w:p>
        </w:tc>
      </w:tr>
      <w:tr>
        <w:trPr>
          <w:trHeight w:val="378"/>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Note 9 - Commitments and Contingencies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Sales and use tax </w:t>
      </w:r>
      <w:r>
        <w:rPr>
          <w:rFonts w:ascii="Arial" w:cs="Arial" w:eastAsia="Arial" w:hAnsi="Arial"/>
          <w:sz w:val="18"/>
          <w:szCs w:val="18"/>
          <w:color w:val="auto"/>
        </w:rPr>
        <w:t>- The Company has conducted an assessment of sales and use tax exposure in states where the Company has established nexus.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this assessment, the Company has recorded a liability for taxes owed and related penalties and interest in the amount of $1.7 million and $2.1 million at March 31, 2020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121" w:right="339" w:bottom="1440" w:gutter="0" w:footer="0" w:header="0"/>
          <w:type w:val="continuous"/>
        </w:sectPr>
      </w:pPr>
    </w:p>
    <w:bookmarkStart w:id="290" w:name="page291"/>
    <w:bookmarkEnd w:id="29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December 31, 2019, respectively. This liability is included 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in the consolidated balance sheets.</w:t>
      </w:r>
    </w:p>
    <w:p>
      <w:pPr>
        <w:spacing w:after="0" w:line="179"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Contingent earnout payments </w:t>
      </w:r>
      <w:r>
        <w:rPr>
          <w:rFonts w:ascii="Arial" w:cs="Arial" w:eastAsia="Arial" w:hAnsi="Arial"/>
          <w:sz w:val="18"/>
          <w:szCs w:val="18"/>
          <w:color w:val="auto"/>
        </w:rPr>
        <w:t>- In addition Komiko potential earnout payment of $4.0 million (refer to Note 4 for additional information),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contingently committed to making additional payments of up to $1.6 million as part of our acquisition of NeverBounce.</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Deferred acquisition related payments - </w:t>
      </w:r>
      <w:r>
        <w:rPr>
          <w:rFonts w:ascii="Arial" w:cs="Arial" w:eastAsia="Arial" w:hAnsi="Arial"/>
          <w:sz w:val="18"/>
          <w:szCs w:val="18"/>
          <w:color w:val="auto"/>
        </w:rPr>
        <w:t>In accordance with the purchase agreement, the Company will pay deferred consideration of $10.0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the 2nd anniversary of the </w:t>
      </w:r>
      <w:r>
        <w:rPr>
          <w:rFonts w:ascii="Arial" w:cs="Arial" w:eastAsia="Arial" w:hAnsi="Arial"/>
          <w:sz w:val="18"/>
          <w:szCs w:val="18"/>
          <w:i w:val="1"/>
          <w:iCs w:val="1"/>
          <w:color w:val="auto"/>
        </w:rPr>
        <w:t>Pre-acquisition ZI</w:t>
      </w:r>
      <w:r>
        <w:rPr>
          <w:rFonts w:ascii="Arial" w:cs="Arial" w:eastAsia="Arial" w:hAnsi="Arial"/>
          <w:sz w:val="18"/>
          <w:szCs w:val="18"/>
          <w:color w:val="auto"/>
        </w:rPr>
        <w:t xml:space="preserve"> acquisition. Refer to Note 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Adoption of Accounting Standards Codification (“ASC”) Topic 842, “Leases.” </w:t>
      </w:r>
      <w:r>
        <w:rPr>
          <w:rFonts w:ascii="Arial" w:cs="Arial" w:eastAsia="Arial" w:hAnsi="Arial"/>
          <w:sz w:val="17"/>
          <w:szCs w:val="17"/>
          <w:color w:val="auto"/>
        </w:rPr>
        <w:t>The Company adopted Topic 842 on January 1, 2019,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modified retrospective method and the optional transition method to record the adoption impact through a cumulative adjustment to equity. Results for reporting periods beginning after January 1, 2019, are presented under Topic 842, while prior periods are not adjusted and continue to be reported under the accounting standards in effect for those periods.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as we have elected the practical expedient to group lease and non-lease components for all real estate leases.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also has subleases of former corporate offices. Subleases have remaining lease terms of 1 year to 6 years. Sublease income, which is recorded as a reduction of rent expense and allocated to the appropriate financial statement line item to arrive at </w:t>
      </w:r>
      <w:r>
        <w:rPr>
          <w:rFonts w:ascii="Arial" w:cs="Arial" w:eastAsia="Arial" w:hAnsi="Arial"/>
          <w:sz w:val="18"/>
          <w:szCs w:val="18"/>
          <w:i w:val="1"/>
          <w:iCs w:val="1"/>
          <w:color w:val="auto"/>
        </w:rPr>
        <w:t>Income from operations</w:t>
      </w:r>
      <w:r>
        <w:rPr>
          <w:rFonts w:ascii="Arial" w:cs="Arial" w:eastAsia="Arial" w:hAnsi="Arial"/>
          <w:sz w:val="18"/>
          <w:szCs w:val="18"/>
          <w:color w:val="auto"/>
        </w:rPr>
        <w:t xml:space="preserve"> in the consolidated statements of operations was immaterial for the three months ended March 31, 2020 and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additional details related to leases recorded on our balance sheet as of March 31, 2020 and 2019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Leases</w:t>
            </w:r>
          </w:p>
        </w:tc>
        <w:tc>
          <w:tcPr>
            <w:tcW w:w="120" w:type="dxa"/>
            <w:vAlign w:val="bottom"/>
            <w:vMerge w:val="restart"/>
          </w:tcPr>
          <w:p>
            <w:pPr>
              <w:spacing w:after="0"/>
              <w:rPr>
                <w:sz w:val="14"/>
                <w:szCs w:val="14"/>
                <w:color w:val="auto"/>
              </w:rPr>
            </w:pPr>
          </w:p>
        </w:tc>
        <w:tc>
          <w:tcPr>
            <w:tcW w:w="21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March 31,</w:t>
            </w:r>
          </w:p>
        </w:tc>
        <w:tc>
          <w:tcPr>
            <w:tcW w:w="120" w:type="dxa"/>
            <w:vAlign w:val="bottom"/>
          </w:tcPr>
          <w:p>
            <w:pPr>
              <w:spacing w:after="0"/>
              <w:rPr>
                <w:sz w:val="14"/>
                <w:szCs w:val="14"/>
                <w:color w:val="auto"/>
              </w:rPr>
            </w:pPr>
          </w:p>
        </w:tc>
        <w:tc>
          <w:tcPr>
            <w:tcW w:w="144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Balance at March 31,</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 (Unaudited)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 (Unaudited)</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 net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7"/>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7"/>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was $1.7 million and $1.3 million for the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121" w:right="339" w:bottom="1440" w:gutter="0" w:footer="0" w:header="0"/>
        </w:sectPr>
      </w:pPr>
    </w:p>
    <w:bookmarkStart w:id="291" w:name="page292"/>
    <w:bookmarkEnd w:id="29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leases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 (in millions)</w:t>
            </w:r>
          </w:p>
        </w:tc>
        <w:tc>
          <w:tcPr>
            <w:tcW w:w="120" w:type="dxa"/>
            <w:vAlign w:val="bottom"/>
            <w:gridSpan w:val="2"/>
            <w:vMerge w:val="restart"/>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4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7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March 31,2019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gridSpan w:val="4"/>
          </w:tcPr>
          <w:p>
            <w:pPr>
              <w:ind w:left="20"/>
              <w:spacing w:after="0"/>
              <w:rPr>
                <w:sz w:val="20"/>
                <w:szCs w:val="20"/>
                <w:color w:val="auto"/>
              </w:rPr>
            </w:pPr>
            <w:r>
              <w:rPr>
                <w:rFonts w:ascii="Arial" w:cs="Arial" w:eastAsia="Arial" w:hAnsi="Arial"/>
                <w:sz w:val="18"/>
                <w:szCs w:val="18"/>
                <w:color w:val="auto"/>
              </w:rPr>
              <w:t>From Zoom Information, Inc. acquisition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7"/>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612"/>
        </w:trPr>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March 31, 2020</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7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reconciles the undiscounted future minimum lease payments under non-cancelable leases to the total lease liabilities recognized on the condensed consolidated balance sheets as of March 31, 2020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 (excluded three months ended March 31, 2020)</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7.5</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7.2</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22.8</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56.8</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less effects of discounting</w:t>
            </w:r>
          </w:p>
        </w:tc>
        <w:tc>
          <w:tcPr>
            <w:tcW w:w="1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13.1</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9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43.7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Reported as of March 31, 2020</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4.2</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39.5</w:t>
            </w:r>
          </w:p>
        </w:tc>
      </w:tr>
      <w:tr>
        <w:trPr>
          <w:trHeight w:val="264"/>
        </w:trPr>
        <w:tc>
          <w:tcPr>
            <w:tcW w:w="9680" w:type="dxa"/>
            <w:vAlign w:val="bottom"/>
            <w:gridSpan w:val="2"/>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43.7</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table above does not include any legally binding minimum lease payments for leases signed but not yet commenced. As of March 31, 2020, all executed leases agreements have commenced and appropriately recorded on the balance sheet. Expense associated with short term leases and variable lease costs were immaterial for the 3 months ended March 31, 2020. The expense related to short-term leases reasonably reflects our short-term lease commitments.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Members’ Deficit</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Distributions to members are generally to be made in priority order, first to Series A Preferred Units up to the accrued yield of such units, then to Series A Preferred Units up to the initial investment level, then to Preferred Units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121" w:right="339" w:bottom="1440" w:gutter="0" w:footer="0" w:header="0"/>
        </w:sectPr>
      </w:pPr>
    </w:p>
    <w:bookmarkStart w:id="292" w:name="page293"/>
    <w:bookmarkEnd w:id="29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11 - Members’ Deficit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 to the initial investment level, then to Common Units up to the initial investment level, and then ratably to all units, with Class P Units participating in distributions once other units have achieved a specified Return Threshold.</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of March 31, 2020, there were 95,953,155 Preferred Units outstanding, 243,223,182 Common Units outstanding, and 17,066,454 Class P Units outstanding. As of December 31, 2019, there were 95,953,155 Preferred Units outstanding, 244,069,137 Common Units outstanding, and 17,174,166 Class P Units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Redeemable Series A Preferred Units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1, 2019, and in connection with the ZoomInfo acquisition (see Note 4 – Business Combinations), the Company issued 51.8 million Series A Preferred Units in exchange for $200.2 million, net of $0.6 million in issuance costs. As of March 31, 2020, there were 51.8 million units remained outstanding.</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Distributions on the Series A Preferred Units are payable on the initial liquidation preference amount of $4 per unit and on a cumulative basis at a priority return rate of 15% per annum, compounded semi-annually, until January 31, 2027, after which the priority return rate will increase in stages to a maximum of 17% per annum. Subject to certain exceptions, unless distributions on the Series A Preferred Units are declared and paid in cash for the then current distribution period and all preceding periods after the initial closing, the Company may not declare or pay distributions on or repurchase any of its equity securities with a priority equal with or junior to the Series A Preferred Units.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Following a change of control or liquidation event, the Company would be required to redeem the then current outstanding Series A Preferred Units at a redemption price equal to the liquidation preference plus all accumulated but unpaid distributions (collectively, the “liquidation value”). Due to these mandatory redemption features that are not entirely within the control of the Company and may not be associated with a final liquidation or termination of the Company, we have classified the Series Preferred A Units as a separate class of equity (i.e., mezzanine equity) in our consolidated balance sheet as of March 31, 2020. The Company will adjust the carrying balance once it is probable that the Series A Preferred Units will become redeemable.</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may, at its option, redeem the Series A Preferred Units in whole, or in part, at a price based on the redemption date as compared to January 31, 2021 (the “First Call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Applicable Period</w:t>
            </w:r>
          </w:p>
        </w:tc>
        <w:tc>
          <w:tcPr>
            <w:tcW w:w="5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Redemption Price</w:t>
            </w:r>
          </w:p>
        </w:tc>
      </w:tr>
      <w:tr>
        <w:trPr>
          <w:trHeight w:val="228"/>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to the First Call Date</w:t>
            </w: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Present value as of the redemption date of liquidation value as of</w:t>
            </w:r>
          </w:p>
        </w:tc>
      </w:tr>
      <w:tr>
        <w:trPr>
          <w:trHeight w:val="237"/>
        </w:trPr>
        <w:tc>
          <w:tcPr>
            <w:tcW w:w="62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First Call Date multiplied by 104%</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w w:val="93"/>
              </w:rPr>
              <w:t>On or after the First Call Date and prior to the first anniversary of the First Call Date</w:t>
            </w:r>
          </w:p>
        </w:tc>
        <w:tc>
          <w:tcPr>
            <w:tcW w:w="5020" w:type="dxa"/>
            <w:vAlign w:val="bottom"/>
          </w:tcPr>
          <w:p>
            <w:pPr>
              <w:ind w:left="100"/>
              <w:spacing w:after="0"/>
              <w:rPr>
                <w:sz w:val="20"/>
                <w:szCs w:val="20"/>
                <w:color w:val="auto"/>
              </w:rPr>
            </w:pPr>
            <w:r>
              <w:rPr>
                <w:rFonts w:ascii="Arial" w:cs="Arial" w:eastAsia="Arial" w:hAnsi="Arial"/>
                <w:sz w:val="18"/>
                <w:szCs w:val="18"/>
                <w:color w:val="auto"/>
                <w:w w:val="97"/>
              </w:rPr>
              <w:t>Liquidation value as of the redemption date multiplied by 104%</w:t>
            </w:r>
          </w:p>
        </w:tc>
      </w:tr>
      <w:tr>
        <w:trPr>
          <w:trHeight w:val="27"/>
        </w:trPr>
        <w:tc>
          <w:tcPr>
            <w:tcW w:w="62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 or after the first anniversary of the First Call Date and prior to the second</w:t>
            </w:r>
          </w:p>
        </w:tc>
        <w:tc>
          <w:tcPr>
            <w:tcW w:w="5020" w:type="dxa"/>
            <w:vAlign w:val="bottom"/>
            <w:shd w:val="clear" w:color="auto" w:fill="CCEEFF"/>
          </w:tcPr>
          <w:p>
            <w:pPr>
              <w:spacing w:after="0"/>
              <w:rPr>
                <w:sz w:val="19"/>
                <w:szCs w:val="19"/>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anniversary of the First Call Date</w:t>
            </w:r>
          </w:p>
        </w:tc>
        <w:tc>
          <w:tcPr>
            <w:tcW w:w="5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7"/>
              </w:rPr>
              <w:t>Liquidation value as of the redemption date multiplied by 102%</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On or after the second anniversary of the First Call Date</w:t>
            </w:r>
          </w:p>
        </w:tc>
        <w:tc>
          <w:tcPr>
            <w:tcW w:w="5020" w:type="dxa"/>
            <w:vAlign w:val="bottom"/>
          </w:tcPr>
          <w:p>
            <w:pPr>
              <w:ind w:left="100"/>
              <w:spacing w:after="0"/>
              <w:rPr>
                <w:sz w:val="20"/>
                <w:szCs w:val="20"/>
                <w:color w:val="auto"/>
              </w:rPr>
            </w:pPr>
            <w:r>
              <w:rPr>
                <w:rFonts w:ascii="Arial" w:cs="Arial" w:eastAsia="Arial" w:hAnsi="Arial"/>
                <w:sz w:val="18"/>
                <w:szCs w:val="18"/>
                <w:color w:val="auto"/>
              </w:rPr>
              <w:t>Liquidation value as of the redemption date</w:t>
            </w:r>
          </w:p>
        </w:tc>
      </w:tr>
    </w:tbl>
    <w:p>
      <w:pPr>
        <w:spacing w:after="0" w:line="175" w:lineRule="exact"/>
        <w:rPr>
          <w:sz w:val="20"/>
          <w:szCs w:val="20"/>
          <w:color w:val="auto"/>
        </w:rPr>
      </w:pPr>
    </w:p>
    <w:p>
      <w:pPr>
        <w:ind w:right="540" w:firstLine="324"/>
        <w:spacing w:after="0" w:line="435" w:lineRule="auto"/>
        <w:rPr>
          <w:sz w:val="20"/>
          <w:szCs w:val="20"/>
          <w:color w:val="auto"/>
        </w:rPr>
      </w:pPr>
      <w:r>
        <w:rPr>
          <w:rFonts w:ascii="Arial" w:cs="Arial" w:eastAsia="Arial" w:hAnsi="Arial"/>
          <w:sz w:val="18"/>
          <w:szCs w:val="18"/>
          <w:color w:val="auto"/>
        </w:rPr>
        <w:t xml:space="preserve">As of March 31, 2020, the total minimum committed cumulative liquidation preference due upon an immediate redemption was $283.9 million. </w:t>
      </w:r>
      <w:r>
        <w:rPr>
          <w:rFonts w:ascii="Arial" w:cs="Arial" w:eastAsia="Arial" w:hAnsi="Arial"/>
          <w:sz w:val="18"/>
          <w:szCs w:val="18"/>
          <w:b w:val="1"/>
          <w:bCs w:val="1"/>
          <w:color w:val="auto"/>
        </w:rPr>
        <w:t>Note 13 - Equity-Based Compensation</w:t>
      </w:r>
    </w:p>
    <w:p>
      <w:pPr>
        <w:spacing w:after="0" w:line="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Class P Incentive Units </w:t>
      </w:r>
      <w:r>
        <w:rPr>
          <w:rFonts w:ascii="Arial" w:cs="Arial" w:eastAsia="Arial" w:hAnsi="Arial"/>
          <w:sz w:val="18"/>
          <w:szCs w:val="18"/>
          <w:color w:val="auto"/>
        </w:rPr>
        <w:t>- Class P units under the Company’s current LLC Agreement and the Class C units under the Company’s Prior LLC</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converted to Common Units (collectively with Management Holdings Class P Units described below, the “Incentive Units”) operate under employee incentive programs and are granted to employees and service providers as approved by the Board of Managers. In June 2019, the Company expanded its employee incentive programs under a newly formed upper tier entity DiscoverOrg Management Holdings, LLC (“Management Holdings”), established to issue Incentive Units to employees of the Company. Through this newly formed upper tier entity, Class P Units are issued by Management Holdings to an employee and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121" w:right="339" w:bottom="1440" w:gutter="0" w:footer="0" w:header="0"/>
        </w:sectPr>
      </w:pPr>
    </w:p>
    <w:bookmarkStart w:id="293" w:name="page294"/>
    <w:bookmarkEnd w:id="29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Equity-Based Compensation (continued)</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a corresponding Class P Unit to Management Holdings. The cancellation or forfeiture of any Management Holdings’ Class P Units automatically results in a decrease in an equal number of the Company’s Class P Units.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Class P Incentive Units are subject to a time-based vesting condition. The service vesting condition is generally over four years with 50% vesting on the two year anniversary of the grant date of the award and the remainder vesting monthly thereafter. No grants on Class P Incentive Units were made during the three months ended March 31, 2020. The fair value of grants made during the three months ended March 31, 2019 was estimated on the date of grant using the Black-Scholes option pricing model with the following assumption ranges and fair value per unit: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86"/>
        </w:trPr>
        <w:tc>
          <w:tcPr>
            <w:tcW w:w="95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r>
      <w:tr>
        <w:trPr>
          <w:trHeight w:val="208"/>
        </w:trPr>
        <w:tc>
          <w:tcPr>
            <w:tcW w:w="958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196"/>
        </w:trPr>
        <w:tc>
          <w:tcPr>
            <w:tcW w:w="95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(Unaudited)</w:t>
            </w:r>
          </w:p>
        </w:tc>
      </w:tr>
      <w:tr>
        <w:trPr>
          <w:trHeight w:val="256"/>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41.2%</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660" w:type="dxa"/>
            <w:vAlign w:val="bottom"/>
          </w:tcPr>
          <w:p>
            <w:pPr>
              <w:jc w:val="center"/>
              <w:spacing w:after="0"/>
              <w:rPr>
                <w:sz w:val="20"/>
                <w:szCs w:val="20"/>
                <w:color w:val="auto"/>
              </w:rPr>
            </w:pPr>
            <w:r>
              <w:rPr>
                <w:rFonts w:ascii="Arial" w:cs="Arial" w:eastAsia="Arial" w:hAnsi="Arial"/>
                <w:sz w:val="18"/>
                <w:szCs w:val="18"/>
                <w:color w:val="auto"/>
                <w:w w:val="84"/>
              </w:rPr>
              <w:t>4 years</w:t>
            </w:r>
          </w:p>
        </w:tc>
      </w:tr>
      <w:tr>
        <w:trPr>
          <w:trHeight w:val="27"/>
        </w:trPr>
        <w:tc>
          <w:tcPr>
            <w:tcW w:w="95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Fair Value per Unit</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$5.20</w:t>
            </w: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 As of March 31, 2020, the amount of unamortized equity-based compensation related to the Incentive Units is $44.6 million.</w:t>
      </w:r>
    </w:p>
    <w:p>
      <w:pPr>
        <w:spacing w:after="0" w:line="12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DOH Phantom Units </w:t>
      </w:r>
      <w:r>
        <w:rPr>
          <w:rFonts w:ascii="Arial" w:cs="Arial" w:eastAsia="Arial" w:hAnsi="Arial"/>
          <w:sz w:val="17"/>
          <w:szCs w:val="17"/>
          <w:color w:val="auto"/>
        </w:rPr>
        <w:t>- In June 2019, the Company adopted the ZoomInfo OpCo 2019 Phantom Unit Plan which is authorized to issue an aggregate of</w:t>
      </w:r>
      <w:r>
        <w:rPr>
          <w:rFonts w:ascii="Arial" w:cs="Arial" w:eastAsia="Arial" w:hAnsi="Arial"/>
          <w:sz w:val="17"/>
          <w:szCs w:val="17"/>
          <w:b w:val="1"/>
          <w:bCs w:val="1"/>
          <w:color w:val="auto"/>
        </w:rPr>
        <w:t xml:space="preserve"> </w:t>
      </w:r>
      <w:r>
        <w:rPr>
          <w:rFonts w:ascii="Arial" w:cs="Arial" w:eastAsia="Arial" w:hAnsi="Arial"/>
          <w:sz w:val="17"/>
          <w:szCs w:val="17"/>
          <w:color w:val="auto"/>
        </w:rPr>
        <w:t>7.5 million Phantom Units (as defined in the plan) (“DOH Phantom Units”). DOH Phantom Units generally are eligible to vest over four years with 50% vesting on the two year anniversary of the service requirement start date of the award, followed by 1/24th of the remaining 50% vesting monthly over two years. As of December 31, 2019 and March 31, 2020 zero DOH Phantom Units had been granted under this plan.</w:t>
      </w:r>
    </w:p>
    <w:p>
      <w:pPr>
        <w:spacing w:after="0" w:line="11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HSKB Incentive Units </w:t>
      </w:r>
      <w:r>
        <w:rPr>
          <w:rFonts w:ascii="Arial" w:cs="Arial" w:eastAsia="Arial" w:hAnsi="Arial"/>
          <w:sz w:val="18"/>
          <w:szCs w:val="18"/>
          <w:color w:val="auto"/>
        </w:rPr>
        <w:t>- The founders of the Company previously contributed membership units into an upper tier entity, HSKB Funds, LLC</w:t>
      </w:r>
      <w:r>
        <w:rPr>
          <w:rFonts w:ascii="Arial" w:cs="Arial" w:eastAsia="Arial" w:hAnsi="Arial"/>
          <w:sz w:val="18"/>
          <w:szCs w:val="18"/>
          <w:b w:val="1"/>
          <w:bCs w:val="1"/>
          <w:color w:val="auto"/>
        </w:rPr>
        <w:t xml:space="preserve"> </w:t>
      </w:r>
      <w:r>
        <w:rPr>
          <w:rFonts w:ascii="Arial" w:cs="Arial" w:eastAsia="Arial" w:hAnsi="Arial"/>
          <w:sz w:val="18"/>
          <w:szCs w:val="18"/>
          <w:color w:val="auto"/>
        </w:rPr>
        <w:t>(“HSKB”), which is controlled by the co-founder and CEO of the Company (“HSKB Manager”), and may allocate profits interests to employees of the Company (“HSKB Grants”). These awards are recorded in accordance with the measurement and recognition criteria of ASC 718 for awards made to non-employees. All HSKB Grants were issued with a performance vesting condition wherein the awards vest upon the cumulative change of more than 90% of the membership interests in the Company.</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December 2019, the vesting and forfeiture terms of all HSKB Grants were modified to add an additional vesting condition, wherein 50% of an HSKB Grant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in the Company (or a newly formed holding company that owns an interest in the Company) after the consummation of an IPO. After the performance condition is deemed probable, the Company will recognize compensation cost under these awards on a straight-line basis in the same manner as if the Company had paid cash in lieu of awarding the HSKB Grants, per the requirements of ASC 718. This modification affected 142 grantees and resulted in an increase in unrecognized equity-based compensation cost related to the HSKB Grants of $88.4 million. As of March 31, 2020, the amount of unamortized equity-based compensation related to the HSKB Incentive Units is $148.7 million.</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121" w:right="339" w:bottom="1440" w:gutter="0" w:footer="0" w:header="0"/>
        </w:sectPr>
      </w:pPr>
    </w:p>
    <w:bookmarkStart w:id="294" w:name="page295"/>
    <w:bookmarkEnd w:id="29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Equity-Based Compensation (continued)</w:t>
      </w:r>
    </w:p>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2020, HSKB allocated an additional $5.3 million to be paid out over four years, starting with March 31, 2020, to holders of HSKB Grants who received their grants after the March 2018 Carlyle Investment, subject to the holders continued employment by the Company. In March 2020, HSKB paid $10.2 million from allocated funds and has $12.2 million remaining that it has allocated to be paid through 2023.</w:t>
      </w:r>
    </w:p>
    <w:p>
      <w:pPr>
        <w:spacing w:after="0" w:line="12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 xml:space="preserve">HSKB Phantom Units </w:t>
      </w:r>
      <w:r>
        <w:rPr>
          <w:rFonts w:ascii="Arial" w:cs="Arial" w:eastAsia="Arial" w:hAnsi="Arial"/>
          <w:sz w:val="17"/>
          <w:szCs w:val="17"/>
          <w:color w:val="auto"/>
        </w:rPr>
        <w:t>- In December 2019, HSKB adopted the HSKB Funds, LLC 2019 Phantom Unit Plan wherein HSKB may grant Phantom</w:t>
      </w:r>
      <w:r>
        <w:rPr>
          <w:rFonts w:ascii="Arial" w:cs="Arial" w:eastAsia="Arial" w:hAnsi="Arial"/>
          <w:sz w:val="17"/>
          <w:szCs w:val="17"/>
          <w:b w:val="1"/>
          <w:bCs w:val="1"/>
          <w:color w:val="auto"/>
        </w:rPr>
        <w:t xml:space="preserve"> </w:t>
      </w:r>
      <w:r>
        <w:rPr>
          <w:rFonts w:ascii="Arial" w:cs="Arial" w:eastAsia="Arial" w:hAnsi="Arial"/>
          <w:sz w:val="17"/>
          <w:szCs w:val="17"/>
          <w:color w:val="auto"/>
        </w:rPr>
        <w:t>Units (“HSKB Phantom Units”) to employees of the Company. HSKB Phantom Units are recorded in accordance with the measurement and recognition criteria of ASC 718 for awards made to non-employees. HSKB Phantom Units represent the economic equivalent of one Common Unit in the Company and generally have the same vesting and forfeiture conditions as the modified HSKB Grants discussed above. Within 30 days of the later of the date upon which a Phantom Unit vests and the date that HSKB is capable of making an exchange of a corresponding Common Unit, HSKB shall settle the HSKB Phantom Unit in exchange for either (1) cash or (2) common stock in an IPO Entity as determined by the HSKB Manager (currently the CEO of the Company), in each case, equal to the fair market value of such Common Unit at the time of such exchange. As of March 31, 2020, the amount of unamortized equity-based compensation related to the HSKB Phantom Units is $7.8 million.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22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4"/>
                <w:szCs w:val="14"/>
                <w:b w:val="1"/>
                <w:bCs w:val="1"/>
                <w:color w:val="auto"/>
              </w:rPr>
              <w:t>Common Units</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Class P Units</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80" w:type="dxa"/>
            <w:vAlign w:val="bottom"/>
          </w:tcPr>
          <w:p>
            <w:pPr>
              <w:spacing w:after="0"/>
              <w:rPr>
                <w:sz w:val="13"/>
                <w:szCs w:val="13"/>
                <w:color w:val="auto"/>
              </w:rPr>
            </w:pPr>
          </w:p>
        </w:tc>
        <w:tc>
          <w:tcPr>
            <w:tcW w:w="15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Shares</w:t>
            </w:r>
          </w:p>
        </w:tc>
        <w:tc>
          <w:tcPr>
            <w:tcW w:w="15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Weighted Avg Grant</w:t>
            </w:r>
          </w:p>
        </w:tc>
        <w:tc>
          <w:tcPr>
            <w:tcW w:w="15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Shares</w:t>
            </w:r>
          </w:p>
        </w:tc>
        <w:tc>
          <w:tcPr>
            <w:tcW w:w="1460" w:type="dxa"/>
            <w:vAlign w:val="bottom"/>
            <w:gridSpan w:val="2"/>
          </w:tcPr>
          <w:p>
            <w:pPr>
              <w:jc w:val="right"/>
              <w:ind w:right="10"/>
              <w:spacing w:after="0" w:line="153" w:lineRule="exact"/>
              <w:rPr>
                <w:sz w:val="20"/>
                <w:szCs w:val="20"/>
                <w:color w:val="auto"/>
              </w:rPr>
            </w:pPr>
            <w:r>
              <w:rPr>
                <w:rFonts w:ascii="Arial" w:cs="Arial" w:eastAsia="Arial" w:hAnsi="Arial"/>
                <w:sz w:val="14"/>
                <w:szCs w:val="14"/>
                <w:b w:val="1"/>
                <w:bCs w:val="1"/>
                <w:color w:val="auto"/>
                <w:w w:val="99"/>
              </w:rPr>
              <w:t>Weighted Avg Grant</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Date Fair Value/Unit</w:t>
            </w:r>
          </w:p>
        </w:tc>
        <w:tc>
          <w:tcPr>
            <w:tcW w:w="1520" w:type="dxa"/>
            <w:vAlign w:val="bottom"/>
            <w:gridSpan w:val="2"/>
            <w:vMerge w:val="continue"/>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Date Fair Value/Unit</w:t>
            </w:r>
          </w:p>
        </w:tc>
        <w:tc>
          <w:tcPr>
            <w:tcW w:w="0" w:type="dxa"/>
            <w:vAlign w:val="bottom"/>
          </w:tcPr>
          <w:p>
            <w:pPr>
              <w:spacing w:after="0"/>
              <w:rPr>
                <w:sz w:val="1"/>
                <w:szCs w:val="1"/>
                <w:color w:val="auto"/>
              </w:rPr>
            </w:pPr>
          </w:p>
        </w:tc>
      </w:tr>
      <w:tr>
        <w:trPr>
          <w:trHeight w:val="27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at December 31, 2019</w:t>
            </w:r>
          </w:p>
        </w:tc>
        <w:tc>
          <w:tcPr>
            <w:tcW w:w="14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228,819</w:t>
            </w: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16,893,603</w:t>
            </w: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97"/>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(160,836)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(1,069,646)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(107,711)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at March 31, 2020</w:t>
            </w:r>
          </w:p>
        </w:tc>
        <w:tc>
          <w:tcPr>
            <w:tcW w:w="14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67,983</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15,716,246</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equity-based compensation expense related to employee incentive unit awards (in millions):</w:t>
      </w:r>
    </w:p>
    <w:p>
      <w:pPr>
        <w:spacing w:after="0" w:line="217"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ind w:left="8620"/>
        <w:spacing w:after="0"/>
        <w:tabs>
          <w:tab w:leader="none" w:pos="103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 and Operating expenses include equity-based compensation expenses as follows:</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Cost of service</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7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0.3</w:t>
            </w:r>
          </w:p>
        </w:tc>
      </w:tr>
      <w:tr>
        <w:trPr>
          <w:trHeight w:val="27"/>
        </w:trPr>
        <w:tc>
          <w:tcPr>
            <w:tcW w:w="7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63"/>
        </w:trPr>
        <w:tc>
          <w:tcPr>
            <w:tcW w:w="7980" w:type="dxa"/>
            <w:vAlign w:val="bottom"/>
          </w:tcPr>
          <w:p>
            <w:pPr>
              <w:ind w:left="460"/>
              <w:spacing w:after="0"/>
              <w:rPr>
                <w:sz w:val="20"/>
                <w:szCs w:val="20"/>
                <w:color w:val="auto"/>
              </w:rPr>
            </w:pPr>
            <w:r>
              <w:rPr>
                <w:rFonts w:ascii="Arial" w:cs="Arial" w:eastAsia="Arial" w:hAnsi="Arial"/>
                <w:sz w:val="18"/>
                <w:szCs w:val="18"/>
                <w:color w:val="auto"/>
              </w:rPr>
              <w:t>Total equity-based compensation expense</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5.6</w:t>
            </w:r>
          </w:p>
        </w:tc>
      </w:tr>
      <w:tr>
        <w:trPr>
          <w:trHeight w:val="20"/>
        </w:trPr>
        <w:tc>
          <w:tcPr>
            <w:tcW w:w="7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 Provision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recorded $0.4 million of income tax benefit for the three months ended March 31, 2020 and $3.3 million for the three months ended March 31, 2019. The Company’s estimated annual effective tax rate for the three months ended March 31, 2020 was 6.9%. The Company’s estimated annual effective tax rate is less than the statutory rate of 21.0% primarily because the Company is not liable for income taxes on the portion of earnings that are attributable to partnerships.</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Coronavirus Aid, Relief, and Economic Security (CARES) Act was signed into law on March 27, 2020. The Act contained several retroactive corporate tax provisions, including modifications to net operating loss application and the Section 163(j) limitation on business interest expense. Under U.S. GAAP, the effect of a change in tax law is recorded discretely as a component of the income tax provision related to continuing operations in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121" w:right="339" w:bottom="1440" w:gutter="0" w:footer="0" w:header="0"/>
        </w:sectPr>
      </w:pPr>
    </w:p>
    <w:bookmarkStart w:id="295" w:name="page296"/>
    <w:bookmarkEnd w:id="29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Note 14 - Income Tax Provision (continued)</w:t>
      </w:r>
    </w:p>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period of enactment. The act did not have a material impact on the income tax benefit or the deferred taxes of the Company for the three months ended March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121" w:right="339" w:bottom="1440" w:gutter="0" w:footer="0" w:header="0"/>
        </w:sectPr>
      </w:pPr>
    </w:p>
    <w:bookmarkStart w:id="296" w:name="page297"/>
    <w:bookmarkEnd w:id="296"/>
    <w:p>
      <w:pPr>
        <w:jc w:val="center"/>
        <w:ind w:right="-37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Auditor's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 Information,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audited the accompanying financial statements of Zoom Information, Inc. and Subsidiaries (the Company), which comprise the balance sheets as of January 31, 2019 and December 31, 2018, the related statements of operations, convertible preferred stock and stockholders’ equity and cash flows for the period from January 1, 2019 through January 31, 2019 and for the year ended December 31, 2018, and the related notes to the financial statements (collectively, the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3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Zoom Information, Inc. and Subsidiaries as of January 31, 2019 and December 31, 2018, and the results of its operations and its cash flows for the period from January 1, 2019 through January 31, 2019 and the year ended December 31, 2018, in accordance with accounting principles generally accepted in the United States of America.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7"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As discussed in Note 3 to the financial statements, the Company has changed its method of accounting for revenue effective January 1, 2019 due to the adoption of Accounting Standards Codification 606, Revenue from Contracts with Customers. Our opinion is not modified with respect to this matter.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2019</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00"/>
          </w:cols>
          <w:pgMar w:left="320" w:top="121" w:right="379" w:bottom="1440" w:gutter="0" w:footer="0" w:header="0"/>
        </w:sectPr>
      </w:pPr>
    </w:p>
    <w:bookmarkStart w:id="297" w:name="page298"/>
    <w:bookmarkEnd w:id="29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2019 and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10,873,046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9,691,793</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21,614,693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28,204,910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1,017,936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1,017,936</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5,152,429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6,986,862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Capitalized commissions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3,585,122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66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42,243,226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45,901,501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9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5,725,173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944,516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55,187,215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56,004,377</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168,916,468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168,916,468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1,410,408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1,408,765</w:t>
            </w:r>
          </w:p>
        </w:tc>
        <w:tc>
          <w:tcPr>
            <w:tcW w:w="0" w:type="dxa"/>
            <w:vAlign w:val="bottom"/>
          </w:tcPr>
          <w:p>
            <w:pPr>
              <w:spacing w:after="0"/>
              <w:rPr>
                <w:sz w:val="1"/>
                <w:szCs w:val="1"/>
                <w:color w:val="auto"/>
              </w:rPr>
            </w:pPr>
          </w:p>
        </w:tc>
      </w:tr>
      <w:tr>
        <w:trPr>
          <w:trHeight w:val="263"/>
        </w:trPr>
        <w:tc>
          <w:tcPr>
            <w:tcW w:w="798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273,482,490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273,175,627</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1,118,101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2,250,947</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4,151,226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6,975,959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65,782,029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64,832,159</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1,431,000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1,431,000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72,482,356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75,490,065</w:t>
            </w:r>
          </w:p>
        </w:tc>
        <w:tc>
          <w:tcPr>
            <w:tcW w:w="0" w:type="dxa"/>
            <w:vAlign w:val="bottom"/>
          </w:tcPr>
          <w:p>
            <w:pPr>
              <w:spacing w:after="0"/>
              <w:rPr>
                <w:sz w:val="1"/>
                <w:szCs w:val="1"/>
                <w:color w:val="auto"/>
              </w:rPr>
            </w:pPr>
          </w:p>
        </w:tc>
      </w:tr>
      <w:tr>
        <w:trPr>
          <w:trHeight w:val="108"/>
        </w:trPr>
        <w:tc>
          <w:tcPr>
            <w:tcW w:w="7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less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2,481,803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2,702,845</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9,469,299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8,921,988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132,389,234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132,323,669</w:t>
            </w:r>
          </w:p>
        </w:tc>
        <w:tc>
          <w:tcPr>
            <w:tcW w:w="0" w:type="dxa"/>
            <w:vAlign w:val="bottom"/>
          </w:tcPr>
          <w:p>
            <w:pPr>
              <w:spacing w:after="0"/>
              <w:rPr>
                <w:sz w:val="1"/>
                <w:szCs w:val="1"/>
                <w:color w:val="auto"/>
              </w:rPr>
            </w:pPr>
          </w:p>
        </w:tc>
      </w:tr>
      <w:tr>
        <w:trPr>
          <w:trHeight w:val="237"/>
        </w:trPr>
        <w:tc>
          <w:tcPr>
            <w:tcW w:w="7980" w:type="dxa"/>
            <w:vAlign w:val="bottom"/>
          </w:tcPr>
          <w:p>
            <w:pPr>
              <w:ind w:left="66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216,822,692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219,438,567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Convertible Preferred stock:</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480"/>
              <w:spacing w:after="0" w:line="176" w:lineRule="exact"/>
              <w:rPr>
                <w:sz w:val="20"/>
                <w:szCs w:val="20"/>
                <w:color w:val="auto"/>
              </w:rPr>
            </w:pPr>
            <w:r>
              <w:rPr>
                <w:rFonts w:ascii="Arial" w:cs="Arial" w:eastAsia="Arial" w:hAnsi="Arial"/>
                <w:sz w:val="18"/>
                <w:szCs w:val="18"/>
                <w:color w:val="auto"/>
                <w:w w:val="90"/>
              </w:rPr>
              <w:t>Series 1 convertible preferred stock: $0.02 par value; 80,000,000 shares designated; 53,944,487 shares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640"/>
              <w:spacing w:after="0" w:line="176" w:lineRule="exact"/>
              <w:rPr>
                <w:sz w:val="20"/>
                <w:szCs w:val="20"/>
                <w:color w:val="auto"/>
              </w:rPr>
            </w:pPr>
            <w:r>
              <w:rPr>
                <w:rFonts w:ascii="Arial" w:cs="Arial" w:eastAsia="Arial" w:hAnsi="Arial"/>
                <w:sz w:val="18"/>
                <w:szCs w:val="18"/>
                <w:color w:val="auto"/>
                <w:w w:val="90"/>
              </w:rPr>
              <w:t>issued and outstanding at January 31, 2019 and December 31, 2018, respectively (liquidation value of</w:t>
            </w:r>
          </w:p>
        </w:tc>
        <w:tc>
          <w:tcPr>
            <w:tcW w:w="320" w:type="dxa"/>
            <w:vAlign w:val="bottom"/>
          </w:tcPr>
          <w:p>
            <w:pPr>
              <w:spacing w:after="0"/>
              <w:rPr>
                <w:sz w:val="15"/>
                <w:szCs w:val="15"/>
                <w:color w:val="auto"/>
              </w:rPr>
            </w:pPr>
          </w:p>
        </w:tc>
        <w:tc>
          <w:tcPr>
            <w:tcW w:w="1260" w:type="dxa"/>
            <w:vAlign w:val="bottom"/>
            <w:vMerge w:val="restart"/>
          </w:tcPr>
          <w:p>
            <w:pPr>
              <w:jc w:val="right"/>
              <w:ind w:right="71"/>
              <w:spacing w:after="0"/>
              <w:rPr>
                <w:sz w:val="20"/>
                <w:szCs w:val="20"/>
                <w:color w:val="auto"/>
              </w:rPr>
            </w:pPr>
            <w:r>
              <w:rPr>
                <w:rFonts w:ascii="Arial" w:cs="Arial" w:eastAsia="Arial" w:hAnsi="Arial"/>
                <w:sz w:val="18"/>
                <w:szCs w:val="18"/>
                <w:color w:val="auto"/>
              </w:rPr>
              <w:t>1,078,890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restart"/>
          </w:tcPr>
          <w:p>
            <w:pPr>
              <w:jc w:val="right"/>
              <w:ind w:right="71"/>
              <w:spacing w:after="0"/>
              <w:rPr>
                <w:sz w:val="20"/>
                <w:szCs w:val="20"/>
                <w:color w:val="auto"/>
              </w:rPr>
            </w:pPr>
            <w:r>
              <w:rPr>
                <w:rFonts w:ascii="Arial" w:cs="Arial" w:eastAsia="Arial" w:hAnsi="Arial"/>
                <w:sz w:val="18"/>
                <w:szCs w:val="18"/>
                <w:color w:val="auto"/>
              </w:rPr>
              <w:t>1,078,890</w:t>
            </w:r>
          </w:p>
        </w:tc>
        <w:tc>
          <w:tcPr>
            <w:tcW w:w="0" w:type="dxa"/>
            <w:vAlign w:val="bottom"/>
          </w:tcPr>
          <w:p>
            <w:pPr>
              <w:spacing w:after="0"/>
              <w:rPr>
                <w:sz w:val="1"/>
                <w:szCs w:val="1"/>
                <w:color w:val="auto"/>
              </w:rPr>
            </w:pPr>
          </w:p>
        </w:tc>
      </w:tr>
      <w:tr>
        <w:trPr>
          <w:trHeight w:val="230"/>
        </w:trPr>
        <w:tc>
          <w:tcPr>
            <w:tcW w:w="7980" w:type="dxa"/>
            <w:vAlign w:val="bottom"/>
          </w:tcPr>
          <w:p>
            <w:pPr>
              <w:ind w:left="640"/>
              <w:spacing w:after="0"/>
              <w:rPr>
                <w:sz w:val="20"/>
                <w:szCs w:val="20"/>
                <w:color w:val="auto"/>
              </w:rPr>
            </w:pPr>
            <w:r>
              <w:rPr>
                <w:rFonts w:ascii="Arial" w:cs="Arial" w:eastAsia="Arial" w:hAnsi="Arial"/>
                <w:sz w:val="18"/>
                <w:szCs w:val="18"/>
                <w:color w:val="auto"/>
              </w:rPr>
              <w:t>$90,074,418 as of January 31, 2019)</w:t>
            </w:r>
          </w:p>
        </w:tc>
        <w:tc>
          <w:tcPr>
            <w:tcW w:w="3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9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1"/>
              </w:rPr>
              <w:t>Series A: $0.02 par value; 37,763,000 shares designated; 7,319,897 shares issued and outstanding at</w:t>
            </w:r>
          </w:p>
        </w:tc>
        <w:tc>
          <w:tcPr>
            <w:tcW w:w="3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146,398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146,398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January 31, 2019 and December 31, 2018, respectively</w:t>
            </w:r>
          </w:p>
        </w:tc>
        <w:tc>
          <w:tcPr>
            <w:tcW w:w="3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480"/>
              <w:spacing w:after="0" w:line="176" w:lineRule="exact"/>
              <w:rPr>
                <w:sz w:val="20"/>
                <w:szCs w:val="20"/>
                <w:color w:val="auto"/>
              </w:rPr>
            </w:pPr>
            <w:r>
              <w:rPr>
                <w:rFonts w:ascii="Arial" w:cs="Arial" w:eastAsia="Arial" w:hAnsi="Arial"/>
                <w:sz w:val="18"/>
                <w:szCs w:val="18"/>
                <w:color w:val="auto"/>
                <w:w w:val="90"/>
              </w:rPr>
              <w:t>Series B: $0.01 par value; 54,959,650 shares designated; 175,840 and 162,240 issued and outstanding</w:t>
            </w:r>
          </w:p>
        </w:tc>
        <w:tc>
          <w:tcPr>
            <w:tcW w:w="320" w:type="dxa"/>
            <w:vAlign w:val="bottom"/>
          </w:tcPr>
          <w:p>
            <w:pPr>
              <w:spacing w:after="0"/>
              <w:rPr>
                <w:sz w:val="15"/>
                <w:szCs w:val="15"/>
                <w:color w:val="auto"/>
              </w:rPr>
            </w:pPr>
          </w:p>
        </w:tc>
        <w:tc>
          <w:tcPr>
            <w:tcW w:w="1260" w:type="dxa"/>
            <w:vAlign w:val="bottom"/>
            <w:vMerge w:val="restart"/>
          </w:tcPr>
          <w:p>
            <w:pPr>
              <w:jc w:val="right"/>
              <w:ind w:right="71"/>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restart"/>
          </w:tcPr>
          <w:p>
            <w:pPr>
              <w:jc w:val="right"/>
              <w:ind w:right="7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29"/>
        </w:trPr>
        <w:tc>
          <w:tcPr>
            <w:tcW w:w="7980" w:type="dxa"/>
            <w:vAlign w:val="bottom"/>
          </w:tcPr>
          <w:p>
            <w:pPr>
              <w:ind w:left="640"/>
              <w:spacing w:after="0"/>
              <w:rPr>
                <w:sz w:val="20"/>
                <w:szCs w:val="20"/>
                <w:color w:val="auto"/>
              </w:rPr>
            </w:pPr>
            <w:r>
              <w:rPr>
                <w:rFonts w:ascii="Arial" w:cs="Arial" w:eastAsia="Arial" w:hAnsi="Arial"/>
                <w:sz w:val="18"/>
                <w:szCs w:val="18"/>
                <w:color w:val="auto"/>
              </w:rPr>
              <w:t>at January 31, 2019 and December 31, 2018, respectively</w:t>
            </w:r>
          </w:p>
        </w:tc>
        <w:tc>
          <w:tcPr>
            <w:tcW w:w="3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Additional paid-in-capital</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78,907,423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78,854,320</w:t>
            </w:r>
          </w:p>
        </w:tc>
        <w:tc>
          <w:tcPr>
            <w:tcW w:w="0" w:type="dxa"/>
            <w:vAlign w:val="bottom"/>
          </w:tcPr>
          <w:p>
            <w:pPr>
              <w:spacing w:after="0"/>
              <w:rPr>
                <w:sz w:val="1"/>
                <w:szCs w:val="1"/>
                <w:color w:val="auto"/>
              </w:rPr>
            </w:pP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(23,474,671)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(26,344,170)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56,659,798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53,737,060</w:t>
            </w:r>
          </w:p>
        </w:tc>
        <w:tc>
          <w:tcPr>
            <w:tcW w:w="0" w:type="dxa"/>
            <w:vAlign w:val="bottom"/>
          </w:tcPr>
          <w:p>
            <w:pPr>
              <w:spacing w:after="0"/>
              <w:rPr>
                <w:sz w:val="1"/>
                <w:szCs w:val="1"/>
                <w:color w:val="auto"/>
              </w:rPr>
            </w:pPr>
          </w:p>
        </w:tc>
      </w:tr>
      <w:tr>
        <w:trPr>
          <w:trHeight w:val="264"/>
        </w:trPr>
        <w:tc>
          <w:tcPr>
            <w:tcW w:w="798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273,482,490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273,175,627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F-72</w:t>
      </w:r>
    </w:p>
    <w:p>
      <w:pPr>
        <w:sectPr>
          <w:pgSz w:w="11900" w:h="16838" w:orient="portrait"/>
          <w:cols w:equalWidth="0" w:num="1">
            <w:col w:w="11240"/>
          </w:cols>
          <w:pgMar w:left="320" w:top="121" w:right="339" w:bottom="1440" w:gutter="0" w:footer="0" w:header="0"/>
          <w:type w:val="continuous"/>
        </w:sectPr>
      </w:pPr>
    </w:p>
    <w:bookmarkStart w:id="298" w:name="page299"/>
    <w:bookmarkEnd w:id="298"/>
    <w:p>
      <w:pPr>
        <w:jc w:val="center"/>
        <w:ind w:right="-35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Period from January 1, 2019 through January 31, 2019 and the Year Ended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9,693,329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72,467,948</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926,744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9,076,689</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3,338,127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40,259,914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1,663,534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13,093,595</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1,584,180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16,307,450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530,367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2,660,523</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Loss on share redemption obligation</w:t>
            </w:r>
          </w:p>
        </w:tc>
        <w:tc>
          <w:tcPr>
            <w:tcW w:w="36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14,087,015</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Gain on sale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72,943</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8,042,952</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95,558,129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b w:val="1"/>
                <w:bCs w:val="1"/>
                <w:color w:val="auto"/>
              </w:rPr>
              <w:t>Income (loss) from operations</w:t>
            </w:r>
          </w:p>
        </w:tc>
        <w:tc>
          <w:tcPr>
            <w:tcW w:w="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1,650,377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(23,090,181)</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19,307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54,066</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(1,024,625)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(9,348,733)</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645,059</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(32,384,848)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(136,228)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(4,912,625)</w:t>
            </w:r>
          </w:p>
        </w:tc>
      </w:tr>
      <w:tr>
        <w:trPr>
          <w:trHeight w:val="263"/>
        </w:trPr>
        <w:tc>
          <w:tcPr>
            <w:tcW w:w="7980" w:type="dxa"/>
            <w:vAlign w:val="bottom"/>
          </w:tcPr>
          <w:p>
            <w:pPr>
              <w:ind w:left="46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781,287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(27,472,223)</w:t>
            </w: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20"/>
          </w:cols>
          <w:pgMar w:left="320" w:top="121" w:right="359" w:bottom="1440" w:gutter="0" w:footer="0" w:header="0"/>
        </w:sectPr>
      </w:pPr>
    </w:p>
    <w:bookmarkStart w:id="299" w:name="page300"/>
    <w:bookmarkEnd w:id="299"/>
    <w:p>
      <w:pPr>
        <w:jc w:val="center"/>
        <w:ind w:right="-29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Convertible Preferred Stock and Stockholders’ Equity</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Period from January 1, 2019 through January 31, 2019 and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2948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294894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960" w:type="dxa"/>
            <w:vAlign w:val="bottom"/>
            <w:gridSpan w:val="3"/>
          </w:tcPr>
          <w:p>
            <w:pPr>
              <w:jc w:val="right"/>
              <w:ind w:right="661"/>
              <w:spacing w:after="0"/>
              <w:rPr>
                <w:sz w:val="20"/>
                <w:szCs w:val="20"/>
                <w:color w:val="auto"/>
              </w:rPr>
            </w:pPr>
            <w:r>
              <w:rPr>
                <w:rFonts w:ascii="Arial" w:cs="Arial" w:eastAsia="Arial" w:hAnsi="Arial"/>
                <w:sz w:val="14"/>
                <w:szCs w:val="14"/>
                <w:b w:val="1"/>
                <w:bCs w:val="1"/>
                <w:color w:val="auto"/>
              </w:rPr>
              <w:t>Series 1</w:t>
            </w: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w w:val="99"/>
              </w:rPr>
              <w:t>Convertible Preferred Stock</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0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4"/>
              </w:rPr>
              <w:t>Number of</w:t>
            </w:r>
          </w:p>
        </w:tc>
        <w:tc>
          <w:tcPr>
            <w:tcW w:w="940" w:type="dxa"/>
            <w:vAlign w:val="bottom"/>
          </w:tcPr>
          <w:p>
            <w:pPr>
              <w:jc w:val="right"/>
              <w:ind w:right="101"/>
              <w:spacing w:after="0" w:line="148" w:lineRule="exact"/>
              <w:rPr>
                <w:sz w:val="20"/>
                <w:szCs w:val="20"/>
                <w:color w:val="auto"/>
              </w:rPr>
            </w:pPr>
            <w:r>
              <w:rPr>
                <w:rFonts w:ascii="Arial" w:cs="Arial" w:eastAsia="Arial" w:hAnsi="Arial"/>
                <w:sz w:val="14"/>
                <w:szCs w:val="14"/>
                <w:b w:val="1"/>
                <w:bCs w:val="1"/>
                <w:color w:val="auto"/>
              </w:rPr>
              <w:t>$0.02 Par</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tcPr>
          <w:p>
            <w:pPr>
              <w:jc w:val="right"/>
              <w:ind w:right="22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6"/>
        </w:trPr>
        <w:tc>
          <w:tcPr>
            <w:tcW w:w="1900" w:type="dxa"/>
            <w:vAlign w:val="bottom"/>
          </w:tcPr>
          <w:p>
            <w:pPr>
              <w:spacing w:after="0"/>
              <w:rPr>
                <w:sz w:val="20"/>
                <w:szCs w:val="20"/>
                <w:color w:val="auto"/>
              </w:rPr>
            </w:pPr>
            <w:r>
              <w:rPr>
                <w:rFonts w:ascii="Arial" w:cs="Arial" w:eastAsia="Arial" w:hAnsi="Arial"/>
                <w:sz w:val="16"/>
                <w:szCs w:val="16"/>
                <w:color w:val="auto"/>
              </w:rPr>
              <w:t>Balance at December 31,</w:t>
            </w: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00" w:type="dxa"/>
            <w:vAlign w:val="bottom"/>
          </w:tcPr>
          <w:p>
            <w:pPr>
              <w:spacing w:after="0"/>
              <w:rPr>
                <w:sz w:val="20"/>
                <w:szCs w:val="20"/>
                <w:color w:val="auto"/>
              </w:rPr>
            </w:pPr>
            <w:r>
              <w:rPr>
                <w:rFonts w:ascii="Arial" w:cs="Arial" w:eastAsia="Arial" w:hAnsi="Arial"/>
                <w:sz w:val="16"/>
                <w:szCs w:val="16"/>
                <w:color w:val="auto"/>
              </w:rPr>
              <w:t>2017</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w w:val="94"/>
              </w:rPr>
              <w:t>53,944,487</w:t>
            </w:r>
          </w:p>
        </w:tc>
        <w:tc>
          <w:tcPr>
            <w:tcW w:w="80" w:type="dxa"/>
            <w:vAlign w:val="bottom"/>
          </w:tcPr>
          <w:p>
            <w:pPr>
              <w:spacing w:after="0"/>
              <w:rPr>
                <w:sz w:val="17"/>
                <w:szCs w:val="17"/>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w w:val="92"/>
              </w:rPr>
              <w:t>$ 1,078,890</w:t>
            </w:r>
          </w:p>
        </w:tc>
        <w:tc>
          <w:tcPr>
            <w:tcW w:w="0" w:type="dxa"/>
            <w:vAlign w:val="bottom"/>
          </w:tcPr>
          <w:p>
            <w:pPr>
              <w:spacing w:after="0"/>
              <w:rPr>
                <w:sz w:val="1"/>
                <w:szCs w:val="1"/>
                <w:color w:val="auto"/>
              </w:rPr>
            </w:pPr>
          </w:p>
        </w:tc>
      </w:tr>
      <w:tr>
        <w:trPr>
          <w:trHeight w:val="257"/>
        </w:trPr>
        <w:tc>
          <w:tcPr>
            <w:tcW w:w="1900" w:type="dxa"/>
            <w:vAlign w:val="bottom"/>
          </w:tcPr>
          <w:p>
            <w:pPr>
              <w:ind w:left="200"/>
              <w:spacing w:after="0"/>
              <w:rPr>
                <w:sz w:val="20"/>
                <w:szCs w:val="20"/>
                <w:color w:val="auto"/>
              </w:rPr>
            </w:pPr>
            <w:r>
              <w:rPr>
                <w:rFonts w:ascii="Arial" w:cs="Arial" w:eastAsia="Arial" w:hAnsi="Arial"/>
                <w:sz w:val="16"/>
                <w:szCs w:val="16"/>
                <w:color w:val="auto"/>
                <w:w w:val="94"/>
              </w:rPr>
              <w:t>Exercise of stock options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00" w:type="dxa"/>
            <w:vAlign w:val="bottom"/>
          </w:tcPr>
          <w:p>
            <w:pPr>
              <w:ind w:left="200"/>
              <w:spacing w:after="0"/>
              <w:rPr>
                <w:sz w:val="20"/>
                <w:szCs w:val="20"/>
                <w:color w:val="auto"/>
              </w:rPr>
            </w:pPr>
            <w:r>
              <w:rPr>
                <w:rFonts w:ascii="Arial" w:cs="Arial" w:eastAsia="Arial" w:hAnsi="Arial"/>
                <w:sz w:val="16"/>
                <w:szCs w:val="16"/>
                <w:color w:val="auto"/>
              </w:rPr>
              <w:t>Stock-based</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90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9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00" w:type="dxa"/>
            <w:vAlign w:val="bottom"/>
            <w:vMerge w:val="restart"/>
          </w:tcPr>
          <w:p>
            <w:pPr>
              <w:spacing w:after="0"/>
              <w:rPr>
                <w:sz w:val="20"/>
                <w:szCs w:val="20"/>
                <w:color w:val="auto"/>
              </w:rPr>
            </w:pPr>
            <w:r>
              <w:rPr>
                <w:rFonts w:ascii="Arial" w:cs="Arial" w:eastAsia="Arial" w:hAnsi="Arial"/>
                <w:sz w:val="16"/>
                <w:szCs w:val="16"/>
                <w:color w:val="auto"/>
              </w:rPr>
              <w:t>Balance at December 31,</w:t>
            </w: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9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00" w:type="dxa"/>
            <w:vAlign w:val="bottom"/>
          </w:tcPr>
          <w:p>
            <w:pPr>
              <w:spacing w:after="0"/>
              <w:rPr>
                <w:sz w:val="20"/>
                <w:szCs w:val="20"/>
                <w:color w:val="auto"/>
              </w:rPr>
            </w:pPr>
            <w:r>
              <w:rPr>
                <w:rFonts w:ascii="Arial" w:cs="Arial" w:eastAsia="Arial" w:hAnsi="Arial"/>
                <w:sz w:val="16"/>
                <w:szCs w:val="16"/>
                <w:color w:val="auto"/>
              </w:rPr>
              <w:t>2018</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w w:val="94"/>
              </w:rPr>
              <w:t>53,944,487</w:t>
            </w:r>
          </w:p>
        </w:tc>
        <w:tc>
          <w:tcPr>
            <w:tcW w:w="80" w:type="dxa"/>
            <w:vAlign w:val="bottom"/>
          </w:tcPr>
          <w:p>
            <w:pPr>
              <w:spacing w:after="0"/>
              <w:rPr>
                <w:sz w:val="17"/>
                <w:szCs w:val="17"/>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1,078,890</w:t>
            </w:r>
          </w:p>
        </w:tc>
        <w:tc>
          <w:tcPr>
            <w:tcW w:w="0" w:type="dxa"/>
            <w:vAlign w:val="bottom"/>
          </w:tcPr>
          <w:p>
            <w:pPr>
              <w:spacing w:after="0"/>
              <w:rPr>
                <w:sz w:val="1"/>
                <w:szCs w:val="1"/>
                <w:color w:val="auto"/>
              </w:rPr>
            </w:pPr>
          </w:p>
        </w:tc>
      </w:tr>
      <w:tr>
        <w:trPr>
          <w:trHeight w:val="199"/>
        </w:trPr>
        <w:tc>
          <w:tcPr>
            <w:tcW w:w="1900" w:type="dxa"/>
            <w:vAlign w:val="bottom"/>
          </w:tcPr>
          <w:p>
            <w:pPr>
              <w:ind w:left="200"/>
              <w:spacing w:after="0"/>
              <w:rPr>
                <w:sz w:val="20"/>
                <w:szCs w:val="20"/>
                <w:color w:val="auto"/>
              </w:rPr>
            </w:pPr>
            <w:r>
              <w:rPr>
                <w:rFonts w:ascii="Arial" w:cs="Arial" w:eastAsia="Arial" w:hAnsi="Arial"/>
                <w:sz w:val="16"/>
                <w:szCs w:val="16"/>
                <w:color w:val="auto"/>
                <w:w w:val="99"/>
              </w:rPr>
              <w:t>Cumulative impact from</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380"/>
              <w:spacing w:after="0" w:line="162" w:lineRule="exact"/>
              <w:rPr>
                <w:sz w:val="20"/>
                <w:szCs w:val="20"/>
                <w:color w:val="auto"/>
              </w:rPr>
            </w:pPr>
            <w:r>
              <w:rPr>
                <w:rFonts w:ascii="Arial" w:cs="Arial" w:eastAsia="Arial" w:hAnsi="Arial"/>
                <w:sz w:val="16"/>
                <w:szCs w:val="16"/>
                <w:color w:val="auto"/>
              </w:rPr>
              <w:t>the adoption of ASU</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00" w:type="dxa"/>
            <w:vAlign w:val="bottom"/>
          </w:tcPr>
          <w:p>
            <w:pPr>
              <w:ind w:left="380"/>
              <w:spacing w:after="0"/>
              <w:rPr>
                <w:sz w:val="20"/>
                <w:szCs w:val="20"/>
                <w:color w:val="auto"/>
              </w:rPr>
            </w:pPr>
            <w:r>
              <w:rPr>
                <w:rFonts w:ascii="Arial" w:cs="Arial" w:eastAsia="Arial" w:hAnsi="Arial"/>
                <w:sz w:val="16"/>
                <w:szCs w:val="16"/>
                <w:color w:val="auto"/>
                <w:w w:val="99"/>
              </w:rPr>
              <w:t>No. 2014-19 (Note 3)</w:t>
            </w:r>
          </w:p>
        </w:tc>
        <w:tc>
          <w:tcPr>
            <w:tcW w:w="10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00" w:type="dxa"/>
            <w:vAlign w:val="bottom"/>
          </w:tcPr>
          <w:p>
            <w:pPr>
              <w:ind w:left="200"/>
              <w:spacing w:after="0"/>
              <w:rPr>
                <w:sz w:val="20"/>
                <w:szCs w:val="20"/>
                <w:color w:val="auto"/>
              </w:rPr>
            </w:pPr>
            <w:r>
              <w:rPr>
                <w:rFonts w:ascii="Arial" w:cs="Arial" w:eastAsia="Arial" w:hAnsi="Arial"/>
                <w:sz w:val="16"/>
                <w:szCs w:val="16"/>
                <w:color w:val="auto"/>
                <w:w w:val="94"/>
              </w:rPr>
              <w:t>Exercise of stock options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00" w:type="dxa"/>
            <w:vAlign w:val="bottom"/>
          </w:tcPr>
          <w:p>
            <w:pPr>
              <w:ind w:left="200"/>
              <w:spacing w:after="0"/>
              <w:rPr>
                <w:sz w:val="20"/>
                <w:szCs w:val="20"/>
                <w:color w:val="auto"/>
              </w:rPr>
            </w:pPr>
            <w:r>
              <w:rPr>
                <w:rFonts w:ascii="Arial" w:cs="Arial" w:eastAsia="Arial" w:hAnsi="Arial"/>
                <w:sz w:val="16"/>
                <w:szCs w:val="16"/>
                <w:color w:val="auto"/>
              </w:rPr>
              <w:t>Stock-based</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90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00" w:type="dxa"/>
            <w:vAlign w:val="bottom"/>
            <w:vMerge w:val="restart"/>
          </w:tcPr>
          <w:p>
            <w:pPr>
              <w:spacing w:after="0"/>
              <w:rPr>
                <w:sz w:val="20"/>
                <w:szCs w:val="20"/>
                <w:color w:val="auto"/>
              </w:rPr>
            </w:pPr>
            <w:r>
              <w:rPr>
                <w:rFonts w:ascii="Arial" w:cs="Arial" w:eastAsia="Arial" w:hAnsi="Arial"/>
                <w:sz w:val="16"/>
                <w:szCs w:val="16"/>
                <w:b w:val="1"/>
                <w:bCs w:val="1"/>
                <w:color w:val="auto"/>
              </w:rPr>
              <w:t>Balance at January 31,</w:t>
            </w: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00" w:type="dxa"/>
            <w:vAlign w:val="bottom"/>
            <w:vMerge w:val="continue"/>
          </w:tcPr>
          <w:p>
            <w:pPr>
              <w:spacing w:after="0"/>
              <w:rPr>
                <w:sz w:val="17"/>
                <w:szCs w:val="17"/>
                <w:color w:val="auto"/>
              </w:rPr>
            </w:pPr>
          </w:p>
        </w:tc>
        <w:tc>
          <w:tcPr>
            <w:tcW w:w="940" w:type="dxa"/>
            <w:vAlign w:val="bottom"/>
            <w:vMerge w:val="restart"/>
          </w:tcPr>
          <w:p>
            <w:pPr>
              <w:jc w:val="right"/>
              <w:ind w:right="82"/>
              <w:spacing w:after="0"/>
              <w:rPr>
                <w:sz w:val="20"/>
                <w:szCs w:val="20"/>
                <w:color w:val="auto"/>
              </w:rPr>
            </w:pPr>
            <w:r>
              <w:rPr>
                <w:rFonts w:ascii="Arial" w:cs="Arial" w:eastAsia="Arial" w:hAnsi="Arial"/>
                <w:sz w:val="16"/>
                <w:szCs w:val="16"/>
                <w:b w:val="1"/>
                <w:bCs w:val="1"/>
                <w:color w:val="auto"/>
                <w:w w:val="94"/>
              </w:rPr>
              <w:t>53,944,487</w:t>
            </w:r>
          </w:p>
        </w:tc>
        <w:tc>
          <w:tcPr>
            <w:tcW w:w="80" w:type="dxa"/>
            <w:vAlign w:val="bottom"/>
          </w:tcPr>
          <w:p>
            <w:pPr>
              <w:spacing w:after="0"/>
              <w:rPr>
                <w:sz w:val="17"/>
                <w:szCs w:val="17"/>
                <w:color w:val="auto"/>
              </w:rPr>
            </w:pPr>
          </w:p>
        </w:tc>
        <w:tc>
          <w:tcPr>
            <w:tcW w:w="94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w w:val="92"/>
              </w:rPr>
              <w:t>$ 1,078,890</w:t>
            </w:r>
          </w:p>
        </w:tc>
        <w:tc>
          <w:tcPr>
            <w:tcW w:w="0" w:type="dxa"/>
            <w:vAlign w:val="bottom"/>
          </w:tcPr>
          <w:p>
            <w:pPr>
              <w:spacing w:after="0"/>
              <w:rPr>
                <w:sz w:val="1"/>
                <w:szCs w:val="1"/>
                <w:color w:val="auto"/>
              </w:rPr>
            </w:pPr>
          </w:p>
        </w:tc>
      </w:tr>
      <w:tr>
        <w:trPr>
          <w:trHeight w:val="218"/>
        </w:trPr>
        <w:tc>
          <w:tcPr>
            <w:tcW w:w="1900" w:type="dxa"/>
            <w:vAlign w:val="bottom"/>
          </w:tcPr>
          <w:p>
            <w:pPr>
              <w:spacing w:after="0"/>
              <w:rPr>
                <w:sz w:val="20"/>
                <w:szCs w:val="20"/>
                <w:color w:val="auto"/>
              </w:rPr>
            </w:pPr>
            <w:r>
              <w:rPr>
                <w:rFonts w:ascii="Arial" w:cs="Arial" w:eastAsia="Arial" w:hAnsi="Arial"/>
                <w:sz w:val="16"/>
                <w:szCs w:val="16"/>
                <w:b w:val="1"/>
                <w:bCs w:val="1"/>
                <w:color w:val="auto"/>
              </w:rPr>
              <w:t>2019</w:t>
            </w: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Retained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1900" w:type="dxa"/>
            <w:vAlign w:val="bottom"/>
            <w:gridSpan w:val="4"/>
            <w:vMerge w:val="restart"/>
          </w:tcPr>
          <w:p>
            <w:pPr>
              <w:jc w:val="right"/>
              <w:ind w:right="621"/>
              <w:spacing w:after="0"/>
              <w:rPr>
                <w:sz w:val="20"/>
                <w:szCs w:val="20"/>
                <w:color w:val="auto"/>
              </w:rPr>
            </w:pPr>
            <w:r>
              <w:rPr>
                <w:rFonts w:ascii="Arial" w:cs="Arial" w:eastAsia="Arial" w:hAnsi="Arial"/>
                <w:sz w:val="14"/>
                <w:szCs w:val="14"/>
                <w:b w:val="1"/>
                <w:bCs w:val="1"/>
                <w:color w:val="auto"/>
              </w:rPr>
              <w:t>Series A</w:t>
            </w:r>
          </w:p>
        </w:tc>
        <w:tc>
          <w:tcPr>
            <w:tcW w:w="80" w:type="dxa"/>
            <w:vAlign w:val="bottom"/>
            <w:vMerge w:val="restart"/>
          </w:tcPr>
          <w:p>
            <w:pPr>
              <w:spacing w:after="0"/>
              <w:rPr>
                <w:sz w:val="6"/>
                <w:szCs w:val="6"/>
                <w:color w:val="auto"/>
              </w:rPr>
            </w:pPr>
          </w:p>
        </w:tc>
        <w:tc>
          <w:tcPr>
            <w:tcW w:w="1880" w:type="dxa"/>
            <w:vAlign w:val="bottom"/>
            <w:gridSpan w:val="4"/>
            <w:vMerge w:val="restart"/>
          </w:tcPr>
          <w:p>
            <w:pPr>
              <w:jc w:val="right"/>
              <w:ind w:right="601"/>
              <w:spacing w:after="0"/>
              <w:rPr>
                <w:sz w:val="20"/>
                <w:szCs w:val="20"/>
                <w:color w:val="auto"/>
              </w:rPr>
            </w:pPr>
            <w:r>
              <w:rPr>
                <w:rFonts w:ascii="Arial" w:cs="Arial" w:eastAsia="Arial" w:hAnsi="Arial"/>
                <w:sz w:val="14"/>
                <w:szCs w:val="14"/>
                <w:b w:val="1"/>
                <w:bCs w:val="1"/>
                <w:color w:val="auto"/>
              </w:rPr>
              <w:t>Series B</w:t>
            </w:r>
          </w:p>
        </w:tc>
        <w:tc>
          <w:tcPr>
            <w:tcW w:w="80" w:type="dxa"/>
            <w:vAlign w:val="bottom"/>
            <w:vMerge w:val="restart"/>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90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88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3"/>
              </w:rPr>
              <w:t>Earnings</w:t>
            </w:r>
          </w:p>
        </w:tc>
        <w:tc>
          <w:tcPr>
            <w:tcW w:w="10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9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8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$0.02 Par</w:t>
            </w:r>
          </w:p>
        </w:tc>
        <w:tc>
          <w:tcPr>
            <w:tcW w:w="9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8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$0.01 Par</w:t>
            </w:r>
          </w:p>
        </w:tc>
        <w:tc>
          <w:tcPr>
            <w:tcW w:w="10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104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(Accumulated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Paid-in Capital</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412"/>
        </w:trPr>
        <w:tc>
          <w:tcPr>
            <w:tcW w:w="900" w:type="dxa"/>
            <w:vAlign w:val="bottom"/>
          </w:tcPr>
          <w:p>
            <w:pPr>
              <w:jc w:val="right"/>
              <w:ind w:right="61"/>
              <w:spacing w:after="0"/>
              <w:rPr>
                <w:sz w:val="20"/>
                <w:szCs w:val="20"/>
                <w:color w:val="auto"/>
              </w:rPr>
            </w:pPr>
            <w:r>
              <w:rPr>
                <w:rFonts w:ascii="Arial" w:cs="Arial" w:eastAsia="Arial" w:hAnsi="Arial"/>
                <w:sz w:val="16"/>
                <w:szCs w:val="16"/>
                <w:color w:val="auto"/>
              </w:rPr>
              <w:t>7,319,897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146,398</w:t>
            </w:r>
          </w:p>
        </w:tc>
        <w:tc>
          <w:tcPr>
            <w:tcW w:w="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w w:val="89"/>
              </w:rPr>
              <w:t>$ 78,193,658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1,128,053</w:t>
            </w:r>
          </w:p>
        </w:tc>
        <w:tc>
          <w:tcPr>
            <w:tcW w:w="80" w:type="dxa"/>
            <w:vAlign w:val="bottom"/>
          </w:tcPr>
          <w:p>
            <w:pPr>
              <w:spacing w:after="0"/>
              <w:rPr>
                <w:sz w:val="24"/>
                <w:szCs w:val="24"/>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w w:val="92"/>
              </w:rPr>
              <w:t>$ 80,546,999</w:t>
            </w:r>
          </w:p>
        </w:tc>
        <w:tc>
          <w:tcPr>
            <w:tcW w:w="0" w:type="dxa"/>
            <w:vAlign w:val="bottom"/>
          </w:tcPr>
          <w:p>
            <w:pPr>
              <w:spacing w:after="0"/>
              <w:rPr>
                <w:sz w:val="1"/>
                <w:szCs w:val="1"/>
                <w:color w:val="auto"/>
              </w:rPr>
            </w:pPr>
          </w:p>
        </w:tc>
      </w:tr>
      <w:tr>
        <w:trPr>
          <w:trHeight w:val="257"/>
        </w:trPr>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162,240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1,622</w:t>
            </w:r>
          </w:p>
        </w:tc>
        <w:tc>
          <w:tcPr>
            <w:tcW w:w="80" w:type="dxa"/>
            <w:vAlign w:val="bottom"/>
          </w:tcPr>
          <w:p>
            <w:pPr>
              <w:spacing w:after="0"/>
              <w:rPr>
                <w:sz w:val="22"/>
                <w:szCs w:val="22"/>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92,477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94,099</w:t>
            </w:r>
          </w:p>
        </w:tc>
        <w:tc>
          <w:tcPr>
            <w:tcW w:w="0" w:type="dxa"/>
            <w:vAlign w:val="bottom"/>
          </w:tcPr>
          <w:p>
            <w:pPr>
              <w:spacing w:after="0"/>
              <w:rPr>
                <w:sz w:val="1"/>
                <w:szCs w:val="1"/>
                <w:color w:val="auto"/>
              </w:rPr>
            </w:pPr>
          </w:p>
        </w:tc>
      </w:tr>
      <w:tr>
        <w:trPr>
          <w:trHeight w:val="459"/>
        </w:trPr>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568,185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568,185</w:t>
            </w:r>
          </w:p>
        </w:tc>
        <w:tc>
          <w:tcPr>
            <w:tcW w:w="0" w:type="dxa"/>
            <w:vAlign w:val="bottom"/>
          </w:tcPr>
          <w:p>
            <w:pPr>
              <w:spacing w:after="0"/>
              <w:rPr>
                <w:sz w:val="1"/>
                <w:szCs w:val="1"/>
                <w:color w:val="auto"/>
              </w:rPr>
            </w:pPr>
          </w:p>
        </w:tc>
      </w:tr>
      <w:tr>
        <w:trPr>
          <w:trHeight w:val="257"/>
        </w:trPr>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60" w:type="dxa"/>
            <w:vAlign w:val="bottom"/>
          </w:tcPr>
          <w:p>
            <w:pPr>
              <w:jc w:val="center"/>
              <w:ind w:right="2"/>
              <w:spacing w:after="0"/>
              <w:rPr>
                <w:sz w:val="20"/>
                <w:szCs w:val="20"/>
                <w:color w:val="auto"/>
              </w:rPr>
            </w:pPr>
            <w:r>
              <w:rPr>
                <w:rFonts w:ascii="Arial" w:cs="Arial" w:eastAsia="Arial" w:hAnsi="Arial"/>
                <w:sz w:val="16"/>
                <w:szCs w:val="16"/>
                <w:color w:val="auto"/>
                <w:w w:val="92"/>
              </w:rPr>
              <w:t>(27,472,223)</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(27,472,223)</w:t>
            </w:r>
          </w:p>
        </w:tc>
        <w:tc>
          <w:tcPr>
            <w:tcW w:w="0" w:type="dxa"/>
            <w:vAlign w:val="bottom"/>
          </w:tcPr>
          <w:p>
            <w:pPr>
              <w:spacing w:after="0"/>
              <w:rPr>
                <w:sz w:val="1"/>
                <w:szCs w:val="1"/>
                <w:color w:val="auto"/>
              </w:rPr>
            </w:pPr>
          </w:p>
        </w:tc>
      </w:tr>
      <w:tr>
        <w:trPr>
          <w:trHeight w:val="33"/>
        </w:trPr>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900" w:type="dxa"/>
            <w:vAlign w:val="bottom"/>
          </w:tcPr>
          <w:p>
            <w:pPr>
              <w:jc w:val="right"/>
              <w:ind w:right="61"/>
              <w:spacing w:after="0"/>
              <w:rPr>
                <w:sz w:val="20"/>
                <w:szCs w:val="20"/>
                <w:color w:val="auto"/>
              </w:rPr>
            </w:pPr>
            <w:r>
              <w:rPr>
                <w:rFonts w:ascii="Arial" w:cs="Arial" w:eastAsia="Arial" w:hAnsi="Arial"/>
                <w:sz w:val="16"/>
                <w:szCs w:val="16"/>
                <w:color w:val="auto"/>
              </w:rPr>
              <w:t>7,319,897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146,398</w:t>
            </w:r>
          </w:p>
        </w:tc>
        <w:tc>
          <w:tcPr>
            <w:tcW w:w="8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162,240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1,622</w:t>
            </w:r>
          </w:p>
        </w:tc>
        <w:tc>
          <w:tcPr>
            <w:tcW w:w="8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78,854,320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2"/>
              <w:spacing w:after="0"/>
              <w:rPr>
                <w:sz w:val="20"/>
                <w:szCs w:val="20"/>
                <w:color w:val="auto"/>
              </w:rPr>
            </w:pPr>
            <w:r>
              <w:rPr>
                <w:rFonts w:ascii="Arial" w:cs="Arial" w:eastAsia="Arial" w:hAnsi="Arial"/>
                <w:sz w:val="16"/>
                <w:szCs w:val="16"/>
                <w:color w:val="auto"/>
                <w:w w:val="92"/>
              </w:rPr>
              <w:t>(26,344,170)</w:t>
            </w:r>
          </w:p>
        </w:tc>
        <w:tc>
          <w:tcPr>
            <w:tcW w:w="80" w:type="dxa"/>
            <w:vAlign w:val="bottom"/>
          </w:tcPr>
          <w:p>
            <w:pPr>
              <w:spacing w:after="0"/>
              <w:rPr>
                <w:sz w:val="24"/>
                <w:szCs w:val="24"/>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53,737,060</w:t>
            </w:r>
          </w:p>
        </w:tc>
        <w:tc>
          <w:tcPr>
            <w:tcW w:w="0" w:type="dxa"/>
            <w:vAlign w:val="bottom"/>
          </w:tcPr>
          <w:p>
            <w:pPr>
              <w:spacing w:after="0"/>
              <w:rPr>
                <w:sz w:val="1"/>
                <w:szCs w:val="1"/>
                <w:color w:val="auto"/>
              </w:rPr>
            </w:pPr>
          </w:p>
        </w:tc>
      </w:tr>
      <w:tr>
        <w:trPr>
          <w:trHeight w:val="540"/>
        </w:trPr>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2,088,212</w:t>
            </w:r>
          </w:p>
        </w:tc>
        <w:tc>
          <w:tcPr>
            <w:tcW w:w="80" w:type="dxa"/>
            <w:vAlign w:val="bottom"/>
          </w:tcPr>
          <w:p>
            <w:pPr>
              <w:spacing w:after="0"/>
              <w:rPr>
                <w:sz w:val="24"/>
                <w:szCs w:val="24"/>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2,088,212</w:t>
            </w:r>
          </w:p>
        </w:tc>
        <w:tc>
          <w:tcPr>
            <w:tcW w:w="0" w:type="dxa"/>
            <w:vAlign w:val="bottom"/>
          </w:tcPr>
          <w:p>
            <w:pPr>
              <w:spacing w:after="0"/>
              <w:rPr>
                <w:sz w:val="1"/>
                <w:szCs w:val="1"/>
                <w:color w:val="auto"/>
              </w:rPr>
            </w:pPr>
          </w:p>
        </w:tc>
      </w:tr>
      <w:tr>
        <w:trPr>
          <w:trHeight w:val="257"/>
        </w:trPr>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13,600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22"/>
                <w:szCs w:val="22"/>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7,752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7,888</w:t>
            </w:r>
          </w:p>
        </w:tc>
        <w:tc>
          <w:tcPr>
            <w:tcW w:w="0" w:type="dxa"/>
            <w:vAlign w:val="bottom"/>
          </w:tcPr>
          <w:p>
            <w:pPr>
              <w:spacing w:after="0"/>
              <w:rPr>
                <w:sz w:val="1"/>
                <w:szCs w:val="1"/>
                <w:color w:val="auto"/>
              </w:rPr>
            </w:pPr>
          </w:p>
        </w:tc>
      </w:tr>
      <w:tr>
        <w:trPr>
          <w:trHeight w:val="459"/>
        </w:trPr>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45,351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45,351</w:t>
            </w:r>
          </w:p>
        </w:tc>
        <w:tc>
          <w:tcPr>
            <w:tcW w:w="0" w:type="dxa"/>
            <w:vAlign w:val="bottom"/>
          </w:tcPr>
          <w:p>
            <w:pPr>
              <w:spacing w:after="0"/>
              <w:rPr>
                <w:sz w:val="1"/>
                <w:szCs w:val="1"/>
                <w:color w:val="auto"/>
              </w:rPr>
            </w:pPr>
          </w:p>
        </w:tc>
      </w:tr>
      <w:tr>
        <w:trPr>
          <w:trHeight w:val="256"/>
        </w:trPr>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781,287</w:t>
            </w:r>
          </w:p>
        </w:tc>
        <w:tc>
          <w:tcPr>
            <w:tcW w:w="8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781,287</w:t>
            </w:r>
          </w:p>
        </w:tc>
        <w:tc>
          <w:tcPr>
            <w:tcW w:w="0" w:type="dxa"/>
            <w:vAlign w:val="bottom"/>
          </w:tcPr>
          <w:p>
            <w:pPr>
              <w:spacing w:after="0"/>
              <w:rPr>
                <w:sz w:val="1"/>
                <w:szCs w:val="1"/>
                <w:color w:val="auto"/>
              </w:rPr>
            </w:pPr>
          </w:p>
        </w:tc>
      </w:tr>
      <w:tr>
        <w:trPr>
          <w:trHeight w:val="33"/>
        </w:trPr>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9"/>
        </w:trPr>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7,319,897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6"/>
                <w:szCs w:val="16"/>
                <w:b w:val="1"/>
                <w:bCs w:val="1"/>
                <w:color w:val="auto"/>
              </w:rPr>
              <w:t>146,398</w:t>
            </w:r>
          </w:p>
        </w:tc>
        <w:tc>
          <w:tcPr>
            <w:tcW w:w="8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175,840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1,758</w:t>
            </w:r>
          </w:p>
        </w:tc>
        <w:tc>
          <w:tcPr>
            <w:tcW w:w="8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$ 78,907,423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center"/>
              <w:ind w:right="2"/>
              <w:spacing w:after="0"/>
              <w:rPr>
                <w:sz w:val="20"/>
                <w:szCs w:val="20"/>
                <w:color w:val="auto"/>
              </w:rPr>
            </w:pPr>
            <w:r>
              <w:rPr>
                <w:rFonts w:ascii="Arial" w:cs="Arial" w:eastAsia="Arial" w:hAnsi="Arial"/>
                <w:sz w:val="16"/>
                <w:szCs w:val="16"/>
                <w:b w:val="1"/>
                <w:bCs w:val="1"/>
                <w:color w:val="auto"/>
                <w:w w:val="92"/>
              </w:rPr>
              <w:t>(23,474,671)</w:t>
            </w:r>
          </w:p>
        </w:tc>
        <w:tc>
          <w:tcPr>
            <w:tcW w:w="80" w:type="dxa"/>
            <w:vAlign w:val="bottom"/>
          </w:tcPr>
          <w:p>
            <w:pPr>
              <w:spacing w:after="0"/>
              <w:rPr>
                <w:sz w:val="24"/>
                <w:szCs w:val="24"/>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w w:val="92"/>
              </w:rPr>
              <w:t>$ 56,659,798</w:t>
            </w:r>
          </w:p>
        </w:tc>
        <w:tc>
          <w:tcPr>
            <w:tcW w:w="0" w:type="dxa"/>
            <w:vAlign w:val="bottom"/>
          </w:tcPr>
          <w:p>
            <w:pPr>
              <w:spacing w:after="0"/>
              <w:rPr>
                <w:sz w:val="1"/>
                <w:szCs w:val="1"/>
                <w:color w:val="auto"/>
              </w:rPr>
            </w:pPr>
          </w:p>
        </w:tc>
      </w:tr>
      <w:tr>
        <w:trPr>
          <w:trHeight w:val="33"/>
        </w:trPr>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ectPr>
          <w:pgSz w:w="11900" w:h="16838" w:orient="portrait"/>
          <w:cols w:equalWidth="0" w:num="2">
            <w:col w:w="3860" w:space="160"/>
            <w:col w:w="7200"/>
          </w:cols>
          <w:pgMar w:left="340" w:top="121"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F-74</w:t>
      </w:r>
    </w:p>
    <w:p>
      <w:pPr>
        <w:sectPr>
          <w:pgSz w:w="11900" w:h="16838" w:orient="portrait"/>
          <w:cols w:equalWidth="0" w:num="1">
            <w:col w:w="11220"/>
          </w:cols>
          <w:pgMar w:left="340" w:top="121" w:right="339" w:bottom="1440" w:gutter="0" w:footer="0" w:header="0"/>
          <w:type w:val="continuous"/>
        </w:sectPr>
      </w:pPr>
    </w:p>
    <w:bookmarkStart w:id="300" w:name="page301"/>
    <w:bookmarkEnd w:id="30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January 1, 2019 through January 31, 2019 and the Year Ended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781,287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(27,472,223)</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45,351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568,185</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1,158,171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10,116,527</w:t>
            </w: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65,565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537,814</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share redemption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14,087,015</w:t>
            </w: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(72,943)</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(5,329,772)</w:t>
            </w: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6,590,217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(15,771,980)</w:t>
            </w:r>
          </w:p>
        </w:tc>
      </w:tr>
      <w:tr>
        <w:trPr>
          <w:trHeight w:val="243"/>
        </w:trPr>
        <w:tc>
          <w:tcPr>
            <w:tcW w:w="8020" w:type="dxa"/>
            <w:vAlign w:val="bottom"/>
          </w:tcPr>
          <w:p>
            <w:pPr>
              <w:ind w:left="460"/>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(1,017,936)</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1,834,433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(2,946,204)</w:t>
            </w:r>
          </w:p>
        </w:tc>
      </w:tr>
      <w:tr>
        <w:trPr>
          <w:trHeight w:val="243"/>
        </w:trPr>
        <w:tc>
          <w:tcPr>
            <w:tcW w:w="8020" w:type="dxa"/>
            <w:vAlign w:val="bottom"/>
          </w:tcPr>
          <w:p>
            <w:pPr>
              <w:ind w:left="460"/>
              <w:spacing w:after="0"/>
              <w:rPr>
                <w:sz w:val="20"/>
                <w:szCs w:val="20"/>
                <w:color w:val="auto"/>
              </w:rPr>
            </w:pPr>
            <w:r>
              <w:rPr>
                <w:rFonts w:ascii="Arial" w:cs="Arial" w:eastAsia="Arial" w:hAnsi="Arial"/>
                <w:sz w:val="18"/>
                <w:szCs w:val="18"/>
                <w:color w:val="auto"/>
              </w:rPr>
              <w:t>Capitalized commissions</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(536,565)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(1,211,167)</w:t>
            </w:r>
          </w:p>
        </w:tc>
      </w:tr>
      <w:tr>
        <w:trPr>
          <w:trHeight w:val="243"/>
        </w:trPr>
        <w:tc>
          <w:tcPr>
            <w:tcW w:w="802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(1,132,846)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228,383</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(2,824,733)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3,707,293</w:t>
            </w:r>
          </w:p>
        </w:tc>
      </w:tr>
      <w:tr>
        <w:trPr>
          <w:trHeight w:val="243"/>
        </w:trPr>
        <w:tc>
          <w:tcPr>
            <w:tcW w:w="802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292,916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44,858,243</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6,063,242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20,281,235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(4,889,877)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(762,615)</w:t>
            </w:r>
          </w:p>
        </w:tc>
      </w:tr>
      <w:tr>
        <w:trPr>
          <w:trHeight w:val="243"/>
        </w:trPr>
        <w:tc>
          <w:tcPr>
            <w:tcW w:w="8020" w:type="dxa"/>
            <w:vAlign w:val="bottom"/>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130,000</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Settlement of share redemption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(55,999,015)</w:t>
            </w:r>
          </w:p>
        </w:tc>
      </w:tr>
      <w:tr>
        <w:trPr>
          <w:trHeight w:val="243"/>
        </w:trPr>
        <w:tc>
          <w:tcPr>
            <w:tcW w:w="8020" w:type="dxa"/>
            <w:vAlign w:val="bottom"/>
          </w:tcPr>
          <w:p>
            <w:pPr>
              <w:ind w:left="120"/>
              <w:spacing w:after="0"/>
              <w:rPr>
                <w:sz w:val="20"/>
                <w:szCs w:val="20"/>
                <w:color w:val="auto"/>
              </w:rPr>
            </w:pPr>
            <w:r>
              <w:rPr>
                <w:rFonts w:ascii="Arial" w:cs="Arial" w:eastAsia="Arial" w:hAnsi="Arial"/>
                <w:sz w:val="18"/>
                <w:szCs w:val="18"/>
                <w:color w:val="auto"/>
              </w:rPr>
              <w:t>Acquisitions, net of cash acquired (Note 4)</w:t>
            </w:r>
          </w:p>
        </w:tc>
        <w:tc>
          <w:tcPr>
            <w:tcW w:w="3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(14,675,796)</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(4,889,877)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(71,307,426)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long-term borrowings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63,100,000</w:t>
            </w:r>
          </w:p>
        </w:tc>
      </w:tr>
      <w:tr>
        <w:trPr>
          <w:trHeight w:val="243"/>
        </w:trPr>
        <w:tc>
          <w:tcPr>
            <w:tcW w:w="8020" w:type="dxa"/>
            <w:vAlign w:val="bottom"/>
          </w:tcPr>
          <w:p>
            <w:pPr>
              <w:ind w:left="12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(6,082,750)</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(1,576,079)</w:t>
            </w:r>
          </w:p>
        </w:tc>
      </w:tr>
      <w:tr>
        <w:trPr>
          <w:trHeight w:val="243"/>
        </w:trPr>
        <w:tc>
          <w:tcPr>
            <w:tcW w:w="802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7,888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94,099</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7,888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55,535,270</w:t>
            </w:r>
          </w:p>
        </w:tc>
      </w:tr>
      <w:tr>
        <w:trPr>
          <w:trHeight w:val="237"/>
        </w:trPr>
        <w:tc>
          <w:tcPr>
            <w:tcW w:w="8020" w:type="dxa"/>
            <w:vAlign w:val="bottom"/>
          </w:tcPr>
          <w:p>
            <w:pPr>
              <w:ind w:left="540"/>
              <w:spacing w:after="0"/>
              <w:rPr>
                <w:sz w:val="20"/>
                <w:szCs w:val="20"/>
                <w:color w:val="auto"/>
              </w:rPr>
            </w:pPr>
            <w:r>
              <w:rPr>
                <w:rFonts w:ascii="Arial" w:cs="Arial" w:eastAsia="Arial" w:hAnsi="Arial"/>
                <w:sz w:val="18"/>
                <w:szCs w:val="18"/>
                <w:b w:val="1"/>
                <w:bCs w:val="1"/>
                <w:color w:val="auto"/>
              </w:rPr>
              <w:t>Increase in cash and cash equivalents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1,181,253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4,509,079</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9,691,793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5,182,714</w:t>
            </w:r>
          </w:p>
        </w:tc>
      </w:tr>
      <w:tr>
        <w:trPr>
          <w:trHeight w:val="264"/>
        </w:trPr>
        <w:tc>
          <w:tcPr>
            <w:tcW w:w="802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10,873,046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9,691,793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Supplemental disclosure of noncash activities: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0"/>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8,738,030</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8020" w:type="dxa"/>
            <w:vAlign w:val="bottom"/>
          </w:tcPr>
          <w:p>
            <w:pPr>
              <w:ind w:left="120"/>
              <w:spacing w:after="0"/>
              <w:rPr>
                <w:sz w:val="20"/>
                <w:szCs w:val="20"/>
                <w:color w:val="auto"/>
              </w:rPr>
            </w:pPr>
            <w:r>
              <w:rPr>
                <w:rFonts w:ascii="Arial" w:cs="Arial" w:eastAsia="Arial" w:hAnsi="Arial"/>
                <w:sz w:val="18"/>
                <w:szCs w:val="18"/>
                <w:color w:val="auto"/>
              </w:rPr>
              <w:t>Cash paid for income taxes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2,286,699</w:t>
            </w:r>
          </w:p>
        </w:tc>
      </w:tr>
      <w:tr>
        <w:trPr>
          <w:trHeight w:val="20"/>
        </w:trPr>
        <w:tc>
          <w:tcPr>
            <w:tcW w:w="8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F-75</w:t>
      </w:r>
    </w:p>
    <w:p>
      <w:pPr>
        <w:sectPr>
          <w:pgSz w:w="11900" w:h="16838" w:orient="portrait"/>
          <w:cols w:equalWidth="0" w:num="1">
            <w:col w:w="11240"/>
          </w:cols>
          <w:pgMar w:left="320" w:top="121" w:right="339" w:bottom="1440" w:gutter="0" w:footer="0" w:header="0"/>
          <w:type w:val="continuous"/>
        </w:sectPr>
      </w:pPr>
    </w:p>
    <w:bookmarkStart w:id="301" w:name="page302"/>
    <w:bookmarkEnd w:id="301"/>
    <w:p>
      <w:pPr>
        <w:jc w:val="center"/>
        <w:ind w:right="-49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rFonts w:ascii="Arial" w:cs="Arial" w:eastAsia="Arial" w:hAnsi="Arial"/>
                <w:sz w:val="18"/>
                <w:szCs w:val="18"/>
                <w:u w:val="single" w:color="auto"/>
                <w:color w:val="0000FF"/>
              </w:rPr>
            </w:pPr>
            <w:hyperlink w:anchor="page302">
              <w:r>
                <w:rPr>
                  <w:rFonts w:ascii="Arial" w:cs="Arial" w:eastAsia="Arial" w:hAnsi="Arial"/>
                  <w:sz w:val="18"/>
                  <w:szCs w:val="18"/>
                  <w:u w:val="single" w:color="auto"/>
                  <w:color w:val="0000FF"/>
                </w:rPr>
                <w:t>Note 1</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02">
              <w:r>
                <w:rPr>
                  <w:rFonts w:ascii="Arial" w:cs="Arial" w:eastAsia="Arial" w:hAnsi="Arial"/>
                  <w:sz w:val="18"/>
                  <w:szCs w:val="18"/>
                  <w:u w:val="single" w:color="auto"/>
                  <w:color w:val="0000FF"/>
                </w:rPr>
                <w:t>Description of Business</w:t>
              </w:r>
            </w:hyperlink>
          </w:p>
        </w:tc>
        <w:tc>
          <w:tcPr>
            <w:tcW w:w="6020" w:type="dxa"/>
            <w:vAlign w:val="bottom"/>
          </w:tcPr>
          <w:p>
            <w:pPr>
              <w:ind w:left="5680"/>
              <w:spacing w:after="0"/>
              <w:rPr>
                <w:rFonts w:ascii="Arial" w:cs="Arial" w:eastAsia="Arial" w:hAnsi="Arial"/>
                <w:sz w:val="18"/>
                <w:szCs w:val="18"/>
                <w:color w:val="auto"/>
                <w:w w:val="86"/>
              </w:rPr>
            </w:pPr>
            <w:hyperlink w:anchor="page302">
              <w:r>
                <w:rPr>
                  <w:rFonts w:ascii="Arial" w:cs="Arial" w:eastAsia="Arial" w:hAnsi="Arial"/>
                  <w:sz w:val="18"/>
                  <w:szCs w:val="18"/>
                  <w:color w:val="auto"/>
                  <w:w w:val="86"/>
                </w:rPr>
                <w:t>F-77</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303">
              <w:r>
                <w:rPr>
                  <w:rFonts w:ascii="Arial" w:cs="Arial" w:eastAsia="Arial" w:hAnsi="Arial"/>
                  <w:sz w:val="18"/>
                  <w:szCs w:val="18"/>
                  <w:u w:val="single" w:color="auto"/>
                  <w:color w:val="0000FF"/>
                </w:rPr>
                <w:t>Note 2</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03">
              <w:r>
                <w:rPr>
                  <w:rFonts w:ascii="Arial" w:cs="Arial" w:eastAsia="Arial" w:hAnsi="Arial"/>
                  <w:sz w:val="18"/>
                  <w:szCs w:val="18"/>
                  <w:u w:val="single" w:color="auto"/>
                  <w:color w:val="0000FF"/>
                </w:rPr>
                <w:t>Summary of Significant Accounting Principals</w:t>
              </w:r>
            </w:hyperlink>
          </w:p>
        </w:tc>
        <w:tc>
          <w:tcPr>
            <w:tcW w:w="6020" w:type="dxa"/>
            <w:vAlign w:val="bottom"/>
          </w:tcPr>
          <w:p>
            <w:pPr>
              <w:ind w:left="5680"/>
              <w:spacing w:after="0"/>
              <w:rPr>
                <w:rFonts w:ascii="Arial" w:cs="Arial" w:eastAsia="Arial" w:hAnsi="Arial"/>
                <w:sz w:val="18"/>
                <w:szCs w:val="18"/>
                <w:color w:val="auto"/>
                <w:w w:val="86"/>
              </w:rPr>
            </w:pPr>
            <w:hyperlink w:anchor="page303">
              <w:r>
                <w:rPr>
                  <w:rFonts w:ascii="Arial" w:cs="Arial" w:eastAsia="Arial" w:hAnsi="Arial"/>
                  <w:sz w:val="18"/>
                  <w:szCs w:val="18"/>
                  <w:color w:val="auto"/>
                  <w:w w:val="86"/>
                </w:rPr>
                <w:t>F-77</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308">
              <w:r>
                <w:rPr>
                  <w:rFonts w:ascii="Arial" w:cs="Arial" w:eastAsia="Arial" w:hAnsi="Arial"/>
                  <w:sz w:val="18"/>
                  <w:szCs w:val="18"/>
                  <w:u w:val="single" w:color="auto"/>
                  <w:color w:val="0000FF"/>
                </w:rPr>
                <w:t>Note 3</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08">
              <w:r>
                <w:rPr>
                  <w:rFonts w:ascii="Arial" w:cs="Arial" w:eastAsia="Arial" w:hAnsi="Arial"/>
                  <w:sz w:val="18"/>
                  <w:szCs w:val="18"/>
                  <w:u w:val="single" w:color="auto"/>
                  <w:color w:val="0000FF"/>
                </w:rPr>
                <w:t>Revenue from Contracts with Customers</w:t>
              </w:r>
            </w:hyperlink>
          </w:p>
        </w:tc>
        <w:tc>
          <w:tcPr>
            <w:tcW w:w="6020" w:type="dxa"/>
            <w:vAlign w:val="bottom"/>
          </w:tcPr>
          <w:p>
            <w:pPr>
              <w:ind w:left="5680"/>
              <w:spacing w:after="0"/>
              <w:rPr>
                <w:rFonts w:ascii="Arial" w:cs="Arial" w:eastAsia="Arial" w:hAnsi="Arial"/>
                <w:sz w:val="18"/>
                <w:szCs w:val="18"/>
                <w:color w:val="auto"/>
                <w:w w:val="86"/>
              </w:rPr>
            </w:pPr>
            <w:hyperlink w:anchor="page282">
              <w:r>
                <w:rPr>
                  <w:rFonts w:ascii="Arial" w:cs="Arial" w:eastAsia="Arial" w:hAnsi="Arial"/>
                  <w:sz w:val="18"/>
                  <w:szCs w:val="18"/>
                  <w:color w:val="auto"/>
                  <w:w w:val="86"/>
                </w:rPr>
                <w:t>F-</w:t>
              </w:r>
            </w:hyperlink>
            <w:hyperlink w:anchor="page308">
              <w:r>
                <w:rPr>
                  <w:rFonts w:ascii="Arial" w:cs="Arial" w:eastAsia="Arial" w:hAnsi="Arial"/>
                  <w:sz w:val="18"/>
                  <w:szCs w:val="18"/>
                  <w:color w:val="auto"/>
                  <w:w w:val="86"/>
                </w:rPr>
                <w:t>82</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308">
              <w:r>
                <w:rPr>
                  <w:rFonts w:ascii="Arial" w:cs="Arial" w:eastAsia="Arial" w:hAnsi="Arial"/>
                  <w:sz w:val="18"/>
                  <w:szCs w:val="18"/>
                  <w:u w:val="single" w:color="auto"/>
                  <w:color w:val="0000FF"/>
                </w:rPr>
                <w:t>Note 4</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08">
              <w:r>
                <w:rPr>
                  <w:rFonts w:ascii="Arial" w:cs="Arial" w:eastAsia="Arial" w:hAnsi="Arial"/>
                  <w:sz w:val="18"/>
                  <w:szCs w:val="18"/>
                  <w:u w:val="single" w:color="auto"/>
                  <w:color w:val="0000FF"/>
                </w:rPr>
                <w:t>Business Combinations</w:t>
              </w:r>
            </w:hyperlink>
          </w:p>
        </w:tc>
        <w:tc>
          <w:tcPr>
            <w:tcW w:w="6020" w:type="dxa"/>
            <w:vAlign w:val="bottom"/>
          </w:tcPr>
          <w:p>
            <w:pPr>
              <w:ind w:left="5680"/>
              <w:spacing w:after="0"/>
              <w:rPr>
                <w:rFonts w:ascii="Arial" w:cs="Arial" w:eastAsia="Arial" w:hAnsi="Arial"/>
                <w:sz w:val="18"/>
                <w:szCs w:val="18"/>
                <w:color w:val="auto"/>
                <w:w w:val="86"/>
              </w:rPr>
            </w:pPr>
            <w:hyperlink w:anchor="page308">
              <w:r>
                <w:rPr>
                  <w:rFonts w:ascii="Arial" w:cs="Arial" w:eastAsia="Arial" w:hAnsi="Arial"/>
                  <w:sz w:val="18"/>
                  <w:szCs w:val="18"/>
                  <w:color w:val="auto"/>
                  <w:w w:val="86"/>
                </w:rPr>
                <w:t>F-82</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309">
              <w:r>
                <w:rPr>
                  <w:rFonts w:ascii="Arial" w:cs="Arial" w:eastAsia="Arial" w:hAnsi="Arial"/>
                  <w:sz w:val="18"/>
                  <w:szCs w:val="18"/>
                  <w:u w:val="single" w:color="auto"/>
                  <w:color w:val="0000FF"/>
                </w:rPr>
                <w:t>Note 5</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09">
              <w:r>
                <w:rPr>
                  <w:rFonts w:ascii="Arial" w:cs="Arial" w:eastAsia="Arial" w:hAnsi="Arial"/>
                  <w:sz w:val="18"/>
                  <w:szCs w:val="18"/>
                  <w:u w:val="single" w:color="auto"/>
                  <w:color w:val="0000FF"/>
                </w:rPr>
                <w:t>Property and Equipment</w:t>
              </w:r>
            </w:hyperlink>
          </w:p>
        </w:tc>
        <w:tc>
          <w:tcPr>
            <w:tcW w:w="6020" w:type="dxa"/>
            <w:vAlign w:val="bottom"/>
          </w:tcPr>
          <w:p>
            <w:pPr>
              <w:ind w:left="5680"/>
              <w:spacing w:after="0"/>
              <w:rPr>
                <w:rFonts w:ascii="Arial" w:cs="Arial" w:eastAsia="Arial" w:hAnsi="Arial"/>
                <w:sz w:val="18"/>
                <w:szCs w:val="18"/>
                <w:color w:val="auto"/>
                <w:w w:val="86"/>
              </w:rPr>
            </w:pPr>
            <w:hyperlink w:anchor="page309">
              <w:r>
                <w:rPr>
                  <w:rFonts w:ascii="Arial" w:cs="Arial" w:eastAsia="Arial" w:hAnsi="Arial"/>
                  <w:sz w:val="18"/>
                  <w:szCs w:val="18"/>
                  <w:color w:val="auto"/>
                  <w:w w:val="86"/>
                </w:rPr>
                <w:t>F-83</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309">
              <w:r>
                <w:rPr>
                  <w:rFonts w:ascii="Arial" w:cs="Arial" w:eastAsia="Arial" w:hAnsi="Arial"/>
                  <w:sz w:val="18"/>
                  <w:szCs w:val="18"/>
                  <w:u w:val="single" w:color="auto"/>
                  <w:color w:val="0000FF"/>
                </w:rPr>
                <w:t>Note 6</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09">
              <w:r>
                <w:rPr>
                  <w:rFonts w:ascii="Arial" w:cs="Arial" w:eastAsia="Arial" w:hAnsi="Arial"/>
                  <w:sz w:val="18"/>
                  <w:szCs w:val="18"/>
                  <w:u w:val="single" w:color="auto"/>
                  <w:color w:val="0000FF"/>
                </w:rPr>
                <w:t>Intangible Assets and Goodwill</w:t>
              </w:r>
            </w:hyperlink>
          </w:p>
        </w:tc>
        <w:tc>
          <w:tcPr>
            <w:tcW w:w="6020" w:type="dxa"/>
            <w:vAlign w:val="bottom"/>
          </w:tcPr>
          <w:p>
            <w:pPr>
              <w:ind w:left="5680"/>
              <w:spacing w:after="0"/>
              <w:rPr>
                <w:rFonts w:ascii="Arial" w:cs="Arial" w:eastAsia="Arial" w:hAnsi="Arial"/>
                <w:sz w:val="18"/>
                <w:szCs w:val="18"/>
                <w:color w:val="auto"/>
                <w:w w:val="86"/>
              </w:rPr>
            </w:pPr>
            <w:hyperlink w:anchor="page309">
              <w:r>
                <w:rPr>
                  <w:rFonts w:ascii="Arial" w:cs="Arial" w:eastAsia="Arial" w:hAnsi="Arial"/>
                  <w:sz w:val="18"/>
                  <w:szCs w:val="18"/>
                  <w:color w:val="auto"/>
                  <w:w w:val="86"/>
                </w:rPr>
                <w:t>F-84</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311">
              <w:r>
                <w:rPr>
                  <w:rFonts w:ascii="Arial" w:cs="Arial" w:eastAsia="Arial" w:hAnsi="Arial"/>
                  <w:sz w:val="18"/>
                  <w:szCs w:val="18"/>
                  <w:u w:val="single" w:color="auto"/>
                  <w:color w:val="0000FF"/>
                </w:rPr>
                <w:t>Note 7</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11">
              <w:r>
                <w:rPr>
                  <w:rFonts w:ascii="Arial" w:cs="Arial" w:eastAsia="Arial" w:hAnsi="Arial"/>
                  <w:sz w:val="18"/>
                  <w:szCs w:val="18"/>
                  <w:u w:val="single" w:color="auto"/>
                  <w:color w:val="0000FF"/>
                </w:rPr>
                <w:t>Long-Term Debt</w:t>
              </w:r>
            </w:hyperlink>
          </w:p>
        </w:tc>
        <w:tc>
          <w:tcPr>
            <w:tcW w:w="6020" w:type="dxa"/>
            <w:vAlign w:val="bottom"/>
          </w:tcPr>
          <w:p>
            <w:pPr>
              <w:ind w:left="5680"/>
              <w:spacing w:after="0"/>
              <w:rPr>
                <w:rFonts w:ascii="Arial" w:cs="Arial" w:eastAsia="Arial" w:hAnsi="Arial"/>
                <w:sz w:val="18"/>
                <w:szCs w:val="18"/>
                <w:color w:val="auto"/>
                <w:w w:val="86"/>
              </w:rPr>
            </w:pPr>
            <w:hyperlink w:anchor="page311">
              <w:r>
                <w:rPr>
                  <w:rFonts w:ascii="Arial" w:cs="Arial" w:eastAsia="Arial" w:hAnsi="Arial"/>
                  <w:sz w:val="18"/>
                  <w:szCs w:val="18"/>
                  <w:color w:val="auto"/>
                  <w:w w:val="86"/>
                </w:rPr>
                <w:t>F-85</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312">
              <w:r>
                <w:rPr>
                  <w:rFonts w:ascii="Arial" w:cs="Arial" w:eastAsia="Arial" w:hAnsi="Arial"/>
                  <w:sz w:val="18"/>
                  <w:szCs w:val="18"/>
                  <w:u w:val="single" w:color="auto"/>
                  <w:color w:val="0000FF"/>
                </w:rPr>
                <w:t>Note 8</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12">
              <w:r>
                <w:rPr>
                  <w:rFonts w:ascii="Arial" w:cs="Arial" w:eastAsia="Arial" w:hAnsi="Arial"/>
                  <w:sz w:val="18"/>
                  <w:szCs w:val="18"/>
                  <w:u w:val="single" w:color="auto"/>
                  <w:color w:val="0000FF"/>
                </w:rPr>
                <w:t>Related Party Transactions</w:t>
              </w:r>
            </w:hyperlink>
          </w:p>
        </w:tc>
        <w:tc>
          <w:tcPr>
            <w:tcW w:w="6020" w:type="dxa"/>
            <w:vAlign w:val="bottom"/>
          </w:tcPr>
          <w:p>
            <w:pPr>
              <w:ind w:left="5680"/>
              <w:spacing w:after="0"/>
              <w:rPr>
                <w:rFonts w:ascii="Arial" w:cs="Arial" w:eastAsia="Arial" w:hAnsi="Arial"/>
                <w:sz w:val="18"/>
                <w:szCs w:val="18"/>
                <w:color w:val="auto"/>
                <w:w w:val="86"/>
              </w:rPr>
            </w:pPr>
            <w:hyperlink w:anchor="page312">
              <w:r>
                <w:rPr>
                  <w:rFonts w:ascii="Arial" w:cs="Arial" w:eastAsia="Arial" w:hAnsi="Arial"/>
                  <w:sz w:val="18"/>
                  <w:szCs w:val="18"/>
                  <w:color w:val="auto"/>
                  <w:w w:val="86"/>
                </w:rPr>
                <w:t>F-86</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312">
              <w:r>
                <w:rPr>
                  <w:rFonts w:ascii="Arial" w:cs="Arial" w:eastAsia="Arial" w:hAnsi="Arial"/>
                  <w:sz w:val="18"/>
                  <w:szCs w:val="18"/>
                  <w:u w:val="single" w:color="auto"/>
                  <w:color w:val="0000FF"/>
                </w:rPr>
                <w:t>Note 9</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12">
              <w:r>
                <w:rPr>
                  <w:rFonts w:ascii="Arial" w:cs="Arial" w:eastAsia="Arial" w:hAnsi="Arial"/>
                  <w:sz w:val="18"/>
                  <w:szCs w:val="18"/>
                  <w:u w:val="single" w:color="auto"/>
                  <w:color w:val="0000FF"/>
                </w:rPr>
                <w:t>Preferred Stock</w:t>
              </w:r>
            </w:hyperlink>
          </w:p>
        </w:tc>
        <w:tc>
          <w:tcPr>
            <w:tcW w:w="6020" w:type="dxa"/>
            <w:vAlign w:val="bottom"/>
          </w:tcPr>
          <w:p>
            <w:pPr>
              <w:ind w:left="5680"/>
              <w:spacing w:after="0"/>
              <w:rPr>
                <w:rFonts w:ascii="Arial" w:cs="Arial" w:eastAsia="Arial" w:hAnsi="Arial"/>
                <w:sz w:val="18"/>
                <w:szCs w:val="18"/>
                <w:color w:val="auto"/>
                <w:w w:val="86"/>
              </w:rPr>
            </w:pPr>
            <w:hyperlink w:anchor="page312">
              <w:r>
                <w:rPr>
                  <w:rFonts w:ascii="Arial" w:cs="Arial" w:eastAsia="Arial" w:hAnsi="Arial"/>
                  <w:sz w:val="18"/>
                  <w:szCs w:val="18"/>
                  <w:color w:val="auto"/>
                  <w:w w:val="86"/>
                </w:rPr>
                <w:t>F-86</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313">
              <w:r>
                <w:rPr>
                  <w:rFonts w:ascii="Arial" w:cs="Arial" w:eastAsia="Arial" w:hAnsi="Arial"/>
                  <w:sz w:val="18"/>
                  <w:szCs w:val="18"/>
                  <w:u w:val="single" w:color="auto"/>
                  <w:color w:val="0000FF"/>
                </w:rPr>
                <w:t>Note 10</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13">
              <w:r>
                <w:rPr>
                  <w:rFonts w:ascii="Arial" w:cs="Arial" w:eastAsia="Arial" w:hAnsi="Arial"/>
                  <w:sz w:val="18"/>
                  <w:szCs w:val="18"/>
                  <w:u w:val="single" w:color="auto"/>
                  <w:color w:val="0000FF"/>
                </w:rPr>
                <w:t>Common Stock</w:t>
              </w:r>
            </w:hyperlink>
          </w:p>
        </w:tc>
        <w:tc>
          <w:tcPr>
            <w:tcW w:w="6020" w:type="dxa"/>
            <w:vAlign w:val="bottom"/>
          </w:tcPr>
          <w:p>
            <w:pPr>
              <w:ind w:left="5680"/>
              <w:spacing w:after="0"/>
              <w:rPr>
                <w:rFonts w:ascii="Arial" w:cs="Arial" w:eastAsia="Arial" w:hAnsi="Arial"/>
                <w:sz w:val="18"/>
                <w:szCs w:val="18"/>
                <w:color w:val="auto"/>
                <w:w w:val="86"/>
              </w:rPr>
            </w:pPr>
            <w:hyperlink w:anchor="page313">
              <w:r>
                <w:rPr>
                  <w:rFonts w:ascii="Arial" w:cs="Arial" w:eastAsia="Arial" w:hAnsi="Arial"/>
                  <w:sz w:val="18"/>
                  <w:szCs w:val="18"/>
                  <w:color w:val="auto"/>
                  <w:w w:val="86"/>
                </w:rPr>
                <w:t>F-87</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313">
              <w:r>
                <w:rPr>
                  <w:rFonts w:ascii="Arial" w:cs="Arial" w:eastAsia="Arial" w:hAnsi="Arial"/>
                  <w:sz w:val="18"/>
                  <w:szCs w:val="18"/>
                  <w:u w:val="single" w:color="auto"/>
                  <w:color w:val="0000FF"/>
                </w:rPr>
                <w:t>Note 11</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13">
              <w:r>
                <w:rPr>
                  <w:rFonts w:ascii="Arial" w:cs="Arial" w:eastAsia="Arial" w:hAnsi="Arial"/>
                  <w:sz w:val="18"/>
                  <w:szCs w:val="18"/>
                  <w:u w:val="single" w:color="auto"/>
                  <w:color w:val="0000FF"/>
                </w:rPr>
                <w:t>Stock Compensation Plan</w:t>
              </w:r>
            </w:hyperlink>
          </w:p>
        </w:tc>
        <w:tc>
          <w:tcPr>
            <w:tcW w:w="6020" w:type="dxa"/>
            <w:vAlign w:val="bottom"/>
          </w:tcPr>
          <w:p>
            <w:pPr>
              <w:ind w:left="5680"/>
              <w:spacing w:after="0"/>
              <w:rPr>
                <w:rFonts w:ascii="Arial" w:cs="Arial" w:eastAsia="Arial" w:hAnsi="Arial"/>
                <w:sz w:val="18"/>
                <w:szCs w:val="18"/>
                <w:color w:val="auto"/>
                <w:w w:val="86"/>
              </w:rPr>
            </w:pPr>
            <w:hyperlink w:anchor="page313">
              <w:r>
                <w:rPr>
                  <w:rFonts w:ascii="Arial" w:cs="Arial" w:eastAsia="Arial" w:hAnsi="Arial"/>
                  <w:sz w:val="18"/>
                  <w:szCs w:val="18"/>
                  <w:color w:val="auto"/>
                  <w:w w:val="86"/>
                </w:rPr>
                <w:t>F-87</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314">
              <w:r>
                <w:rPr>
                  <w:rFonts w:ascii="Arial" w:cs="Arial" w:eastAsia="Arial" w:hAnsi="Arial"/>
                  <w:sz w:val="18"/>
                  <w:szCs w:val="18"/>
                  <w:u w:val="single" w:color="auto"/>
                  <w:color w:val="0000FF"/>
                </w:rPr>
                <w:t>Note 12</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14">
              <w:r>
                <w:rPr>
                  <w:rFonts w:ascii="Arial" w:cs="Arial" w:eastAsia="Arial" w:hAnsi="Arial"/>
                  <w:sz w:val="18"/>
                  <w:szCs w:val="18"/>
                  <w:u w:val="single" w:color="auto"/>
                  <w:color w:val="0000FF"/>
                </w:rPr>
                <w:t>Income Taxes</w:t>
              </w:r>
            </w:hyperlink>
          </w:p>
        </w:tc>
        <w:tc>
          <w:tcPr>
            <w:tcW w:w="6020" w:type="dxa"/>
            <w:vAlign w:val="bottom"/>
          </w:tcPr>
          <w:p>
            <w:pPr>
              <w:ind w:left="5680"/>
              <w:spacing w:after="0"/>
              <w:rPr>
                <w:rFonts w:ascii="Arial" w:cs="Arial" w:eastAsia="Arial" w:hAnsi="Arial"/>
                <w:sz w:val="18"/>
                <w:szCs w:val="18"/>
                <w:color w:val="auto"/>
                <w:w w:val="86"/>
              </w:rPr>
            </w:pPr>
            <w:hyperlink w:anchor="page314">
              <w:r>
                <w:rPr>
                  <w:rFonts w:ascii="Arial" w:cs="Arial" w:eastAsia="Arial" w:hAnsi="Arial"/>
                  <w:sz w:val="18"/>
                  <w:szCs w:val="18"/>
                  <w:color w:val="auto"/>
                  <w:w w:val="86"/>
                </w:rPr>
                <w:t>F-88</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315">
              <w:r>
                <w:rPr>
                  <w:rFonts w:ascii="Arial" w:cs="Arial" w:eastAsia="Arial" w:hAnsi="Arial"/>
                  <w:sz w:val="18"/>
                  <w:szCs w:val="18"/>
                  <w:u w:val="single" w:color="auto"/>
                  <w:color w:val="0000FF"/>
                </w:rPr>
                <w:t>Note 13</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15">
              <w:r>
                <w:rPr>
                  <w:rFonts w:ascii="Arial" w:cs="Arial" w:eastAsia="Arial" w:hAnsi="Arial"/>
                  <w:sz w:val="18"/>
                  <w:szCs w:val="18"/>
                  <w:u w:val="single" w:color="auto"/>
                  <w:color w:val="0000FF"/>
                </w:rPr>
                <w:t>Employee Benefit Plan</w:t>
              </w:r>
            </w:hyperlink>
          </w:p>
        </w:tc>
        <w:tc>
          <w:tcPr>
            <w:tcW w:w="6020" w:type="dxa"/>
            <w:vAlign w:val="bottom"/>
          </w:tcPr>
          <w:p>
            <w:pPr>
              <w:ind w:left="5680"/>
              <w:spacing w:after="0"/>
              <w:rPr>
                <w:rFonts w:ascii="Arial" w:cs="Arial" w:eastAsia="Arial" w:hAnsi="Arial"/>
                <w:sz w:val="18"/>
                <w:szCs w:val="18"/>
                <w:color w:val="auto"/>
                <w:w w:val="86"/>
              </w:rPr>
            </w:pPr>
            <w:hyperlink w:anchor="page315">
              <w:r>
                <w:rPr>
                  <w:rFonts w:ascii="Arial" w:cs="Arial" w:eastAsia="Arial" w:hAnsi="Arial"/>
                  <w:sz w:val="18"/>
                  <w:szCs w:val="18"/>
                  <w:color w:val="auto"/>
                  <w:w w:val="86"/>
                </w:rPr>
                <w:t>F-89</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315">
              <w:r>
                <w:rPr>
                  <w:rFonts w:ascii="Arial" w:cs="Arial" w:eastAsia="Arial" w:hAnsi="Arial"/>
                  <w:sz w:val="18"/>
                  <w:szCs w:val="18"/>
                  <w:u w:val="single" w:color="auto"/>
                  <w:color w:val="0000FF"/>
                </w:rPr>
                <w:t>Note 14</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15">
              <w:r>
                <w:rPr>
                  <w:rFonts w:ascii="Arial" w:cs="Arial" w:eastAsia="Arial" w:hAnsi="Arial"/>
                  <w:sz w:val="18"/>
                  <w:szCs w:val="18"/>
                  <w:u w:val="single" w:color="auto"/>
                  <w:color w:val="0000FF"/>
                </w:rPr>
                <w:t>Commitments and Contingencies</w:t>
              </w:r>
            </w:hyperlink>
          </w:p>
        </w:tc>
        <w:tc>
          <w:tcPr>
            <w:tcW w:w="6020" w:type="dxa"/>
            <w:vAlign w:val="bottom"/>
          </w:tcPr>
          <w:p>
            <w:pPr>
              <w:ind w:left="5680"/>
              <w:spacing w:after="0"/>
              <w:rPr>
                <w:rFonts w:ascii="Arial" w:cs="Arial" w:eastAsia="Arial" w:hAnsi="Arial"/>
                <w:sz w:val="18"/>
                <w:szCs w:val="18"/>
                <w:color w:val="auto"/>
                <w:w w:val="86"/>
              </w:rPr>
            </w:pPr>
            <w:hyperlink w:anchor="page315">
              <w:r>
                <w:rPr>
                  <w:rFonts w:ascii="Arial" w:cs="Arial" w:eastAsia="Arial" w:hAnsi="Arial"/>
                  <w:sz w:val="18"/>
                  <w:szCs w:val="18"/>
                  <w:color w:val="auto"/>
                  <w:w w:val="86"/>
                </w:rPr>
                <w:t>F-89</w:t>
              </w:r>
            </w:hyperlink>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316">
              <w:r>
                <w:rPr>
                  <w:rFonts w:ascii="Arial" w:cs="Arial" w:eastAsia="Arial" w:hAnsi="Arial"/>
                  <w:sz w:val="18"/>
                  <w:szCs w:val="18"/>
                  <w:u w:val="single" w:color="auto"/>
                  <w:color w:val="0000FF"/>
                </w:rPr>
                <w:t>Note 15</w:t>
              </w:r>
            </w:hyperlink>
          </w:p>
        </w:tc>
        <w:tc>
          <w:tcPr>
            <w:tcW w:w="4120" w:type="dxa"/>
            <w:vAlign w:val="bottom"/>
          </w:tcPr>
          <w:p>
            <w:pPr>
              <w:ind w:left="340"/>
              <w:spacing w:after="0"/>
              <w:rPr>
                <w:rFonts w:ascii="Arial" w:cs="Arial" w:eastAsia="Arial" w:hAnsi="Arial"/>
                <w:sz w:val="18"/>
                <w:szCs w:val="18"/>
                <w:u w:val="single" w:color="auto"/>
                <w:color w:val="0000FF"/>
              </w:rPr>
            </w:pPr>
            <w:hyperlink w:anchor="page316">
              <w:r>
                <w:rPr>
                  <w:rFonts w:ascii="Arial" w:cs="Arial" w:eastAsia="Arial" w:hAnsi="Arial"/>
                  <w:sz w:val="18"/>
                  <w:szCs w:val="18"/>
                  <w:u w:val="single" w:color="auto"/>
                  <w:color w:val="0000FF"/>
                </w:rPr>
                <w:t>Subsequent Events</w:t>
              </w:r>
            </w:hyperlink>
          </w:p>
        </w:tc>
        <w:tc>
          <w:tcPr>
            <w:tcW w:w="6020" w:type="dxa"/>
            <w:vAlign w:val="bottom"/>
          </w:tcPr>
          <w:p>
            <w:pPr>
              <w:ind w:left="5680"/>
              <w:spacing w:after="0"/>
              <w:rPr>
                <w:rFonts w:ascii="Arial" w:cs="Arial" w:eastAsia="Arial" w:hAnsi="Arial"/>
                <w:sz w:val="18"/>
                <w:szCs w:val="18"/>
                <w:color w:val="auto"/>
                <w:w w:val="86"/>
              </w:rPr>
            </w:pPr>
            <w:hyperlink w:anchor="page316">
              <w:r>
                <w:rPr>
                  <w:rFonts w:ascii="Arial" w:cs="Arial" w:eastAsia="Arial" w:hAnsi="Arial"/>
                  <w:sz w:val="18"/>
                  <w:szCs w:val="18"/>
                  <w:color w:val="auto"/>
                  <w:w w:val="86"/>
                </w:rPr>
                <w:t>F-90</w:t>
              </w:r>
            </w:hyperlink>
          </w:p>
        </w:tc>
      </w:tr>
      <w:tr>
        <w:trPr>
          <w:trHeight w:val="823"/>
        </w:trPr>
        <w:tc>
          <w:tcPr>
            <w:tcW w:w="9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F-76</w:t>
            </w:r>
          </w:p>
        </w:tc>
      </w:tr>
    </w:tbl>
    <w:p>
      <w:pPr>
        <w:sectPr>
          <w:pgSz w:w="11900" w:h="16838" w:orient="portrait"/>
          <w:cols w:equalWidth="0" w:num="1">
            <w:col w:w="11040"/>
          </w:cols>
          <w:pgMar w:left="340" w:top="121" w:right="519" w:bottom="1440" w:gutter="0" w:footer="0" w:header="0"/>
        </w:sectPr>
      </w:pPr>
    </w:p>
    <w:bookmarkStart w:id="302" w:name="page303"/>
    <w:bookmarkEnd w:id="30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Zoom Information, Inc. (ZoomInfo or the Company) was incorporated in March 2000 as a Delaware corporation. ZoomInfo provides business information to sales, marketing and recruiting professionals to help them find, qualify and close business more efficiently. The Company is headquartered in Waltham, Massachusetts and has offices in Michigan, Israel and Russia.</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is subject to risks common to technology companies in similar stages of development including, but not limited to, the need for successful development of new technology, development of markets and distribution channels, raising sufficient capital to support operations, protection of proprietary technology, dependence on key personnel, fluctuations in operating results and risks associated with changes in information technology.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financial statements have been prepared in accordance with accounting standards set by the Financial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Board (FASB). The FASB sets generally accepted accounting principles (GAAP) to ensure financial condition, results of operations, and cash flows are consistently reported. References to GAAP issued by the FASB in these footnotes are to the FASB Accounting Standards Codification (FASB ASC).</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accompanying consolidated financial statements include the accounts of Zoom Information, Inc. and its wholly-owned subsidiaries, Datanyze, Inc., Datanyze Rus, LLC and Zoom Information Israel Ltd. All significant intercompany accounts and transactions have been eliminated upon consolidation.</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reported amounts of assets and liabilities and the disclosure of contingent assets and liabilities at the date of the consolidated financial statements and the reported amounts of revenue and expenses during the reporting period. Actual results could differ from those estimates. Significant estimates include the net realizable value of accounts receivable, revenue recognition, useful lives of property and equipment, accrued liabilities, purchase price allocation and valuation of goodwill and intangible assets, stock-based compensation and accounting for deferred income taxes.</w:t>
      </w:r>
    </w:p>
    <w:p>
      <w:pPr>
        <w:spacing w:after="0" w:line="13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Foreign currency: </w:t>
      </w:r>
      <w:r>
        <w:rPr>
          <w:rFonts w:ascii="Arial" w:cs="Arial" w:eastAsia="Arial" w:hAnsi="Arial"/>
          <w:sz w:val="18"/>
          <w:szCs w:val="18"/>
          <w:color w:val="auto"/>
        </w:rPr>
        <w:t>The Company’s foreign operations include contractual obligations denominated in foreign currencies, as well as financial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denominated in foreign currencies. The Company is subject to exposure should exchange rates fluctuate. The Company’s consolidated financial statements are presented in United States Dollars.</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functional currency of the Company’s foreign subsidiaries in Russia and Israel is the United States Dollar. The Company remeasures monetary assets and liabilities from the local currency to the United States Dollar at exchange rates in effect at the end of each period. Nonmonetary assets and liabilities are remeasured at historical rates. Income statement accounts are remeasured at monthly average rates for the year. Gains and losses from remeasurement are included in other income (expense) in the consolidated statements of operations.</w:t>
      </w:r>
    </w:p>
    <w:p>
      <w:pPr>
        <w:spacing w:after="0" w:line="1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such highly liquid investments with original maturities of three months or less when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cash and cash equivalents.</w:t>
      </w:r>
    </w:p>
    <w:p>
      <w:pPr>
        <w:spacing w:after="0" w:line="1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Concentrations of credit risk and significant customers: </w:t>
      </w:r>
      <w:r>
        <w:rPr>
          <w:rFonts w:ascii="Arial" w:cs="Arial" w:eastAsia="Arial" w:hAnsi="Arial"/>
          <w:sz w:val="18"/>
          <w:szCs w:val="18"/>
          <w:color w:val="auto"/>
        </w:rPr>
        <w:t>Bank deposit accounts in the United States are insured by the Federal Deposit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(FDIC) up to $250,000. The Company maintains its cash and cash equivalents in bank deposit accounts that, at times, may exceed federally insured limits. The Company has not experienced any losses in such accounts and management believes it is not exposed to significant credit risk. During the period from January 1, 2019 through January 31, 2019 and the year ended December 31, 2018, there were no individual customers that represented greater than 10% of the Company’s revenue. As of January 31, 2019 and December 31, 2018, there were no individual customers with an outstanding balance greater than 10% of accounts receivable.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40"/>
          </w:cols>
          <w:pgMar w:left="320" w:top="121" w:right="339" w:bottom="1440" w:gutter="0" w:footer="0" w:header="0"/>
        </w:sectPr>
      </w:pPr>
    </w:p>
    <w:bookmarkStart w:id="303" w:name="page304"/>
    <w:bookmarkEnd w:id="30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The Company accounts for trade receivables at original invoiced amounts less any allowance for doubtful accounts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of future collection. The Company provides an allowance for doubtful accounts based upon past loss experience, known and inherent risks in the accounts, adverse situations that may affect a customers’ ability to repay, and current economic conditions. The Company writes off accounts receivable against the allowance when a balance is determined to be uncollectible. The allowance for doubtful accounts was $383,796 and $365,127 at January 31, 2019 and December 31, 2018, respectively.</w:t>
      </w:r>
    </w:p>
    <w:p>
      <w:pPr>
        <w:spacing w:after="0" w:line="12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recorded at cost and depreciated using the straight-line method over the estimated useful lives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assets or, where applicable and if shorter, over the lease term. Upon retirement or sale, the cost of assets disposed of and the related accumulated depreciation are removed from the accounts and any resulting (gain) or loss is credited or charged to income. Repairs and maintenance costs are expensed as incurred. Depreciation is provided for by the straight-line method over estimated useful lives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4620" w:type="dxa"/>
            <w:vAlign w:val="bottom"/>
            <w:shd w:val="clear" w:color="auto" w:fill="CCEEFF"/>
          </w:tcPr>
          <w:p>
            <w:pPr>
              <w:ind w:left="4080"/>
              <w:spacing w:after="0"/>
              <w:rPr>
                <w:sz w:val="20"/>
                <w:szCs w:val="20"/>
                <w:color w:val="auto"/>
              </w:rPr>
            </w:pPr>
            <w:r>
              <w:rPr>
                <w:rFonts w:ascii="Arial" w:cs="Arial" w:eastAsia="Arial" w:hAnsi="Arial"/>
                <w:sz w:val="18"/>
                <w:szCs w:val="18"/>
                <w:color w:val="auto"/>
                <w:w w:val="88"/>
              </w:rPr>
              <w:t>3 years</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620" w:type="dxa"/>
            <w:vAlign w:val="bottom"/>
          </w:tcPr>
          <w:p>
            <w:pPr>
              <w:ind w:left="4080"/>
              <w:spacing w:after="0"/>
              <w:rPr>
                <w:sz w:val="20"/>
                <w:szCs w:val="20"/>
                <w:color w:val="auto"/>
              </w:rPr>
            </w:pPr>
            <w:r>
              <w:rPr>
                <w:rFonts w:ascii="Arial" w:cs="Arial" w:eastAsia="Arial" w:hAnsi="Arial"/>
                <w:sz w:val="18"/>
                <w:szCs w:val="18"/>
                <w:color w:val="auto"/>
                <w:w w:val="88"/>
              </w:rPr>
              <w:t>3 years</w:t>
            </w:r>
          </w:p>
        </w:tc>
      </w:tr>
      <w:tr>
        <w:trPr>
          <w:trHeight w:val="27"/>
        </w:trPr>
        <w:tc>
          <w:tcPr>
            <w:tcW w:w="662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4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620" w:type="dxa"/>
            <w:vAlign w:val="bottom"/>
            <w:shd w:val="clear" w:color="auto" w:fill="CCEEFF"/>
          </w:tcPr>
          <w:p>
            <w:pPr>
              <w:ind w:left="4080"/>
              <w:spacing w:after="0"/>
              <w:rPr>
                <w:sz w:val="20"/>
                <w:szCs w:val="20"/>
                <w:color w:val="auto"/>
              </w:rPr>
            </w:pPr>
            <w:r>
              <w:rPr>
                <w:rFonts w:ascii="Arial" w:cs="Arial" w:eastAsia="Arial" w:hAnsi="Arial"/>
                <w:sz w:val="18"/>
                <w:szCs w:val="18"/>
                <w:color w:val="auto"/>
                <w:w w:val="88"/>
              </w:rPr>
              <w:t>5 years</w:t>
            </w:r>
          </w:p>
        </w:tc>
      </w:tr>
      <w:tr>
        <w:trPr>
          <w:trHeight w:val="27"/>
        </w:trPr>
        <w:tc>
          <w:tcPr>
            <w:tcW w:w="662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The Company accounts for business combinations pursuant to FASB ASC 805,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(ASC 805).</w:t>
      </w:r>
      <w:r>
        <w:rPr>
          <w:rFonts w:ascii="Arial" w:cs="Arial" w:eastAsia="Arial" w:hAnsi="Arial"/>
          <w:sz w:val="17"/>
          <w:szCs w:val="17"/>
          <w:b w:val="1"/>
          <w:bCs w:val="1"/>
          <w:color w:val="auto"/>
        </w:rPr>
        <w:t xml:space="preserve"> </w:t>
      </w:r>
      <w:r>
        <w:rPr>
          <w:rFonts w:ascii="Arial" w:cs="Arial" w:eastAsia="Arial" w:hAnsi="Arial"/>
          <w:sz w:val="17"/>
          <w:szCs w:val="17"/>
          <w:color w:val="auto"/>
        </w:rPr>
        <w:t>Goodwill in such acquisitions represents the excess of the cost of a business acquired over the net of the amounts assigned to assets acquired, including identifiable intangible assets and liabilities assumed. The guidance specifies criteria to be used in determining whether intangible assets acquired in a business combination must be recognized and reported separately from goodwill. Amounts assigned to goodwill and other identifiable intangible assets were determined with the assistance of an independent appraiser through established valuation techniques.</w:t>
      </w:r>
    </w:p>
    <w:p>
      <w:pPr>
        <w:spacing w:after="0" w:line="1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accordance with FASB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the Company conducts an impairment evaluation for goodwill at least annually, or more frequently, if events or changes in circumstances indicate that an asset might be impaired. The Company performed the assessment concluding no impairment noted for the period from January 1, 2019 to January 31, 2019 and the year ended December 31, 2018.</w:t>
      </w:r>
    </w:p>
    <w:p>
      <w:pPr>
        <w:spacing w:after="0" w:line="1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Debt financing costs: </w:t>
      </w:r>
      <w:r>
        <w:rPr>
          <w:rFonts w:ascii="Arial" w:cs="Arial" w:eastAsia="Arial" w:hAnsi="Arial"/>
          <w:sz w:val="18"/>
          <w:szCs w:val="18"/>
          <w:color w:val="auto"/>
        </w:rPr>
        <w:t>Costs incurred related to the financing of long-term debt are netted against the debt and amortized over the remaining life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debt offering. Costs associated with the terms loan are amortized using the straight-line method. Amortization expense is recorded as a component of interest expense.</w:t>
      </w:r>
    </w:p>
    <w:p>
      <w:pPr>
        <w:spacing w:after="0" w:line="12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Long-lived assets include property and equipment, definite lived intangible assets and capitalized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costs. Long-lived assets are reviewed by management for impairment whenever events or changes in business circumstances indicate that the carrying amount of assets may not be fully recoverable or that the useful lives of these assets are no longer appropriate. Each impairment test is based on a comparison of undiscounted cash flows to the recorded value of the asset. If any impairment is indicated, the asset is written down to its estimate fair value determined on a discounted cash flow basis. For the period from January 1, 2019 through January 31, 2019 and the year ended December 31, 2018, the Company does not believe any impairment of its long-lived assets has occurred.</w:t>
      </w:r>
    </w:p>
    <w:p>
      <w:pPr>
        <w:spacing w:after="0" w:line="11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Revenue recognition (FASB ASC 605): </w:t>
      </w:r>
      <w:r>
        <w:rPr>
          <w:rFonts w:ascii="Arial" w:cs="Arial" w:eastAsia="Arial" w:hAnsi="Arial"/>
          <w:sz w:val="17"/>
          <w:szCs w:val="17"/>
          <w:color w:val="auto"/>
        </w:rPr>
        <w:t>The Company derives revenue by providing software as a service (SaaS) to the customer in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does not have the rights to the software license itself but can use the hosted software for the contracted term. As a result, the Company recognizes revenue from these arrangements in accordance with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during the year ended December 31, 2018. In accordance with the guidance, the Company accounts for its customer arrangements as service contracts.</w:t>
      </w:r>
    </w:p>
    <w:p>
      <w:pPr>
        <w:spacing w:after="0" w:line="1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is recognized only when persuasive evidence of an arrangement exists, the fee is fixed or determinable, the product or service has been delivered, and collectability of the resulting receivable is probable.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year ended December 31, 2018, SaaS revenue was recognized ratably over the term of the related contract, assuming all revenue recognition criteria had been met. SaaS fees are paid by customers for rights to access the Company’s online search technology and database of business people and companies pursuant to subscription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40"/>
          </w:cols>
          <w:pgMar w:left="320" w:top="121" w:right="339" w:bottom="1440" w:gutter="0" w:footer="0" w:header="0"/>
        </w:sectPr>
      </w:pPr>
    </w:p>
    <w:bookmarkStart w:id="304" w:name="page305"/>
    <w:bookmarkEnd w:id="30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agreements with defined terms. The Company’s subscription agreements also generally provide an annual level of usage for the ability to generate lists and data append services. These contracts also provide the rate at which the customer must pay for usage above and beyond the annual allowable level. Any excess over the annual level of usage requires the customer to pay an additional fee and associated revenue from the ability to use these additional lists or data append services is recognized ratably over the period of availability. Remaining usage expires upon the expiration of the subscription term to the extent unused. Revenue for the annual usage fee is recognized ratably over the subscription term as the pattern of performance is not determinable.</w:t>
      </w:r>
    </w:p>
    <w:p>
      <w:pPr>
        <w:spacing w:after="0" w:line="10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Deferred revenue represent amounts billed or received in advance of satisfying the revenue recognition policy described above and includes $8,232,322 that is included in both accounts receivable and deferred revenue at December 31, 2018, respectively. The Company believes that it has an enforceable collection right pursuant to the related contracts.</w:t>
      </w:r>
    </w:p>
    <w:p>
      <w:pPr>
        <w:spacing w:after="0" w:line="126"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 xml:space="preserve">Revenue recognition (FASB ASC 606): </w:t>
      </w:r>
      <w:r>
        <w:rPr>
          <w:rFonts w:ascii="Arial" w:cs="Arial" w:eastAsia="Arial" w:hAnsi="Arial"/>
          <w:sz w:val="16"/>
          <w:szCs w:val="16"/>
          <w:color w:val="auto"/>
        </w:rPr>
        <w:t>During the period from January 1, 2019 through January 31, 2019, the Company adopted ASU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(ASC 606). The Company adopted ASC 606 on January 1, 2019 utilizing the modified retrospective method</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requires the standard to be adopted for the period beginning January 1, 2019 with no change to the year ended December 31, 2018. Results for the period from January 1, 2019 through January 31, 2019 are presented under ASC 606, while prior period amounts are not adjusted and continue to be reported under accounting standards in effect for the prior periods. The Company recorded an adjustment to accumulated deficit on January 1, 2019 due to the cumulative impact of adopting ASC 606. See Note 3 for the required disclosures related to the impact of adopting this standard.</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and services. ASC 606 requires disclosures of the nature, amount, timing, and uncertainty of revenue and cash flows arising from contracts with customers.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core principle of the standard is to recognize revenue to depict the transfer of promised goods or services to customers in an amount that reflects the consideration to which the Company expect to be entitled in exchange for those goods or services. To achieve that core principle, the Company applies the following five step model:</w:t>
      </w:r>
    </w:p>
    <w:p>
      <w:pPr>
        <w:spacing w:after="0" w:line="130" w:lineRule="exact"/>
        <w:rPr>
          <w:sz w:val="20"/>
          <w:szCs w:val="20"/>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Recognize revenue when (or as) each performance obligation is satisfied.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generally recognizes revenue for subscription contracts ratably over the contractual term, beginning on the date that the service is made available to the customer. Deferred revenue results from amounts billed to customers in advance or cash received from customers in advance of the satisfaction of performance obligations.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transaction price is the amount of consideration to which the Company expects to be entitled in exchange for transferring goods and services to the customer. Revenue is recorded based on the transaction price, which includes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 The Company recorded variable consideration of $98,000 during the period from January 1, 2019 through January 31, 2019. The Company recorded a $435,912 adjustment to accumulated deficit related to variable consideration upon adoption of ASC 606 (Note 3).</w:t>
      </w:r>
    </w:p>
    <w:p>
      <w:pPr>
        <w:spacing w:after="0" w:line="12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Deferred revenue represent amounts billed or received in advance of satisfying the revenue recognition policy described above and includes $2,886,392 that is included in both accounts receivable and deferred revenue at January 31, 2019. The Company believes that it has an enforceable collection right pursuant to the related contracts.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40"/>
          </w:cols>
          <w:pgMar w:left="320" w:top="121" w:right="339" w:bottom="1440" w:gutter="0" w:footer="0" w:header="0"/>
        </w:sectPr>
      </w:pPr>
    </w:p>
    <w:bookmarkStart w:id="305" w:name="page306"/>
    <w:bookmarkEnd w:id="305"/>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 xml:space="preserve">Contract costs: </w:t>
      </w:r>
      <w:r>
        <w:rPr>
          <w:rFonts w:ascii="Arial" w:cs="Arial" w:eastAsia="Arial" w:hAnsi="Arial"/>
          <w:sz w:val="17"/>
          <w:szCs w:val="17"/>
          <w:color w:val="auto"/>
        </w:rPr>
        <w:t>During the period from January 1, 2019 through January 31, 2019, the Company adopted FASB ASC 340-40 -</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Other Assets and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Deferred Costs—Contracts with Customers </w:t>
      </w:r>
      <w:r>
        <w:rPr>
          <w:rFonts w:ascii="Arial" w:cs="Arial" w:eastAsia="Arial" w:hAnsi="Arial"/>
          <w:sz w:val="17"/>
          <w:szCs w:val="17"/>
          <w:color w:val="auto"/>
        </w:rPr>
        <w:t>as part of the ASU 2014-09. Sales commissions paid to sales personnel are considered incremental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recoverable costs of obtaining a contract with a customer. Sales commissions for initial contracts are capitalized and amortized on a straight-line basis over three years which represents the expected benefit period of the associated contracts. The Company determines the period of benefit by taking into consideration the historical and expected durations of customer contracts, the expected useful life of the technology, and other factors. Sales commissions for renewal contracts are generally deferred and amortized on a straight-line basis over the related contractual renewal period, which is generally one year. Amortization expense related to capitalized commissions is included as a component of sales and marketing expense in the accompanying consolidated statement of operations. Total capitalized commissions as of January 31, 2019 were $3,585,122. Prior to adoption of FASB ASC 340-40, sales commissions were expensed as incurred.</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recorded an adjustment to accumulated deficit on January 1, 2019 due to the cumulative impact of adopting ASC 340-40 of $3,280,346. During the period from January 1, 2019 through January 31, 2019, the Company capitalized commissions of $536,565 and recorded amortization expense of $231,789. See Note 3 for required disclosures related to the impact of adopting this standard.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applies a practical expedient to expense costs as incurred for costs to obtain a contract when the amortization period is one year or less.</w:t>
      </w:r>
    </w:p>
    <w:p>
      <w:pPr>
        <w:spacing w:after="0" w:line="19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Costs related to advertising are expensed as incurred. Advertising costs include tradeshows, promotional items,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and direct marketing. For the period from January 1, 2019 through January 31, 2019 and the year ended December 31, 2018, total advertising expenses were $164,759 and $2,771,005, respectively.</w:t>
      </w:r>
    </w:p>
    <w:p>
      <w:pPr>
        <w:spacing w:after="0" w:line="12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 xml:space="preserve">Research and development costs and software development costs: </w:t>
      </w:r>
      <w:r>
        <w:rPr>
          <w:rFonts w:ascii="Arial" w:cs="Arial" w:eastAsia="Arial" w:hAnsi="Arial"/>
          <w:sz w:val="16"/>
          <w:szCs w:val="16"/>
          <w:color w:val="auto"/>
        </w:rPr>
        <w:t>Research and development costs are expensed as incurred except for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development costs that qualify for capitalization. Research and development costs consist of personnel costs for the design, deployment, testing and enhancement of the Company’s technology. For development costs related to the Company’s cloud-based service, the Company capitalizes costs incurred during the application development stage. Costs related to preliminary project activities and post-implementation activities are expensed as incurred. The Company did not incur any material qualifying costs during the application development stage during the period from January 1, 2019 through January 31, 2019 or the year ended December 31, 2018. Costs charged to expense relating to research and development totaled $1,663,534 and $13,093,595 for the period from January 1, 2019 through January 31, 2019 and the year ended December 31, 2018, respectively.</w:t>
      </w:r>
    </w:p>
    <w:p>
      <w:pPr>
        <w:spacing w:after="0" w:line="10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The Company accounts for equity-based employee compensation arrangements in accordance with ASC 718,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records stock-based compensation expense based on the estimated fair value of the equity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Black-Scholes option pricing model to determine the weighted-average fair value of options granted. In accordance with ASC 718, the Company recognizes the compensation cost of stock-based awards on a straight-line basis over the requisite service period.</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color w:val="auto"/>
        </w:rPr>
        <w:t xml:space="preserve">Redeemable stock: </w:t>
      </w:r>
      <w:r>
        <w:rPr>
          <w:rFonts w:ascii="Arial" w:cs="Arial" w:eastAsia="Arial" w:hAnsi="Arial"/>
          <w:sz w:val="17"/>
          <w:szCs w:val="17"/>
          <w:color w:val="auto"/>
        </w:rPr>
        <w:t>On August 11, 2017, the Company entered into a Securities Purchase Agreement (the Agreement) with GHP Zoom Investor LLC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(Parent Company), an affiliate of Great Hill Equity Partners VI LP (Acquirer), for the acquisition of 55% of the Company’s equity interest through a leverage recapitalization transaction (Recapitalization). In connection with the close of the Recapitalization, the Company agreed to a mandatory repurchase of certain shares of stock at a specified future date. The Company agreed to purchase and the shareholders agreed to sell the shares of Series A Common Stock (Mandatorily Redeemable Equity Securities) at a date no later than July 31, 2018 (Mandatory Redemption Date) at a price per share determined based on a multiple of billings for the 12 month period ended June 30, 2018. Consistent with the guidance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the Mandatorily Redeemable Equity Securities are recognized as a liability and measured at fair value on the date of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measurement of the liability for the Mandatorily Redeemable Equity Securities is fair value. The Company recorded a share redemption liability of $41,912,000 at December 31, 2017. During the year ended December 31, 2018, the Company repurchased 17,079,761 shares of Mandatorily Redeemable Equity Securities for total cash consideration of $55,999,015. As a result, during the year ended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40"/>
          </w:cols>
          <w:pgMar w:left="320" w:top="121" w:right="339" w:bottom="1440" w:gutter="0" w:footer="0" w:header="0"/>
        </w:sectPr>
      </w:pPr>
    </w:p>
    <w:bookmarkStart w:id="306" w:name="page307"/>
    <w:bookmarkEnd w:id="306"/>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Company recorded a loss of $14,087,015 upon purchase of Mandatorily Redeemable Equity Securities.</w:t>
      </w:r>
    </w:p>
    <w:p>
      <w:pPr>
        <w:spacing w:after="0" w:line="16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 utilizes the asset and liability method of accounting for income taxes. Under this method, deferred tax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are determined based upon differences between financial reporting and tax basis of assets and liabilities and for net operating loss carryforwards, measured using the enacted tax rates and laws that will be in effect when differences are expected to reverse. Valuation allowances are provided, if based upon the weight of available evidence, it is more likely than not that some or all of the deferred tax assets will not be realized.</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follows the provisions of applicable accounting standards relative to accounting for uncertainties in tax positions. Under these provisions, the Company recognizes the tax benefit of tax positions to the extent that the benefit will more likely than not be realized. The determination as to whether the tax benefit will more likely than not be realized is based upon the technical merits of the tax positions as well as the consideration of available facts and circumstances.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In August 2015, the FASB issued ASU 2015-14, which defers the effective date of ASU 2014-09 one year making it effective for annual reporting periods beginning after December 15, 2018. The Company adopted ASC 606 on January 1, 2019 using the modified retrospective method. Under this approach, the new standard applies to all new contracts initiated on or after January 1, 2019. For existing contracts that had remaining obligations as of January 1, 2019, any difference between the recognition criteria in ASC 606 and the Company’s legacy revenue recognition practices was recognized using a cumulative effect adjustment to the opening balance of accumulated deficit (Note 3).</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2016-09). ASU 2016-09 simplifies several aspects of the accounting for equity-based payment awards, including: (a)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(b) classification of the awards as either equity or liabilities, (c) classification on the statement of cash flows and (d) accounting for forfeitures as they occur. ASU 2016-09 is effective for final financial statement periods beginning after December 15, 2017. The Company adopted this guidance during the year ended December 31, 2018. The adoption of this guidance did not materially impact the financial statements (Note 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guidance in this ASU supersedes the leasing guidance in Topic 840, </w:t>
      </w:r>
      <w:r>
        <w:rPr>
          <w:rFonts w:ascii="Arial" w:cs="Arial" w:eastAsia="Arial" w:hAnsi="Arial"/>
          <w:sz w:val="17"/>
          <w:szCs w:val="17"/>
          <w:i w:val="1"/>
          <w:iCs w:val="1"/>
          <w:color w:val="auto"/>
        </w:rPr>
        <w:t>Leases</w:t>
      </w:r>
      <w:r>
        <w:rPr>
          <w:rFonts w:ascii="Arial" w:cs="Arial" w:eastAsia="Arial" w:hAnsi="Arial"/>
          <w:sz w:val="17"/>
          <w:szCs w:val="17"/>
          <w:color w:val="auto"/>
        </w:rPr>
        <w:t>. Under the new guidance, lessees are required to recognize lease assets and lease liabilities on the balance sheet for all leases with terms longer than</w:t>
      </w:r>
      <w:r>
        <w:rPr>
          <w:rFonts w:ascii="Arial" w:cs="Arial" w:eastAsia="Arial" w:hAnsi="Arial"/>
          <w:sz w:val="17"/>
          <w:szCs w:val="17"/>
          <w:i w:val="1"/>
          <w:iCs w:val="1"/>
          <w:color w:val="auto"/>
        </w:rPr>
        <w:t xml:space="preserve"> </w:t>
      </w:r>
      <w:r>
        <w:rPr>
          <w:rFonts w:ascii="Arial" w:cs="Arial" w:eastAsia="Arial" w:hAnsi="Arial"/>
          <w:sz w:val="17"/>
          <w:szCs w:val="17"/>
          <w:color w:val="auto"/>
        </w:rPr>
        <w:t>12 months. Leases will be classified as either finance or operating, with classification affecting the pattern of expense recognition in the income statement. The new standard is effective for fiscal years beginning after December 15, 2020,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did not evaluate the impact of adopting the guidance due to the sale of the Company as disclosed within Note 15.</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(Topic 350), which eliminates the requirement to compare the implied fair value of reporting unit goodwill with the carrying amount of that goodwill (commonly referred to as Step 2) from the goodwill impairment test. The new standard does not change how a goodwill impairment is identified. The Company will continue to perform quantitative and qualitative goodwill impairment test by comparing the fair value of each reporting unit to its carrying amount, but if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40"/>
          </w:cols>
          <w:pgMar w:left="320" w:top="121" w:right="339" w:bottom="1440" w:gutter="0" w:footer="0" w:header="0"/>
        </w:sectPr>
      </w:pPr>
    </w:p>
    <w:bookmarkStart w:id="307" w:name="page308"/>
    <w:bookmarkEnd w:id="30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Company is required to recognize a goodwill impairment charge, under the new standard the amount of the charge will be calculated by subtracting the reporting unit’s fair value from its carrying amount. Under the prior standard, if the Company were required to recognize a goodwill impairment charge, Step 2 required to calculate the implied value of goodwill by assigning the fair value of a reporting unit to all of its assets and liabilities as if that reporting unit had been acquired in a business combination and the amount of the charge was calculated by subtracting the reporting unit’s implied fair value of goodwill from its actual goodwill balance. The new standard is effective for annual reporting periods beginning after December 15, 2021, with early adoption permitted, and should be applied prospectively from the date of adoption. The Company did not evaluate the impact of adopting the guidance due to the sale of the Company as disclosed within Note 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On January 1, 2019,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utilizing the modified retrospective method applied to those contracts that were not completed as of December 31, 2018. Results for the period from January 1, 2019 through January 31, 2019 are presented under Topic 606, while prior period amounts are not adjusted and continue to be reported under accounting standards in effect for the prior period. The Company recorded a net decrease to beginning accumulated deficit of $2,088,212 on January 1, 2019. The net decrease to beginning accumulated deficit is due to an adjustment for capitalized commissions of $3,280,346 which was offset by a $435,912 adjustment to deferred revenue and a $756,222 reduction to the income tax benefit. The adjustment to deferred revenue is the result of the Company recording variable consideration.</w:t>
      </w:r>
    </w:p>
    <w:p>
      <w:pPr>
        <w:spacing w:after="0" w:line="1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impact of adopting ASC 606 and ASC 340-40 during the period from January 1, 2019 through January 31, 2019 on the consolidated statement of operations is outlined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Under ASC 605</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Impact of ASC 606</w:t>
            </w:r>
          </w:p>
        </w:tc>
      </w:tr>
      <w:tr>
        <w:trPr>
          <w:trHeight w:val="250"/>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9,693,329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9,791,329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(98,000)</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8,042,952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8,347,737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(304,785)</w:t>
            </w:r>
          </w:p>
        </w:tc>
      </w:tr>
      <w:tr>
        <w:trPr>
          <w:trHeight w:val="27"/>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1,650,377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1,443,592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206,785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645,059</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438,274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206,785</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(136,228)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619,994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(756,222)</w:t>
            </w:r>
          </w:p>
        </w:tc>
      </w:tr>
      <w:tr>
        <w:trPr>
          <w:trHeight w:val="264"/>
        </w:trPr>
        <w:tc>
          <w:tcPr>
            <w:tcW w:w="6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781,287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(181,720)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963,007</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by geography is determined by the domicile of the Company’s contracting entity. All customer contracts are with the Company’s U.S. entity, therefore 100% of the Company’s revenue is designated as U.S. revenue. Due to the SaaS based nature of the Company’s service, it is possible that some of our customers use the service outside of the U.S.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rPr>
              <w:t>All of the Company’s revenue is recognized over time based on the contractual term of the SaaS offering.</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9680" w:type="dxa"/>
            <w:vAlign w:val="bottom"/>
          </w:tcPr>
          <w:p>
            <w:pPr>
              <w:ind w:left="340"/>
              <w:spacing w:after="0"/>
              <w:rPr>
                <w:sz w:val="20"/>
                <w:szCs w:val="20"/>
                <w:color w:val="auto"/>
              </w:rPr>
            </w:pPr>
            <w:r>
              <w:rPr>
                <w:rFonts w:ascii="Arial" w:cs="Arial" w:eastAsia="Arial" w:hAnsi="Arial"/>
                <w:sz w:val="18"/>
                <w:szCs w:val="18"/>
                <w:color w:val="auto"/>
              </w:rPr>
              <w:t>Changes in deferred revenue during the period from January 1, 2019 through January 31, 2019 were as follows: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as of January 1, 2019</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67,535,004</w:t>
            </w:r>
          </w:p>
        </w:tc>
      </w:tr>
      <w:tr>
        <w:trPr>
          <w:trHeight w:val="243"/>
        </w:trPr>
        <w:tc>
          <w:tcPr>
            <w:tcW w:w="9680" w:type="dxa"/>
            <w:vAlign w:val="bottom"/>
          </w:tcPr>
          <w:p>
            <w:pPr>
              <w:ind w:left="220"/>
              <w:spacing w:after="0"/>
              <w:rPr>
                <w:sz w:val="20"/>
                <w:szCs w:val="20"/>
                <w:color w:val="auto"/>
              </w:rPr>
            </w:pPr>
            <w:r>
              <w:rPr>
                <w:rFonts w:ascii="Arial" w:cs="Arial" w:eastAsia="Arial" w:hAnsi="Arial"/>
                <w:sz w:val="18"/>
                <w:szCs w:val="18"/>
                <w:color w:val="auto"/>
              </w:rPr>
              <w:t>ASC 606 adjustments</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435,912</w:t>
            </w: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Billings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9,986,245</w:t>
            </w:r>
          </w:p>
        </w:tc>
      </w:tr>
      <w:tr>
        <w:trPr>
          <w:trHeight w:val="243"/>
        </w:trPr>
        <w:tc>
          <w:tcPr>
            <w:tcW w:w="9680" w:type="dxa"/>
            <w:vAlign w:val="bottom"/>
          </w:tcPr>
          <w:p>
            <w:pPr>
              <w:ind w:left="220"/>
              <w:spacing w:after="0"/>
              <w:rPr>
                <w:sz w:val="20"/>
                <w:szCs w:val="20"/>
                <w:color w:val="auto"/>
              </w:rPr>
            </w:pPr>
            <w:r>
              <w:rPr>
                <w:rFonts w:ascii="Arial" w:cs="Arial" w:eastAsia="Arial" w:hAnsi="Arial"/>
                <w:sz w:val="18"/>
                <w:szCs w:val="18"/>
                <w:color w:val="auto"/>
              </w:rPr>
              <w:t>Revenue recognized</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(9,693,329)</w:t>
            </w:r>
          </w:p>
        </w:tc>
      </w:tr>
      <w:tr>
        <w:trPr>
          <w:trHeight w:val="27"/>
        </w:trPr>
        <w:tc>
          <w:tcPr>
            <w:tcW w:w="9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January 31, 2019</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68,263,832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Yonatan Institute- </w:t>
      </w:r>
      <w:r>
        <w:rPr>
          <w:rFonts w:ascii="Arial" w:cs="Arial" w:eastAsia="Arial" w:hAnsi="Arial"/>
          <w:sz w:val="16"/>
          <w:szCs w:val="16"/>
          <w:color w:val="auto"/>
        </w:rPr>
        <w:t>On August 27, 2018, the Company acquired 100% of Yonatan Institute for Research Ltd. (Yonatan Institute), an affiliate not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of the Company located in Israel. Yonatan Institute has provided services to the Company since 2012 and the seller is the founder and former Chief Executive of the Company. The Company paid $535,490 for all rights, title and interest as well as equitable shares in the subsidiary.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320" w:top="121" w:right="339" w:bottom="1440" w:gutter="0" w:footer="0" w:header="0"/>
        </w:sectPr>
      </w:pPr>
    </w:p>
    <w:bookmarkStart w:id="308" w:name="page309"/>
    <w:bookmarkEnd w:id="30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Upon consummation of the transaction, the Company changed the name of the Israel entity to Zoom Information Israel Ltd. and the former owner retained the naming rights of Yonatan Institute. The consideration consisted of a cash contribution of $203,841, net of cash acquired of $331,649.</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rPr>
              <w:t>The following summarizes the estimated fair value of assets acquired and liabilities assumed:</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89"/>
              </w:rPr>
              <w:t>501,311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1"/>
                <w:szCs w:val="21"/>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3"/>
              </w:rPr>
              <w:t>(416,364)</w:t>
            </w:r>
          </w:p>
        </w:tc>
      </w:tr>
      <w:tr>
        <w:trPr>
          <w:trHeight w:val="27"/>
        </w:trPr>
        <w:tc>
          <w:tcPr>
            <w:tcW w:w="9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89"/>
              </w:rPr>
              <w:t>118,894</w:t>
            </w:r>
          </w:p>
        </w:tc>
      </w:tr>
      <w:tr>
        <w:trPr>
          <w:trHeight w:val="263"/>
        </w:trPr>
        <w:tc>
          <w:tcPr>
            <w:tcW w:w="9680" w:type="dxa"/>
            <w:vAlign w:val="bottom"/>
          </w:tcPr>
          <w:p>
            <w:pPr>
              <w:ind w:left="220"/>
              <w:spacing w:after="0"/>
              <w:rPr>
                <w:sz w:val="20"/>
                <w:szCs w:val="20"/>
                <w:color w:val="auto"/>
              </w:rPr>
            </w:pPr>
            <w:r>
              <w:rPr>
                <w:rFonts w:ascii="Arial" w:cs="Arial" w:eastAsia="Arial" w:hAnsi="Arial"/>
                <w:sz w:val="18"/>
                <w:szCs w:val="18"/>
                <w:color w:val="auto"/>
              </w:rPr>
              <w:t>Fair value of assets acquired and liabilities assumed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203,841</w:t>
            </w:r>
          </w:p>
        </w:tc>
      </w:tr>
      <w:tr>
        <w:trPr>
          <w:trHeight w:val="21"/>
        </w:trPr>
        <w:tc>
          <w:tcPr>
            <w:tcW w:w="9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Datanyze- </w:t>
      </w:r>
      <w:r>
        <w:rPr>
          <w:rFonts w:ascii="Arial" w:cs="Arial" w:eastAsia="Arial" w:hAnsi="Arial"/>
          <w:sz w:val="17"/>
          <w:szCs w:val="17"/>
          <w:color w:val="auto"/>
        </w:rPr>
        <w:t>On September 18, 2018, the Company entered into a share purchase agreement to acquire all of the issued and outstanding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Datanyze, Inc. and Datanyze Rus, LLC (Datanyze) for a total purchase price of $14,471,955. The consideration consisted of a cash contribution totaling $1,863,878, net of cash acquired and proceeds from notes payable of $12,608,077 (Note 7). Datanyze is utilizing technographic data for sales and marketing efforts to provide customers with real-time insights of a company’s technology choices and buying signals.</w:t>
      </w:r>
    </w:p>
    <w:p>
      <w:pPr>
        <w:spacing w:after="0" w:line="1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with the assistance of external valuation specialists, allocated the purchase price to its identifiable tangible and intangible assets and liabilities, with the remaining amount classified as goodwill.</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ind w:left="340"/>
              <w:spacing w:after="0"/>
              <w:rPr>
                <w:sz w:val="20"/>
                <w:szCs w:val="20"/>
                <w:color w:val="auto"/>
              </w:rPr>
            </w:pPr>
            <w:r>
              <w:rPr>
                <w:rFonts w:ascii="Arial" w:cs="Arial" w:eastAsia="Arial" w:hAnsi="Arial"/>
                <w:sz w:val="18"/>
                <w:szCs w:val="18"/>
                <w:color w:val="auto"/>
              </w:rPr>
              <w:t>The following summarizes the estimated fair value of assets acquired and liabilities assumed: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323,070</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194,104</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Tradenames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1,260,000</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(650,416)</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(127,365)</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13,742,562</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Fair value of assets acquired and liabilities assumed</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14,471,955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Property and Equipment</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Arial" w:cs="Arial" w:eastAsia="Arial" w:hAnsi="Arial"/>
                <w:sz w:val="18"/>
                <w:szCs w:val="18"/>
                <w:color w:val="auto"/>
                <w:w w:val="98"/>
              </w:rPr>
              <w:t>Property and equipment consists of the following as of January 31, 2019 and December 31, 2018:</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0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1,766,809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1,398,137</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1,684,108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169,537</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3,069,958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63,324</w:t>
            </w: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6,520,875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1,630,998</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(795,702)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(686,482)</w:t>
            </w: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5,725,173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944,516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Depreciation expense for the period from January 1, 2019 through January 31, 2019 and the year ended December 31, 2018 was $109,220 and $648,853, respectively. During the year ended December 31, 2018, the Company sold property and equipment for total proceeds of $130,000 and recorded a gain on the sale of $72,943.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40"/>
          </w:cols>
          <w:pgMar w:left="320" w:top="121" w:right="339" w:bottom="1440" w:gutter="0" w:footer="0" w:header="0"/>
        </w:sectPr>
      </w:pPr>
    </w:p>
    <w:bookmarkStart w:id="309" w:name="page310"/>
    <w:bookmarkEnd w:id="30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 and Goodwill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at January 31,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00" w:type="dxa"/>
            <w:vAlign w:val="bottom"/>
            <w:vMerge w:val="restart"/>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Gross Carrying Amount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2-7 years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7,114,000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(1,496,415)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5,617,585</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4-7 years</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52,413,000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(10,990,951)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41,422,049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5-9 years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9,379,000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(1,424,210)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7,954,790</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years</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(27,209)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192,791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intangibles</w:t>
            </w:r>
          </w:p>
        </w:tc>
        <w:tc>
          <w:tcPr>
            <w:tcW w:w="1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69,126,000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(13,938,785)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55,187,215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at December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00" w:type="dxa"/>
            <w:vAlign w:val="bottom"/>
            <w:vMerge w:val="restart"/>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Gross Carrying Amount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2-7 years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7,114,000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(1,409,343)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5,704,657</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4-7 years</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52,413,000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(10,363,148)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42,049,852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5-9 years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9,379,000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(1,328,034)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8,050,966</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years</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(21,098)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198,902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intangibles</w:t>
            </w:r>
          </w:p>
        </w:tc>
        <w:tc>
          <w:tcPr>
            <w:tcW w:w="1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69,126,000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(13,121,623)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56,004,377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for intangible assets was $817,162 and $9,467,672 for the period from January 1, 2019 through January 31, 2019 and the year ended December 31, 2018, respectively. Of this expense, $627,804 and $7,456,004 is included in cost of revenue for the period from January 1, 2019 through January 31, 2019 and the year ended December 31, 2018, respectively, with the remainder included within depreciation and amortization in the accompanying consolidated statements of operations.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the current amount of intangible assets subject to amortization, the amortization expense for each of the succeeding years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8,988,782</w:t>
            </w:r>
          </w:p>
        </w:tc>
        <w:tc>
          <w:tcPr>
            <w:tcW w:w="0" w:type="dxa"/>
            <w:vAlign w:val="bottom"/>
          </w:tcPr>
          <w:p>
            <w:pPr>
              <w:spacing w:after="0"/>
              <w:rPr>
                <w:sz w:val="1"/>
                <w:szCs w:val="1"/>
                <w:color w:val="auto"/>
              </w:rPr>
            </w:pP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9,795,035</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9,744,647</w:t>
            </w:r>
          </w:p>
        </w:tc>
        <w:tc>
          <w:tcPr>
            <w:tcW w:w="0" w:type="dxa"/>
            <w:vAlign w:val="bottom"/>
          </w:tcPr>
          <w:p>
            <w:pPr>
              <w:spacing w:after="0"/>
              <w:rPr>
                <w:sz w:val="1"/>
                <w:szCs w:val="1"/>
                <w:color w:val="auto"/>
              </w:rPr>
            </w:pP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9,662,750</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9,512,618</w:t>
            </w:r>
          </w:p>
        </w:tc>
        <w:tc>
          <w:tcPr>
            <w:tcW w:w="0" w:type="dxa"/>
            <w:vAlign w:val="bottom"/>
          </w:tcPr>
          <w:p>
            <w:pPr>
              <w:spacing w:after="0"/>
              <w:rPr>
                <w:sz w:val="1"/>
                <w:szCs w:val="1"/>
                <w:color w:val="auto"/>
              </w:rPr>
            </w:pP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7,483,383</w:t>
            </w:r>
          </w:p>
        </w:tc>
        <w:tc>
          <w:tcPr>
            <w:tcW w:w="0" w:type="dxa"/>
            <w:vAlign w:val="bottom"/>
          </w:tcPr>
          <w:p>
            <w:pPr>
              <w:spacing w:after="0"/>
              <w:rPr>
                <w:sz w:val="1"/>
                <w:szCs w:val="1"/>
                <w:color w:val="auto"/>
              </w:rPr>
            </w:pPr>
          </w:p>
        </w:tc>
      </w:tr>
      <w:tr>
        <w:trPr>
          <w:trHeight w:val="27"/>
        </w:trPr>
        <w:tc>
          <w:tcPr>
            <w:tcW w:w="9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6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55,187,215</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w w:val="96"/>
              </w:rPr>
              <w:t>The changes in intangible assets subject to amortization were as follows as of December 31, 2018 and January 31, 2019: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63,482,049</w:t>
            </w:r>
          </w:p>
        </w:tc>
        <w:tc>
          <w:tcPr>
            <w:tcW w:w="0" w:type="dxa"/>
            <w:vAlign w:val="bottom"/>
          </w:tcPr>
          <w:p>
            <w:pPr>
              <w:spacing w:after="0"/>
              <w:rPr>
                <w:sz w:val="1"/>
                <w:szCs w:val="1"/>
                <w:color w:val="auto"/>
              </w:rPr>
            </w:pP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Addition of Datanyze intangible assets</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1,990,000</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(9,467,672)</w:t>
            </w:r>
          </w:p>
        </w:tc>
        <w:tc>
          <w:tcPr>
            <w:tcW w:w="0" w:type="dxa"/>
            <w:vAlign w:val="bottom"/>
          </w:tcPr>
          <w:p>
            <w:pPr>
              <w:spacing w:after="0"/>
              <w:rPr>
                <w:sz w:val="1"/>
                <w:szCs w:val="1"/>
                <w:color w:val="auto"/>
              </w:rPr>
            </w:pPr>
          </w:p>
        </w:tc>
      </w:tr>
      <w:tr>
        <w:trPr>
          <w:trHeight w:val="237"/>
        </w:trPr>
        <w:tc>
          <w:tcPr>
            <w:tcW w:w="9680" w:type="dxa"/>
            <w:vAlign w:val="bottom"/>
          </w:tcPr>
          <w:p>
            <w:pPr>
              <w:ind w:left="220"/>
              <w:spacing w:after="0"/>
              <w:rPr>
                <w:sz w:val="20"/>
                <w:szCs w:val="20"/>
                <w:color w:val="auto"/>
              </w:rPr>
            </w:pPr>
            <w:r>
              <w:rPr>
                <w:rFonts w:ascii="Arial" w:cs="Arial" w:eastAsia="Arial" w:hAnsi="Arial"/>
                <w:sz w:val="18"/>
                <w:szCs w:val="18"/>
                <w:color w:val="auto"/>
              </w:rPr>
              <w:t>Balance as of December 31, 2018</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56,004,377</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(817,162)</w:t>
            </w:r>
          </w:p>
        </w:tc>
        <w:tc>
          <w:tcPr>
            <w:tcW w:w="0" w:type="dxa"/>
            <w:vAlign w:val="bottom"/>
          </w:tcPr>
          <w:p>
            <w:pPr>
              <w:spacing w:after="0"/>
              <w:rPr>
                <w:sz w:val="1"/>
                <w:szCs w:val="1"/>
                <w:color w:val="auto"/>
              </w:rPr>
            </w:pPr>
          </w:p>
        </w:tc>
      </w:tr>
      <w:tr>
        <w:trPr>
          <w:trHeight w:val="263"/>
        </w:trPr>
        <w:tc>
          <w:tcPr>
            <w:tcW w:w="9680" w:type="dxa"/>
            <w:vAlign w:val="bottom"/>
          </w:tcPr>
          <w:p>
            <w:pPr>
              <w:ind w:left="220"/>
              <w:spacing w:after="0"/>
              <w:rPr>
                <w:sz w:val="20"/>
                <w:szCs w:val="20"/>
                <w:color w:val="auto"/>
              </w:rPr>
            </w:pPr>
            <w:r>
              <w:rPr>
                <w:rFonts w:ascii="Arial" w:cs="Arial" w:eastAsia="Arial" w:hAnsi="Arial"/>
                <w:sz w:val="18"/>
                <w:szCs w:val="18"/>
                <w:color w:val="auto"/>
              </w:rPr>
              <w:t>Balance as of January 31, 2019</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55,187,215</w:t>
            </w:r>
          </w:p>
        </w:tc>
        <w:tc>
          <w:tcPr>
            <w:tcW w:w="0" w:type="dxa"/>
            <w:vAlign w:val="bottom"/>
          </w:tcPr>
          <w:p>
            <w:pPr>
              <w:spacing w:after="0"/>
              <w:rPr>
                <w:sz w:val="1"/>
                <w:szCs w:val="1"/>
                <w:color w:val="auto"/>
              </w:rPr>
            </w:pPr>
          </w:p>
        </w:tc>
      </w:tr>
      <w:tr>
        <w:trPr>
          <w:trHeight w:val="21"/>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1" w:right="339" w:bottom="1440" w:gutter="0" w:footer="0" w:header="0"/>
        </w:sectPr>
      </w:pPr>
    </w:p>
    <w:bookmarkStart w:id="310" w:name="page311"/>
    <w:bookmarkEnd w:id="31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Arial" w:cs="Arial" w:eastAsia="Arial" w:hAnsi="Arial"/>
                <w:sz w:val="18"/>
                <w:szCs w:val="18"/>
                <w:b w:val="1"/>
                <w:bCs w:val="1"/>
                <w:color w:val="auto"/>
              </w:rPr>
              <w:t>Note 6 - Intangible Assets and Goodwill (continued)</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21"/>
        </w:trPr>
        <w:tc>
          <w:tcPr>
            <w:tcW w:w="9680" w:type="dxa"/>
            <w:vAlign w:val="bottom"/>
          </w:tcPr>
          <w:p>
            <w:pPr>
              <w:ind w:left="340"/>
              <w:spacing w:after="0"/>
              <w:rPr>
                <w:sz w:val="20"/>
                <w:szCs w:val="20"/>
                <w:color w:val="auto"/>
              </w:rPr>
            </w:pPr>
            <w:r>
              <w:rPr>
                <w:rFonts w:ascii="Arial" w:cs="Arial" w:eastAsia="Arial" w:hAnsi="Arial"/>
                <w:sz w:val="18"/>
                <w:szCs w:val="18"/>
                <w:color w:val="auto"/>
              </w:rPr>
              <w:t>Goodwill consisted of the following as of December 31, 2018 and January 31, 2019:</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155,173,906</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Acquisition of Datanyze</w:t>
            </w:r>
          </w:p>
        </w:tc>
        <w:tc>
          <w:tcPr>
            <w:tcW w:w="3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13,742,562</w:t>
            </w:r>
          </w:p>
        </w:tc>
      </w:tr>
      <w:tr>
        <w:trPr>
          <w:trHeight w:val="27"/>
        </w:trPr>
        <w:tc>
          <w:tcPr>
            <w:tcW w:w="9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Balance as of December 31, 2018 and January 31, 2019</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168,916,468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August 11, 2017, the Company entered into a credit agreement (Credit Agreement) which consisted of a $80,000,000 term loan (Term Loan) and a $5,000,000 revolving commitment (Revolver). The maturity date of the Credit Agreement is August 10, 2022, and contains various covenants, restrictions and provisions. The interest rate per annum of the Term Loan is variable and based upon Base Rate Loans or LIBOR Loans. The applicable margin is 5% per annum on Base Rate Loans and 6% per annum on LIBOR Loans. The Base Rate refers to the greater of the Prime Rate; the sum of the Federal Funds Rate + .5%; 1-month LIBOR plus the difference of the applicable margin for LIBOR Loans (6%) and the applicable market for Base Loans (5%); and 2% per annum. The LIBOR rate refers to the greater of a rate equal to the offered rate for deposits for the applicable interest period as selected by the borrower and 1%. In the event of a default, the applicable margin shall be increased by 2%. The Revolver bears a commitment fee equal to 0.5% per annum calculated on 360 day year, for the balance upon which the revolving loan commitment exceeds the average daily revolving outstanding balance. The Credit Agreement requires quarterly principal payments on the Term Loan. Repayment of the Term Loan is at an aggregate principal amount equal to 0.25% of the principal on the close date, due and payable on the last business date of each calendar quarter, with payments commencing the last day of September 2017. Repayment of the Revolver is due in full on the termination date of the Revolver. The Company incurred origination costs of $1,987,500 which were recorded as a debt discount and are being expensed over the term of the Credit Agreement.</w:t>
      </w:r>
    </w:p>
    <w:p>
      <w:pPr>
        <w:spacing w:after="0" w:line="1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On July 10, 2018, the Company amended its Credit Agreement (First Credit Amendment). The First Credit Amendment increased the outstanding Term Loan from $80,000,000 to $130,000,000. The proceeds from the First Credit Amendment were utilized for the settlement of the share redemption obligation (Note 2). The First Credit Amendment matures on August 10, 2022, requires quarterly payment of 0.25% of the aggregate principal outstanding and requires the Company to maintain various covenants, restrictions and provisions. The First Credit Amendment was considered a debt modification in accordance with FASB ASC 405-20, </w:t>
      </w:r>
      <w:r>
        <w:rPr>
          <w:rFonts w:ascii="Arial" w:cs="Arial" w:eastAsia="Arial" w:hAnsi="Arial"/>
          <w:sz w:val="16"/>
          <w:szCs w:val="16"/>
          <w:i w:val="1"/>
          <w:iCs w:val="1"/>
          <w:color w:val="auto"/>
        </w:rPr>
        <w:t>Liabilities/Extinguishment of Liabilities</w:t>
      </w:r>
      <w:r>
        <w:rPr>
          <w:rFonts w:ascii="Arial" w:cs="Arial" w:eastAsia="Arial" w:hAnsi="Arial"/>
          <w:sz w:val="16"/>
          <w:szCs w:val="16"/>
          <w:color w:val="auto"/>
        </w:rPr>
        <w:t xml:space="preserve"> and FASB ASC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As a result of the modification, the Company incurred additional financing costs directly to the lender of $1,085,000 which were recorded as a debt discount.</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On September 19, 2018, the Company amended its Credit Agreement (Second Credit Amendment). The Second Credit Amendment increased the outstanding Term Loan from $130,000,000 to $143,100,000. The proceeds from the Second Credit Amendment were utilized to fund the Company’s acquisition of Datanyze (Note 4). The Second Credit Amendment matures on August 10, 2022, requires quarterly payment of 0.25% of the aggregate principal outstanding and requires the Company to maintain various covenants, restrictions and provisions. The Second Credit Amendment was considered a debt modification in accordance with FASB ASC 405-20, </w:t>
      </w:r>
      <w:r>
        <w:rPr>
          <w:rFonts w:ascii="Arial" w:cs="Arial" w:eastAsia="Arial" w:hAnsi="Arial"/>
          <w:sz w:val="18"/>
          <w:szCs w:val="18"/>
          <w:i w:val="1"/>
          <w:iCs w:val="1"/>
          <w:color w:val="auto"/>
        </w:rPr>
        <w:t>Liabilities/Extinguishment of Liabilities</w:t>
      </w:r>
      <w:r>
        <w:rPr>
          <w:rFonts w:ascii="Arial" w:cs="Arial" w:eastAsia="Arial" w:hAnsi="Arial"/>
          <w:sz w:val="18"/>
          <w:szCs w:val="18"/>
          <w:color w:val="auto"/>
        </w:rPr>
        <w:t xml:space="preserve"> and FASB ASC 470-50, </w:t>
      </w:r>
      <w:r>
        <w:rPr>
          <w:rFonts w:ascii="Arial" w:cs="Arial" w:eastAsia="Arial" w:hAnsi="Arial"/>
          <w:sz w:val="18"/>
          <w:szCs w:val="18"/>
          <w:i w:val="1"/>
          <w:iCs w:val="1"/>
          <w:color w:val="auto"/>
        </w:rPr>
        <w:t>Debt-Modifications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Extinguishments</w:t>
      </w:r>
      <w:r>
        <w:rPr>
          <w:rFonts w:ascii="Arial" w:cs="Arial" w:eastAsia="Arial" w:hAnsi="Arial"/>
          <w:sz w:val="18"/>
          <w:szCs w:val="18"/>
          <w:color w:val="auto"/>
        </w:rPr>
        <w:t>. As a result of the modification, the Company incurred additional financing costs directly to the lender of $491,923 which were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as a debt discount.</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January 31, 2019 and December 31, 2018, the Company had $0 outstanding on the Revolver and $136,617,250 outstanding on the Term Loan. During the year ended December 31, 2018, the Company made an excess cash flow payment of $5,000,000 on the outstanding principal. No principal payments were made during the period from January 1, 2019 through January 31, 2019. The interest rate on the Term Loan as of January 31, 2019 was 8.80%.</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period from January 1, 2019 through January 31, 2019 and the year ended December 31, 2018, the Company recorded non-cash interest expense related to the amortization of the debt discount of $65,565 and $537,814,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40"/>
          </w:cols>
          <w:pgMar w:left="320" w:top="121" w:right="339" w:bottom="1440" w:gutter="0" w:footer="0" w:header="0"/>
        </w:sectPr>
      </w:pPr>
    </w:p>
    <w:bookmarkStart w:id="311" w:name="page312"/>
    <w:bookmarkEnd w:id="311"/>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contractual principal payment obligations due per the Company’s credit agreements are as follows as of January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1,431,000</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1,431,000</w:t>
            </w:r>
          </w:p>
        </w:tc>
      </w:tr>
      <w:tr>
        <w:trPr>
          <w:trHeight w:val="27"/>
        </w:trPr>
        <w:tc>
          <w:tcPr>
            <w:tcW w:w="9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1,431,000</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132,324,250</w:t>
            </w:r>
          </w:p>
        </w:tc>
      </w:tr>
      <w:tr>
        <w:trPr>
          <w:trHeight w:val="27"/>
        </w:trPr>
        <w:tc>
          <w:tcPr>
            <w:tcW w:w="9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136,617,250</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Less: current portion of notes payable</w:t>
            </w: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(1,431,000)</w:t>
            </w:r>
          </w:p>
        </w:tc>
      </w:tr>
      <w:tr>
        <w:trPr>
          <w:trHeight w:val="27"/>
        </w:trPr>
        <w:tc>
          <w:tcPr>
            <w:tcW w:w="9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discount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(2,797,016)</w:t>
            </w:r>
          </w:p>
        </w:tc>
      </w:tr>
      <w:tr>
        <w:trPr>
          <w:trHeight w:val="264"/>
        </w:trPr>
        <w:tc>
          <w:tcPr>
            <w:tcW w:w="9680" w:type="dxa"/>
            <w:vAlign w:val="bottom"/>
          </w:tcPr>
          <w:p>
            <w:pPr>
              <w:ind w:left="220"/>
              <w:spacing w:after="0"/>
              <w:rPr>
                <w:sz w:val="20"/>
                <w:szCs w:val="20"/>
                <w:color w:val="auto"/>
              </w:rPr>
            </w:pPr>
            <w:r>
              <w:rPr>
                <w:rFonts w:ascii="Arial" w:cs="Arial" w:eastAsia="Arial" w:hAnsi="Arial"/>
                <w:sz w:val="18"/>
                <w:szCs w:val="18"/>
                <w:color w:val="auto"/>
              </w:rPr>
              <w:t>Notes payable, net of current portion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132,389,234</w:t>
            </w:r>
          </w:p>
        </w:tc>
      </w:tr>
      <w:tr>
        <w:trPr>
          <w:trHeight w:val="20"/>
        </w:trPr>
        <w:tc>
          <w:tcPr>
            <w:tcW w:w="9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 ended December 31, 2018, the Company paid a $50,000 management fee to certain holders of Preferred Stock. No management fees were paid during the period from January 1, 2019 through January 31, 2019. Prior to the acquisition of Yonatan Institute (Note 4), the Company paid $3,131,691 during the year ended December 31, 2018 for consulting and management services to Yonatan Institute which was owned by an entity that owned 12% of the Company’s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Preferred Stock</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January 31, 2019, the Company had 28,333,340 shares of $0.02 par value Series C Convertible Preferred Stock (Series C Preferred), 8,533,320 shares of $0.02 par value Series A Convertible Preferred Stock (Series A Preferred) and 80,000,000 shares of $0.02 par value Series 1 Convertible Preferred Stock (Series 1 Preferred) authorized for issuance. The Company has 53,944,487 shares of Series 1 Preferred Stock outstanding and no shares of Series C Preferred or Series A Preferred outstanding as of January 31, 2019 and December 31, 2018,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Rights, preferences and privileges of the Series 1 Preferred, Series C Preferred and the Series A Preferred (collectively, the Preferred Stock) are as follows:</w:t>
      </w:r>
    </w:p>
    <w:p>
      <w:pPr>
        <w:spacing w:after="0" w:line="11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Preferred Stock are entitled to such number of votes per share as is equal to the number of shares of common stock into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each share of such Preferred Stock could be converted.</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The Series 1 Preferred Stock accrues dividends at a rate of 8% of the original issue price, plus previously accrued dividends, compounded</w:t>
      </w:r>
      <w:r>
        <w:rPr>
          <w:rFonts w:ascii="Arial" w:cs="Arial" w:eastAsia="Arial" w:hAnsi="Arial"/>
          <w:sz w:val="18"/>
          <w:szCs w:val="18"/>
          <w:b w:val="1"/>
          <w:bCs w:val="1"/>
          <w:color w:val="auto"/>
        </w:rPr>
        <w:t xml:space="preserve"> </w:t>
      </w:r>
      <w:r>
        <w:rPr>
          <w:rFonts w:ascii="Arial" w:cs="Arial" w:eastAsia="Arial" w:hAnsi="Arial"/>
          <w:sz w:val="18"/>
          <w:szCs w:val="18"/>
          <w:color w:val="auto"/>
        </w:rPr>
        <w:t>annually, whether or not declared by the Board of Directors. Accrued dividends are payable only when and if declared by the Board of Directors. At January 31, 2019, accumulated (but undeclared) dividends amounted to $9,719,735. No dividends were declared or paid by the Company during the period from January 1, 2019 through January 31, 2019 or the year ended December 31, 2018.</w:t>
      </w:r>
    </w:p>
    <w:p>
      <w:pPr>
        <w:spacing w:after="0" w:line="126"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Conversion: </w:t>
      </w:r>
      <w:r>
        <w:rPr>
          <w:rFonts w:ascii="Arial" w:cs="Arial" w:eastAsia="Arial" w:hAnsi="Arial"/>
          <w:sz w:val="16"/>
          <w:szCs w:val="16"/>
          <w:color w:val="auto"/>
        </w:rPr>
        <w:t>Each outstanding share of Preferred Stock will convert into one share of Series V Common Stock concurrently with the closing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earlier of the sale of all or substantially all assets of the Company, the acquisition of the Company by another entity by way of merger or consolidation such that the Company is public offering of the Company’s Common Stock in which the gross proceeds to the Company are no less than $25,000,000.</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each share of Series A Preferred is convertible into Series V Common Stock, at the option of the holder at any time upon notice to the Company. Each share of Series C Preferred and Series 1 Preferred are convertible, at the option of the holder at any time upon notice to the Company, into such number of fully paid and nonassessable shares of Series V Common Stock as is determined by dividing the base price by the respective series conversion price in effect at the time of conversion.</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Liquidation: </w:t>
      </w:r>
      <w:r>
        <w:rPr>
          <w:rFonts w:ascii="Arial" w:cs="Arial" w:eastAsia="Arial" w:hAnsi="Arial"/>
          <w:sz w:val="18"/>
          <w:szCs w:val="18"/>
          <w:color w:val="auto"/>
        </w:rPr>
        <w:t>Upon the liquidation, dissolution, or winding up of the Company holders of shares of Preferred Stock are entitled on a pari passu basis</w:t>
      </w:r>
      <w:r>
        <w:rPr>
          <w:rFonts w:ascii="Arial" w:cs="Arial" w:eastAsia="Arial" w:hAnsi="Arial"/>
          <w:sz w:val="18"/>
          <w:szCs w:val="18"/>
          <w:b w:val="1"/>
          <w:bCs w:val="1"/>
          <w:color w:val="auto"/>
        </w:rPr>
        <w:t xml:space="preserve"> </w:t>
      </w:r>
      <w:r>
        <w:rPr>
          <w:rFonts w:ascii="Arial" w:cs="Arial" w:eastAsia="Arial" w:hAnsi="Arial"/>
          <w:sz w:val="18"/>
          <w:szCs w:val="18"/>
          <w:color w:val="auto"/>
        </w:rPr>
        <w:t>to be paid out of the assets of the Corporation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40"/>
          </w:cols>
          <w:pgMar w:left="320" w:top="121" w:right="339" w:bottom="1440" w:gutter="0" w:footer="0" w:header="0"/>
        </w:sectPr>
      </w:pPr>
    </w:p>
    <w:bookmarkStart w:id="312" w:name="page313"/>
    <w:bookmarkEnd w:id="312"/>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Preferred Stock (continued)</w:t>
      </w: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before any payment shall be made to Common Stock. Payable in an amount per share equal to the greater of (i) the applicable Original Issue Price for such series, plus any Accruing Dividends, regardless of whether they have been declared, plus any other dividends declared and unpaid, and (ii) such amount per share as would have been payable had all shares of the series of Preferred Stock been converted into Series V Common Stock at the applicable conversation rate immediately prior to the liquidation. All outstanding shares of Series A Preferred shall automatically convert to shares of Common Stock based on a deemed liquidation event as defined within the Articles of Incorporation. The Preferred Stock is classified outside of permanent equity because the underlying agreement includes a deemed liquidation provision.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2019 the Company had 37,763,000 shares of $0.02 par value Series A Common Stock (Series A Common), 54,959,650 shares of $0.01 par value Series B Common Stock (Series B Common) and 237,723,310 shares of $0.02 par value Series V Common Stock (Series V Common) authorized, respectively.</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rights, preferences, and privileges of the Series A Common, Series B Common and Series V Common (collectively the Common Stock) are as follows:</w:t>
      </w:r>
    </w:p>
    <w:p>
      <w:pPr>
        <w:spacing w:after="0" w:line="11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A Common and Series V Common are entitled to one vote for each share held. The Series B Common is</w:t>
      </w:r>
      <w:r>
        <w:rPr>
          <w:rFonts w:ascii="Arial" w:cs="Arial" w:eastAsia="Arial" w:hAnsi="Arial"/>
          <w:sz w:val="18"/>
          <w:szCs w:val="18"/>
          <w:b w:val="1"/>
          <w:bCs w:val="1"/>
          <w:color w:val="auto"/>
        </w:rPr>
        <w:t xml:space="preserve"> </w:t>
      </w:r>
      <w:r>
        <w:rPr>
          <w:rFonts w:ascii="Arial" w:cs="Arial" w:eastAsia="Arial" w:hAnsi="Arial"/>
          <w:sz w:val="18"/>
          <w:szCs w:val="18"/>
          <w:color w:val="auto"/>
        </w:rPr>
        <w:t>nonvoting stock. Additionally, the affirmative vote of at least a majority of the outstanding shares of Series A Preferred Stock, Series C Preferred Stock and Series V Common Stock, counted together as one class, and, separately, a majority of Series A Common Stock, voting as a class, is required for certain stockholder actions to carry.</w:t>
      </w:r>
    </w:p>
    <w:p>
      <w:pPr>
        <w:spacing w:after="0" w:line="12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Each outstanding share of Series A Common and Series B Common will automatically convert into one share of Series V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concurrently with the closing of the earlier of the sale of all or substantially all assets of the Company, the acquisition of the Company by another entity by way of merger or consolidation such that the Company is not the surviving entity, or the first underwritten public offering of the Company's Common Stock, in which the gross proceeds to the Company are no less than $25 million.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each outstanding share of Series A Common is convertible into Series V Common, at the option of the holder, at any time upon notice to the Company.</w:t>
      </w:r>
    </w:p>
    <w:p>
      <w:pPr>
        <w:spacing w:after="0" w:line="11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Dividends may be declared and paid on the Common Stock if and when determined by the Board of Directors. No such dividends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declared or paid during the period from January 1, 2019 through January 31, 2019 or the year ended December 31, 2018. Dividends are not cumulative and do not accrue.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 Compensation Plan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2017, the Company adopted the 2017 Stock Plan (the “2017 Plan”). The 2017 Plan permits the grant of incentive and non-statutory stock options, for the purchase of up to an aggregate of 8,700,000 shares of Series B common stock to employees, directors, and consultants. During 2018, the Company increased the aggregate number of Series B common stock available for issuance to 11,300,000 shares. As of January 31, 2019, 828,240 shares were available for grant under the 2017 Plan. The Board of Directors may at any time, amend, alter, suspend or terminate the 2017 Plan.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per share exercise price for the shares to be issued pursuant to the exercise of an option will be determined by the Board of Directors, but will be no less than 100% of the fair market value per share on the date of the grant. Stock options generally vest ratably over four years and expire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40"/>
          </w:cols>
          <w:pgMar w:left="320" w:top="121" w:right="339" w:bottom="1440" w:gutter="0" w:footer="0" w:header="0"/>
        </w:sectPr>
      </w:pPr>
    </w:p>
    <w:bookmarkStart w:id="313" w:name="page314"/>
    <w:bookmarkEnd w:id="31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 Compensation Plan (continued)</w:t>
      </w:r>
    </w:p>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options granted to date are exercisable into Class B common stock. The following table summarizes option activity under the 2017 Plan for the period from January 1, 2019 through January 31, 2019 and the year ended December 31,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14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Weighted Average</w:t>
            </w:r>
          </w:p>
        </w:tc>
      </w:tr>
      <w:tr>
        <w:trPr>
          <w:trHeight w:val="188"/>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Arial" w:cs="Arial" w:eastAsia="Arial" w:hAnsi="Arial"/>
                <w:sz w:val="14"/>
                <w:szCs w:val="14"/>
                <w:b w:val="1"/>
                <w:bCs w:val="1"/>
                <w:color w:val="auto"/>
              </w:rPr>
              <w:t>Exercise Price</w:t>
            </w:r>
          </w:p>
        </w:tc>
      </w:tr>
      <w:tr>
        <w:trPr>
          <w:trHeight w:val="231"/>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10,967,000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1.50</w:t>
            </w: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0.58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Canceled</w:t>
            </w:r>
          </w:p>
        </w:tc>
        <w:tc>
          <w:tcPr>
            <w:tcW w:w="2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(302,580)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2.26</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10,502,180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0.58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2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0.58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Canceled</w:t>
            </w:r>
          </w:p>
        </w:tc>
        <w:tc>
          <w:tcPr>
            <w:tcW w:w="2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0.58</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31, 2019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10,484,060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0.58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determination of the fair value of stock-based payment awards utilizing the Black-Scholes model is affected by the stock price and a number of assumptions, including expected volatility, expected term, risk-free interest rate and expected dividends. The Company does not have a history of market prices of its common stock as it is not a public company, and as such volatility is estimated using historical volatilities of similar public entities. The expected life of the awards is estimated based on the estimated time until a distributable event. The risk free interest rate assumption is based on observed interest rates appropriate for the terms of the awards. The dividend yield assumption is based on the history and expectation of paying no dividends. Forfeitures are accounted for as they occur.</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weighted-average fair value of stock options granted during the year ended December 31, 2018, under the Black-Scholes option pricing model were $0.17 per share. There were no options granted during the period from January 1, 2019 through January 31, 2019. The fair value of stock options issued to employees was calculated with the following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2.27-3.05%</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of option</w:t>
            </w:r>
          </w:p>
        </w:tc>
        <w:tc>
          <w:tcPr>
            <w:tcW w:w="1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5-6.08 years</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Volatility factor</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39-41%</w:t>
            </w:r>
          </w:p>
        </w:tc>
      </w:tr>
    </w:tbl>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recorded stock-based compensation expense in connection with option awards of $45,351 and $568,185 for the period from January 1, 2019 through January 31, 2019 and the year ended December 31, 2018, respectively. As of January 31, 2019, there was $1,217,462 of unrecognized compensation expense related to unvested option awards that is expected to be recognized over a weighted average period of 2.72 years.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the assets and liabilities for financial reporting purposes and the amounts used for income tax purposes and net operating loss carryforwards.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240"/>
          </w:cols>
          <w:pgMar w:left="320" w:top="121" w:right="339" w:bottom="1440" w:gutter="0" w:footer="0" w:header="0"/>
        </w:sectPr>
      </w:pPr>
    </w:p>
    <w:bookmarkStart w:id="314" w:name="page315"/>
    <w:bookmarkEnd w:id="314"/>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 (continued)</w:t>
      </w:r>
    </w:p>
    <w:p>
      <w:pPr>
        <w:spacing w:after="0" w:line="200" w:lineRule="exact"/>
        <w:rPr>
          <w:sz w:val="20"/>
          <w:szCs w:val="20"/>
          <w:color w:val="auto"/>
        </w:rPr>
      </w:pPr>
    </w:p>
    <w:p>
      <w:pPr>
        <w:spacing w:after="0" w:line="21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federal and state income tax provision (benefit) for the period from January 1, 2019 through January 31, 2019 and the year ended December 31, 2018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72,682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257,276</w:t>
            </w: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72,682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257,276</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benefit</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(453,891)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(2,922,971)</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244,981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(2,246,930)</w:t>
            </w: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(208,910)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(5,169,901)</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(136,228)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(4,912,625)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w w:val="93"/>
              </w:rPr>
              <w:t>Deferred tax assets and liabilities consist of the following at January 31, 2019 and December 31, 2018: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221,864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472,081</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 tax credit carryforwards</w:t>
            </w: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2,101,617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1,702,844</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(49,140)</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Other temporary differences</w:t>
            </w:r>
          </w:p>
        </w:tc>
        <w:tc>
          <w:tcPr>
            <w:tcW w:w="3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(37,942)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(12,500,882)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(12,690,821)</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Interest limitation</w:t>
            </w: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1,037,671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896,713</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679,264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784,277</w:t>
            </w:r>
          </w:p>
        </w:tc>
        <w:tc>
          <w:tcPr>
            <w:tcW w:w="0" w:type="dxa"/>
            <w:vAlign w:val="bottom"/>
          </w:tcPr>
          <w:p>
            <w:pPr>
              <w:spacing w:after="0"/>
              <w:rPr>
                <w:sz w:val="1"/>
                <w:szCs w:val="1"/>
                <w:color w:val="auto"/>
              </w:rPr>
            </w:pPr>
          </w:p>
        </w:tc>
      </w:tr>
      <w:tr>
        <w:trPr>
          <w:trHeight w:val="264"/>
        </w:trPr>
        <w:tc>
          <w:tcPr>
            <w:tcW w:w="8020" w:type="dxa"/>
            <w:vAlign w:val="bottom"/>
          </w:tcPr>
          <w:p>
            <w:pPr>
              <w:ind w:left="22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(9,469,299)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(8,921,988)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January 31, 2019, the Company had federal and state net operating loss carryforwards of $115,071 and $106,793, respectively. The Company has federal and state research and development credit carryforwards of $1,268,642 and $832,975, respectively, which expire at various dates through 2028.</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2018, the Company had federal and state net operating loss carryforwards of $318,393 and $153,688, respectively. The Company has federal and state research and development credit carryforwards of $869,869 and $832,975, respectively, which expire at various dates through 2028.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established a defined contribution savings plan under Section 401(k) of the Internal Revenue Code. This plan covers substantially all U.S. employees who meet minimum age and service requirements and allows participants to defer a portion of their annual compensation on a pre-tax basis. Company contributions to the plan are discretionary and no such contributions were made during the period from January 1, 2019 through January 31, 2019 or the year ended December 31, 2018.</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 ended December 31, 2018, the Company accrued for distributions totaling $2,785,522 to eligible employees in accordance with the Profit Sharing Plan which were paid during the period from January 1, 2019 through January 31, 2019. During the period from January 1, 2019 through January 31, 2019, the Company accrued for bonuses of $233,000 as the Profit Sharing Plan was terminated as a result of the acquisition by DiscoverOrg Holdings, LLC (Note 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The Company leases office space under a non-cancelable operating lease for its headquarters in Waltham, Massachusetts.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entered into on August 31, 2017 provides for total monthly payments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40"/>
          </w:cols>
          <w:pgMar w:left="320" w:top="121" w:right="339" w:bottom="1440" w:gutter="0" w:footer="0" w:header="0"/>
        </w:sectPr>
      </w:pPr>
    </w:p>
    <w:bookmarkStart w:id="315" w:name="page316"/>
    <w:bookmarkEnd w:id="315"/>
    <w:p>
      <w:pPr>
        <w:ind w:left="3920"/>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PURSUANT TO 17 C.F.R. SECTION 200.83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$83,110. The August 31, 2017 amendment extended the term of the lease agreement through June 30, 2023. The Company leases office space under a non-cancelable operating lease for its satellite office in Grand Rapids, Michigan. Total monthly rent is $2,900 for the term of the lease. The Company has tenant at will arrangements for its facilities in Israel and Russia.</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7, 2019, the Company entered into a non-cancelable operating lease for its headquarters in Waltham, Massachusetts. The Company moved their corporate headquarters from the Waltham, MA space noted above. The lease ends on January 31, 2031 and includes a free rent period of thirteen months with monthly rent of $265,560 thereafter. The future minimum lease payment schedule below has been updated to include the future commitments under the new lease.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Rent expense, including operating costs, for the period from January 1, 2019 through January 31, 2019 and the year December 31, 2018 totaled $148,093 and $1,372,168,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w w:val="97"/>
              </w:rPr>
              <w:t>Future minimum lease payments due under this non-cancelable lease agreement are as follows as of January 31, 2019:</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1,360,566</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3,043,396</w:t>
            </w: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3,186,723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3,186,723</w:t>
            </w: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3,186,723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22,572,621</w:t>
            </w:r>
          </w:p>
        </w:tc>
      </w:tr>
      <w:tr>
        <w:trPr>
          <w:trHeight w:val="27"/>
        </w:trPr>
        <w:tc>
          <w:tcPr>
            <w:tcW w:w="9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36,536,752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From time to time, the Company may become involved in various legal matters arising in the ordinary course of business.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Management is unaware of any matters requiring accrual or disclosure for related losses in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evaluated subsequent events through November 22, 2019, which is the date the consolidated financial statements were available to be issued. The Company determined the following item was required to be disclosed in these consolidated financial statements.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 2019, 100% of the outstanding shares of the Company was acquired by DiscoverOrg Holdings, LLC.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40"/>
          </w:cols>
          <w:pgMar w:left="320" w:top="121" w:right="339" w:bottom="1440" w:gutter="0" w:footer="0" w:header="0"/>
        </w:sectPr>
      </w:pPr>
    </w:p>
    <w:bookmarkStart w:id="316" w:name="page317"/>
    <w:bookmarkEnd w:id="316"/>
    <w:p>
      <w:pPr>
        <w:jc w:val="center"/>
        <w:ind w:right="-320"/>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83185</wp:posOffset>
            </wp:positionV>
            <wp:extent cx="7012305" cy="89750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12305" cy="89750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7" w:name="page318"/>
    <w:bookmarkEnd w:id="317"/>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the expenses payable by the Registrant expected to be incurred in connection with the issuance and distribution of the shares of Class A common stock being registered hereby (other than the underwriting discount). All of such expenses are estimates, other than the filing fees payable to the Securities and Exchange Commission and the Financial Industry Regulatory Authority, Inc.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Filing Fee—Securities and Exchange Commission</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Fee—Financial Industry Regulatory Authority, Inc.</w:t>
            </w:r>
          </w:p>
        </w:tc>
        <w:tc>
          <w:tcPr>
            <w:tcW w:w="500" w:type="dxa"/>
            <w:vAlign w:val="bottom"/>
          </w:tcPr>
          <w:p>
            <w:pPr>
              <w:spacing w:after="0"/>
              <w:rPr>
                <w:sz w:val="21"/>
                <w:szCs w:val="21"/>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Fees of Transfer Agent</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Fees and Expenses of Counsel</w:t>
            </w:r>
          </w:p>
        </w:tc>
        <w:tc>
          <w:tcPr>
            <w:tcW w:w="500" w:type="dxa"/>
            <w:vAlign w:val="bottom"/>
          </w:tcPr>
          <w:p>
            <w:pPr>
              <w:spacing w:after="0"/>
              <w:rPr>
                <w:sz w:val="21"/>
                <w:szCs w:val="21"/>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Fees and Expenses of Accountants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Printing Expenses</w:t>
            </w:r>
          </w:p>
        </w:tc>
        <w:tc>
          <w:tcPr>
            <w:tcW w:w="500" w:type="dxa"/>
            <w:vAlign w:val="bottom"/>
          </w:tcPr>
          <w:p>
            <w:pPr>
              <w:spacing w:after="0"/>
              <w:rPr>
                <w:sz w:val="21"/>
                <w:szCs w:val="21"/>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 Expenses</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9640" w:type="dxa"/>
            <w:vAlign w:val="bottom"/>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6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4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96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640" w:type="dxa"/>
            <w:vAlign w:val="bottom"/>
          </w:tcPr>
          <w:p>
            <w:pPr>
              <w:spacing w:after="0"/>
              <w:rPr>
                <w:sz w:val="20"/>
                <w:szCs w:val="20"/>
                <w:color w:val="auto"/>
              </w:rPr>
            </w:pPr>
            <w:r>
              <w:rPr>
                <w:rFonts w:ascii="Arial" w:cs="Arial" w:eastAsia="Arial" w:hAnsi="Arial"/>
                <w:sz w:val="14"/>
                <w:szCs w:val="14"/>
                <w:color w:val="auto"/>
              </w:rPr>
              <w:t>*   To be provided by amendment.</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or redemption in violation of Delaware corporate law, or obtained an improper personal benefit. Our amended and restated certificate of incorporation provides for this limitation of liability.</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Section 145 of the DGCL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such officer or director has actually and reasonably incurred.</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Section 145 also provides that the expenses incurred by a director, officer, employee, or agent of the corporation or a person serving at the request of the corporation as a director, officer, employee, or agent of another corporation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21" w:right="339" w:bottom="1440" w:gutter="0" w:footer="0" w:header="0"/>
        </w:sectPr>
      </w:pPr>
    </w:p>
    <w:bookmarkStart w:id="318" w:name="page319"/>
    <w:bookmarkEnd w:id="318"/>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him or her under Section 145.</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provision of our amended and restated bylaws, agreement, vote of stockholders or disinterested directors, or otherwise.</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of our directors and officers signing this Registration Statement by the underwriters against certain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14, 2019, the Registrant issued 100 shares of the Registrant’s Class B common stock, par value $0.01 per share (“Class B Common Stock”), to ZoomInfo Holdings LLC (formerly DiscoverOrg Holdings, LLC), for $1.00. The issuance of such shares of Class B Common Stock was not registered under the Securities Act, because the shares were offered and sold in a transaction by the issuer not involving any public offering exempt from registration under Section 4(a)(2) of the Securities Act. In connection with the Registrant’s initial public offering, the Registrant effected a series of transactions occurring at various times prior to and/or concurrently with the closing of the Registrant’s initial public offering that resulted in a reorganization of its business (the “Reorganization Transactions”). In connection with the Reorganization Transactions, on June 3, 2020, such shares of Class B Common Stock were split into 242,414,027 shares of Class B Common Stock and distributed to existing members of ZoomInfo Holdings LLC in a pro rata distribution by ZoomInfo Holdings LLC.</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the Reorganization Transactions, on June 3, 2020, the Registrant issued 98,106,387 shares of its Class C common stock, par value $0.01 per share (“Class C Common Stock”), to affiliates of TA Associates, The Carlyle Group, and 22C Capital. The shares of Class C Common Stock were issued pursuant to Section 4(a)(2) of the Securities Act. For a description of the transactions pursuant to which the shares were issued, see the information under the heading “Organizational Structure” in the form of prospectus included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21" w:right="339" w:bottom="1440" w:gutter="0" w:footer="0" w:header="0"/>
        </w:sectPr>
      </w:pPr>
    </w:p>
    <w:bookmarkStart w:id="319" w:name="page320"/>
    <w:bookmarkEnd w:id="319"/>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5" w:lineRule="exact"/>
        <w:rPr>
          <w:sz w:val="20"/>
          <w:szCs w:val="20"/>
          <w:color w:val="auto"/>
        </w:rPr>
      </w:pPr>
    </w:p>
    <w:p>
      <w:pPr>
        <w:ind w:left="580" w:hanging="248"/>
        <w:spacing w:after="0"/>
        <w:tabs>
          <w:tab w:leader="none" w:pos="580" w:val="left"/>
        </w:tabs>
        <w:numPr>
          <w:ilvl w:val="0"/>
          <w:numId w:val="19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Exhibits. </w:t>
      </w:r>
      <w:r>
        <w:rPr>
          <w:rFonts w:ascii="Arial" w:cs="Arial" w:eastAsia="Arial" w:hAnsi="Arial"/>
          <w:sz w:val="16"/>
          <w:szCs w:val="16"/>
          <w:color w:val="auto"/>
        </w:rPr>
        <w:t>See the Exhibit Index immediately preceding the signature pages hereto, which is incorporated by reference as if fully set forth herein.</w:t>
      </w:r>
    </w:p>
    <w:p>
      <w:pPr>
        <w:spacing w:after="0" w:line="194" w:lineRule="exact"/>
        <w:rPr>
          <w:rFonts w:ascii="Arial" w:cs="Arial" w:eastAsia="Arial" w:hAnsi="Arial"/>
          <w:sz w:val="16"/>
          <w:szCs w:val="16"/>
          <w:b w:val="1"/>
          <w:bCs w:val="1"/>
          <w:i w:val="1"/>
          <w:iCs w:val="1"/>
          <w:color w:val="auto"/>
        </w:rPr>
      </w:pPr>
    </w:p>
    <w:p>
      <w:pPr>
        <w:ind w:left="580" w:hanging="248"/>
        <w:spacing w:after="0"/>
        <w:tabs>
          <w:tab w:leader="none" w:pos="580" w:val="left"/>
        </w:tabs>
        <w:numPr>
          <w:ilvl w:val="0"/>
          <w:numId w:val="1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jc w:val="both"/>
        <w:ind w:left="660" w:hanging="328"/>
        <w:spacing w:after="0" w:line="290" w:lineRule="auto"/>
        <w:tabs>
          <w:tab w:leader="none" w:pos="65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11" w:lineRule="exact"/>
        <w:rPr>
          <w:rFonts w:ascii="Arial" w:cs="Arial" w:eastAsia="Arial" w:hAnsi="Arial"/>
          <w:sz w:val="16"/>
          <w:szCs w:val="16"/>
          <w:color w:val="auto"/>
        </w:rPr>
      </w:pPr>
    </w:p>
    <w:p>
      <w:pPr>
        <w:ind w:left="640" w:hanging="308"/>
        <w:spacing w:after="0"/>
        <w:tabs>
          <w:tab w:leader="none" w:pos="6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71" w:lineRule="exact"/>
        <w:rPr>
          <w:rFonts w:ascii="Arial" w:cs="Arial" w:eastAsia="Arial" w:hAnsi="Arial"/>
          <w:sz w:val="18"/>
          <w:szCs w:val="18"/>
          <w:color w:val="auto"/>
        </w:rPr>
      </w:pPr>
    </w:p>
    <w:p>
      <w:pPr>
        <w:jc w:val="both"/>
        <w:ind w:left="980" w:hanging="324"/>
        <w:spacing w:after="0" w:line="291" w:lineRule="auto"/>
        <w:tabs>
          <w:tab w:leader="none" w:pos="973" w:val="left"/>
        </w:tabs>
        <w:numPr>
          <w:ilvl w:val="1"/>
          <w:numId w:val="19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980"/>
        <w:spacing w:after="0"/>
        <w:rPr>
          <w:rFonts w:ascii="Arial" w:cs="Arial" w:eastAsia="Arial" w:hAnsi="Arial"/>
          <w:sz w:val="16"/>
          <w:szCs w:val="16"/>
          <w:color w:val="auto"/>
        </w:rPr>
      </w:pPr>
      <w:r>
        <w:rPr>
          <w:rFonts w:ascii="Arial" w:cs="Arial" w:eastAsia="Arial" w:hAnsi="Arial"/>
          <w:sz w:val="16"/>
          <w:szCs w:val="16"/>
          <w:color w:val="auto"/>
        </w:rPr>
        <w:t>(1) or (4) or 497(h) under the Securities Act shall be deemed to be part of this registration statement as of the time it was declared effective.</w:t>
      </w:r>
    </w:p>
    <w:p>
      <w:pPr>
        <w:spacing w:after="0" w:line="179" w:lineRule="exact"/>
        <w:rPr>
          <w:rFonts w:ascii="Arial" w:cs="Arial" w:eastAsia="Arial" w:hAnsi="Arial"/>
          <w:sz w:val="16"/>
          <w:szCs w:val="16"/>
          <w:color w:val="auto"/>
        </w:rPr>
      </w:pPr>
    </w:p>
    <w:p>
      <w:pPr>
        <w:jc w:val="both"/>
        <w:ind w:left="980" w:hanging="324"/>
        <w:spacing w:after="0" w:line="263" w:lineRule="auto"/>
        <w:tabs>
          <w:tab w:leader="none" w:pos="977" w:val="left"/>
        </w:tabs>
        <w:numPr>
          <w:ilvl w:val="1"/>
          <w:numId w:val="19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21" w:right="339" w:bottom="1440" w:gutter="0" w:footer="0" w:header="0"/>
        </w:sectPr>
      </w:pPr>
    </w:p>
    <w:bookmarkStart w:id="320" w:name="page321"/>
    <w:bookmarkEnd w:id="320"/>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86"/>
        </w:trPr>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10200" w:type="dxa"/>
            <w:vAlign w:val="bottom"/>
          </w:tcPr>
          <w:p>
            <w:pPr>
              <w:ind w:left="474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0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8"/>
              </w:rPr>
              <w:t>Amended and Restated Certificate of Incorporation of ZoomInfo Technologies Inc. (incorporated by reference to Exhibit 3.1 to the</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Company’s Current Report on Form 8-K (File No. 001-39310) filed with the SEC on June 8,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2"/>
              </w:rPr>
              <w:t>Amended and Restated Bylaws of ZoomInfo Technologies Inc. (incorporated by reference to Exhibit 3.2 to the Company’s Current Report</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on Form 8-K (File No. 001-39310) filed with the SEC on June 8, 2020)</w:t>
            </w: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3"/>
                <w:szCs w:val="23"/>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Opinion of Simpson Thacher &amp; Bartlett LLP*</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3"/>
              </w:rPr>
              <w:t>Fifth Amended and Restated Limited Liability Company Agreement of ZoomInfo Holdings LLC, dated as of June 3, 2020 (incorporated by</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8"/>
              </w:rPr>
              <w:t>reference to Exhibit 10.1 to the Company’s Current Report on Form 8-K (File No. 001-39310) filed with the SEC on June 8,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9"/>
              </w:rPr>
              <w:t>Amended and Restated Limited Liability Company Agreement of ZoomInfo Intermediate Holdings LLC, dated as of June 3, 2020</w:t>
            </w: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3"/>
              </w:rPr>
              <w:t>(incorporated by reference to Exhibit 10.2 to the Company’s Current Report on Form 8-K (File No. 001-39310) filed with the SEC on June</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8, 2020)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89"/>
              </w:rPr>
              <w:t>Exchange Tax Receivable Agreement, dated as of June 3, 2020, by and among the Company and each of the other persons from time to time</w:t>
            </w: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2"/>
              </w:rPr>
              <w:t>a party thereto (incorporated by reference to Exhibit 10.3 to the Company’s Current Report on Form 8-K (File No. 001-39310) filed with the</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SEC on June 8,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89"/>
              </w:rPr>
              <w:t>Reorganization Tax Receivable Agreement, dated as of June 3, 2020, by and among the Company and each of the other persons from time to</w:t>
            </w: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4"/>
              </w:rPr>
              <w:t>time a party thereto (incorporated by reference to Exhibit 10.4 to the Company’s Current Report on Form 8-K (File No. 001-39310) filed</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with the SEC on June 8,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3"/>
              </w:rPr>
              <w:t>Registration Rights Agreement, dated as of June 8, 2020, by and among the Company and each of the other persons from time to time a</w:t>
            </w: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3"/>
              </w:rPr>
              <w:t>party thereto (incorporated by reference to Exhibit 10.5 to the Company’s Current Report on Form 8-K (File No. 001-39310) filed with the</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SEC on June 8,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3"/>
              </w:rPr>
              <w:t>Stockholders Agreement, dated as of June 3, 2020, by and among the Company and each of the other persons from time to time a party</w:t>
            </w: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3"/>
              </w:rPr>
              <w:t>thereto (incorporated by reference to Exhibit 10.6 to the Company’s Current Report on Form 8-K (File No. 001-39310) filed with the SEC</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on June 8,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3"/>
              </w:rPr>
              <w:t>ZoomInfo Technologies Inc. 2020 Omnibus Incentive Plan (incorporated by reference to Exhibit 10.7 to the Company’s Current Report on</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Form 8-K (File No. 001-39310) filed with the SEC on June 8,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1"/>
              </w:rPr>
              <w:t>ZoomInfo Technologies Inc. Employee Stock Purchase Plan (incorporated by reference to Exhibit 10.8 to the Company’s Current Report on</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Form 8-K (File No. 001-39310) filed with the SEC on June 8,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8"/>
              </w:rPr>
              <w:t>Form of Indemnification Agreement (incorporated by reference to Exhibit 10.9 to Amendment No. 3 to the Company’s Registration</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Statement on Form S-1 (File No. 333-236674) filed with the SEC on May 27,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6"/>
              </w:rPr>
              <w:t>First Lien Credit Agreement, dated as of February 1, 2019, among DiscoverOrg, LLC, DiscoverOrg Midco, LLC, the guarantors party</w:t>
            </w: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5"/>
              </w:rPr>
              <w:t>thereto from time to time, Morgan Stanley Senior Funding, Inc., as administrative agent, collateral agent and L/C issuer, and the other</w:t>
            </w: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0"/>
              </w:rPr>
              <w:t>lenders and L/C issuers party thereto (incorporated by reference to Exhibit 10.10 to the Company’s Registration Statement on Form S-1 (File</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No. 333-236674) filed with the SEC on February 27,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5"/>
              </w:rPr>
              <w:t>Amendment No. 1 to the First Lien Credit Agreement, dated February 19, 2020, by and among DiscoverOrg, LLC, DiscoverOrg Midco,</w:t>
            </w: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3"/>
              </w:rPr>
              <w:t>LLC, Morgan Stanley Bank, N.A., as the new term loan lender, the revolving credit lenders party thereto, Morgan Stanley Senior Funding,</w:t>
            </w: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5"/>
              </w:rPr>
              <w:t>Inc., as administrative agent, collateral agent and L/C issuer (incorporated by reference to Exhibit 10.11 to the Company’s Registration</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Statement on Form S-1 (File No. 333-236674) filed with the SEC on February 27,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6"/>
              </w:rPr>
              <w:t>First Lien Security Agreement, dated as of February 1, 2019, among DiscoverOrg, LLC, DiscoverOrg Midco, LLC, the grantors party</w:t>
            </w: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4"/>
              </w:rPr>
              <w:t>thereto from time to time and Morgan Stanley Senior Funding, Inc., as collateral agent (incorporated by reference to Exhibit 10.12 to the</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Company’s Registration Statement on Form S-1 (File No. 333-236674) filed with the SEC on February 27, 2020)</w:t>
            </w: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2"/>
                <w:szCs w:val="22"/>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2"/>
              </w:rPr>
              <w:t>First Lien Holdings Guaranty, dated as of February 1, 2019, among DiscoverOrg Midco, LLC and Morgan Stanley Senior Funding, Inc., as</w:t>
            </w: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5"/>
              </w:rPr>
              <w:t>administrative agent (incorporated by reference to Exhibit 10.13 to the Company’s Registration Statement on Form S-1 (File No. 333-</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236674) filed with the SEC on February 27, 2020)</w:t>
            </w:r>
          </w:p>
        </w:tc>
      </w:tr>
    </w:tbl>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21" w:right="339" w:bottom="1440" w:gutter="0" w:footer="0" w:header="0"/>
        </w:sectPr>
      </w:pPr>
    </w:p>
    <w:bookmarkStart w:id="321" w:name="page322"/>
    <w:bookmarkEnd w:id="321"/>
    <w:p>
      <w:pPr>
        <w:jc w:val="center"/>
        <w:ind w:right="-35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460" w:type="dxa"/>
            <w:vAlign w:val="bottom"/>
          </w:tcPr>
          <w:p>
            <w:pPr>
              <w:ind w:left="320"/>
              <w:spacing w:after="0"/>
              <w:rPr>
                <w:sz w:val="20"/>
                <w:szCs w:val="20"/>
                <w:color w:val="auto"/>
              </w:rPr>
            </w:pPr>
            <w:r>
              <w:rPr>
                <w:rFonts w:ascii="Arial" w:cs="Arial" w:eastAsia="Arial" w:hAnsi="Arial"/>
                <w:sz w:val="18"/>
                <w:szCs w:val="18"/>
                <w:color w:val="auto"/>
                <w:w w:val="90"/>
              </w:rPr>
              <w:t>First Lien Subsidiary Guaranty, dated as of February 1, 2019, among the guarantors party thereto and Morgan Stanley Senior Funding, Inc.,</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as administrative agent (incorporated by reference to Exhibit 10.14 to the Company’s Registration Statement on Form S-1 (File No. 333-</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236674) filed with the SEC on February 27,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First Lien Intercompany Subordination Agreement, dated as of February 1, 2019, among DiscoverOrg, LLC, DiscoverOrg Midco, LLC, the</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subordinated creditors and obligors party thereto from time to time and Morgan Stanley Senior Funding, Inc., as administrative agent and</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collateral agent (incorporated by reference to Exhibit 10.15 to the Company’s Registration Statement on Form S-1 (File No. 333-236674)</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filed with the SEC on February 27,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Employment Agreement by and between ZoomInfo Technologies Inc., ZoomInfo OpCo and Henry Schuck (incorporated by reference to</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Exhibit 10.9 to the Company’s Current Report on Form 8-K (File No. 001-39310) filed with the SEC on June 8,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Employment Agreement, dated August 26, 2018, by and between DiscoverOrg, LLC and Chris Hays (incorporated by reference to Exhibit</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10.23 to the Company’s Registration Statement on Form S-1 (File No. 333-236674) filed with the SEC on February 27,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Compensation Letter, dated May 28, 2019, by and between DiscoverOrg Data, LLC and Chris Hays (incorporated by reference to Exhibit</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10.24 to the Company’s Registration Statement on Form S-1 (File No. 333-236674) filed with the SEC on February 27,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Employment Agreement, dated December 21, 2018, by and between DiscoverOrg Data, LLC and Peter Cameron Hyzer (incorporated by</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reference to Exhibit 10.25 to the Company’s Registration Statement on Form S-1 (File No. 333-236674) filed with the SEC on February 27,</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Form of HSKB Funds, LLC Subscription Agreement (incorporated by reference to Exhibit 10.26 to the Company’s Registration Statement</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on Form S-1 (File No. 333-236674) filed with the SEC on February 27,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Form of Class P Incentive Unit Agreement (incorporated by reference to Exhibit 10.27 to the Company’s Registration Statement on Form S-</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1 (File No. 333-236674) filed with the SEC on February 27,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Form of Standard Employee Stock Option Agreement under 2020 Omnibus Incentive Plan (incorporated by reference to Exhibit 10.28 to</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4"/>
              </w:rPr>
              <w:t>Amendment No. 2 to the Company’s Registration Statement on Form S-1 (File No. 333-236674) filed with the SEC on May 22,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320"/>
              <w:spacing w:after="0"/>
              <w:rPr>
                <w:sz w:val="20"/>
                <w:szCs w:val="20"/>
                <w:color w:val="auto"/>
              </w:rPr>
            </w:pPr>
            <w:r>
              <w:rPr>
                <w:rFonts w:ascii="Arial" w:cs="Arial" w:eastAsia="Arial" w:hAnsi="Arial"/>
                <w:sz w:val="18"/>
                <w:szCs w:val="18"/>
                <w:color w:val="auto"/>
                <w:w w:val="95"/>
              </w:rPr>
              <w:t>Form of Class P Unit Agreement for Henry Schuck under 2020 Omnibus Incentive Plan (incorporated by reference to Exhibit 10.29 to</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4"/>
              </w:rPr>
              <w:t>Amendment No. 2 to the Company’s Registration Statement on Form S-1 (File No. 333-236674) filed with the SEC on May 22,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Form of Leverage Restoration Stock Option Agreement under 2020 Omnibus Incentive Plan (incorporated by reference to Exhibit 10.30 to</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4"/>
              </w:rPr>
              <w:t>Amendment No. 2 to the Company’s Registration Statement on Form S-1 (File No. 333-236674) filed with the SEC on May 22,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Form of Standard Employee Restricted Stock Unit Agreement under 2020 Omnibus Incentive Plan (incorporated by reference to Exhibit</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4"/>
              </w:rPr>
              <w:t>10.31 to Amendment No. 2 to the Company’s Registration Statement on Form S-1 (File No. 333-236674) filed with the SEC on May 22,</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10.27</w:t>
            </w: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Form of Non-Employee Director Annual Restricted Stock Unit Agreement under 2020 Omnibus Incentive Plan (incorporated by reference</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to Exhibit 10.32 to Amendment No. 2 to the Company’s Registration Statement on Form S-1 (File No. 333-236674) filed with the SEC on</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May 22,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10.28</w:t>
            </w: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Form of Non-Employee Director Sign-On Restricted Stock Unit Agreement under 2020 Omnibus Incentive Plan (incorporated by reference</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to Exhibit 10.33 to Amendment No. 2 to the Company’s Registration Statement on Form S-1 (File No. 333-236674) filed with the SEC on</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May 22,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10.29</w:t>
            </w: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Form of Class P Unit Award Agreement under 2020 Omnibus Incentive Plan (incorporated by reference to Exhibit 10.34 to Amendment No.</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2 to the Company’s Registration Statement on Form S-1 (File No. 333-236674) filed with the SEC on May 22,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10.30</w:t>
            </w: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Form of LTIP Unit Award Agreement under 2020 Omnibus Incentive Plan (incorporated by reference to Exhibit 10.35 to Amendment No. 2</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to the Company’s Registration Statement on Form S-1 (File No. 333-236674) filed with the SEC on May 22,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10.31</w:t>
            </w:r>
          </w:p>
        </w:tc>
        <w:tc>
          <w:tcPr>
            <w:tcW w:w="10460" w:type="dxa"/>
            <w:vAlign w:val="bottom"/>
          </w:tcPr>
          <w:p>
            <w:pPr>
              <w:ind w:left="320"/>
              <w:spacing w:after="0"/>
              <w:rPr>
                <w:sz w:val="20"/>
                <w:szCs w:val="20"/>
                <w:color w:val="auto"/>
              </w:rPr>
            </w:pPr>
            <w:r>
              <w:rPr>
                <w:rFonts w:ascii="Arial" w:cs="Arial" w:eastAsia="Arial" w:hAnsi="Arial"/>
                <w:sz w:val="18"/>
                <w:szCs w:val="18"/>
                <w:color w:val="auto"/>
                <w:w w:val="97"/>
              </w:rPr>
              <w:t>Form of Restrictive Covenant Agreement Exhibit to Employee Equity Awards under 2020 Omnibus Incentive Plan (incorporated by</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reference to Exhibit 10.36 to Amendment No. 2 to the Company’s Registration Statement on Form S-1 (File No. 333-236674) filed with the</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SEC on May 22, 2020)†</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Subsidiaries of the Registrant (incorporated by reference to Exhibit 21.1 to the Company’s Registration Statement on Form S-1 (File No.</w:t>
            </w:r>
          </w:p>
        </w:tc>
      </w:tr>
      <w:tr>
        <w:trPr>
          <w:trHeight w:val="230"/>
        </w:trPr>
        <w:tc>
          <w:tcPr>
            <w:tcW w:w="720" w:type="dxa"/>
            <w:vAlign w:val="bottom"/>
          </w:tcPr>
          <w:p>
            <w:pPr>
              <w:spacing w:after="0"/>
              <w:rPr>
                <w:sz w:val="20"/>
                <w:szCs w:val="20"/>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333-236674) filed with the SEC on February 27, 2020)</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460" w:type="dxa"/>
            <w:vAlign w:val="bottom"/>
          </w:tcPr>
          <w:p>
            <w:pPr>
              <w:ind w:left="320"/>
              <w:spacing w:after="0"/>
              <w:rPr>
                <w:sz w:val="20"/>
                <w:szCs w:val="20"/>
                <w:color w:val="auto"/>
              </w:rPr>
            </w:pPr>
            <w:r>
              <w:rPr>
                <w:rFonts w:ascii="Arial" w:cs="Arial" w:eastAsia="Arial" w:hAnsi="Arial"/>
                <w:sz w:val="18"/>
                <w:szCs w:val="18"/>
                <w:color w:val="auto"/>
              </w:rPr>
              <w:t>Consent of KPMG LLP*</w:t>
            </w:r>
          </w:p>
        </w:tc>
      </w:tr>
    </w:tbl>
    <w:p>
      <w:pPr>
        <w:spacing w:after="0" w:line="200" w:lineRule="exact"/>
        <w:rPr>
          <w:sz w:val="20"/>
          <w:szCs w:val="20"/>
          <w:color w:val="auto"/>
        </w:rPr>
      </w:pPr>
    </w:p>
    <w:p>
      <w:pPr>
        <w:spacing w:after="0" w:line="3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340" w:top="121" w:right="379" w:bottom="1440" w:gutter="0" w:footer="0" w:header="0"/>
        </w:sectPr>
      </w:pPr>
    </w:p>
    <w:bookmarkStart w:id="322" w:name="page323"/>
    <w:bookmarkEnd w:id="322"/>
    <w:p>
      <w:pPr>
        <w:jc w:val="center"/>
        <w:ind w:right="-1440"/>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1440"/>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23.2</w:t>
            </w:r>
          </w:p>
        </w:tc>
        <w:tc>
          <w:tcPr>
            <w:tcW w:w="6040" w:type="dxa"/>
            <w:vAlign w:val="bottom"/>
          </w:tcPr>
          <w:p>
            <w:pPr>
              <w:ind w:left="360"/>
              <w:spacing w:after="0"/>
              <w:rPr>
                <w:sz w:val="20"/>
                <w:szCs w:val="20"/>
                <w:color w:val="auto"/>
              </w:rPr>
            </w:pPr>
            <w:r>
              <w:rPr>
                <w:rFonts w:ascii="Arial" w:cs="Arial" w:eastAsia="Arial" w:hAnsi="Arial"/>
                <w:sz w:val="18"/>
                <w:szCs w:val="18"/>
                <w:color w:val="auto"/>
              </w:rPr>
              <w:t>Consent of KPMG LLP*</w:t>
            </w:r>
          </w:p>
        </w:tc>
      </w:tr>
      <w:tr>
        <w:trPr>
          <w:trHeight w:val="27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23.3</w:t>
            </w:r>
          </w:p>
        </w:tc>
        <w:tc>
          <w:tcPr>
            <w:tcW w:w="6040" w:type="dxa"/>
            <w:vAlign w:val="bottom"/>
          </w:tcPr>
          <w:p>
            <w:pPr>
              <w:ind w:left="360"/>
              <w:spacing w:after="0"/>
              <w:rPr>
                <w:sz w:val="20"/>
                <w:szCs w:val="20"/>
                <w:color w:val="auto"/>
              </w:rPr>
            </w:pPr>
            <w:r>
              <w:rPr>
                <w:rFonts w:ascii="Arial" w:cs="Arial" w:eastAsia="Arial" w:hAnsi="Arial"/>
                <w:sz w:val="18"/>
                <w:szCs w:val="18"/>
                <w:color w:val="auto"/>
              </w:rPr>
              <w:t>Consent of RSM US LLP*</w:t>
            </w:r>
          </w:p>
        </w:tc>
      </w:tr>
      <w:tr>
        <w:trPr>
          <w:trHeight w:val="27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23.4</w:t>
            </w:r>
          </w:p>
        </w:tc>
        <w:tc>
          <w:tcPr>
            <w:tcW w:w="6040" w:type="dxa"/>
            <w:vAlign w:val="bottom"/>
          </w:tcPr>
          <w:p>
            <w:pPr>
              <w:ind w:left="360"/>
              <w:spacing w:after="0"/>
              <w:rPr>
                <w:sz w:val="20"/>
                <w:szCs w:val="20"/>
                <w:color w:val="auto"/>
              </w:rPr>
            </w:pPr>
            <w:r>
              <w:rPr>
                <w:rFonts w:ascii="Arial" w:cs="Arial" w:eastAsia="Arial" w:hAnsi="Arial"/>
                <w:sz w:val="18"/>
                <w:szCs w:val="18"/>
                <w:color w:val="auto"/>
                <w:w w:val="92"/>
              </w:rPr>
              <w:t>Consent of Simpson Thacher &amp; Bartlett LLP (included as part of Exhibit 5.1)*</w:t>
            </w:r>
          </w:p>
        </w:tc>
      </w:tr>
      <w:tr>
        <w:trPr>
          <w:trHeight w:val="27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24.1</w:t>
            </w:r>
          </w:p>
        </w:tc>
        <w:tc>
          <w:tcPr>
            <w:tcW w:w="6040" w:type="dxa"/>
            <w:vAlign w:val="bottom"/>
          </w:tcPr>
          <w:p>
            <w:pPr>
              <w:ind w:left="360"/>
              <w:spacing w:after="0"/>
              <w:rPr>
                <w:sz w:val="20"/>
                <w:szCs w:val="20"/>
                <w:color w:val="auto"/>
              </w:rPr>
            </w:pPr>
            <w:r>
              <w:rPr>
                <w:rFonts w:ascii="Arial" w:cs="Arial" w:eastAsia="Arial" w:hAnsi="Arial"/>
                <w:sz w:val="18"/>
                <w:szCs w:val="18"/>
                <w:color w:val="auto"/>
                <w:w w:val="91"/>
              </w:rPr>
              <w:t>Power of Attorney (included in signature page of this Registration Statement)*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To be filed by amendment.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139"/>
          </w:cols>
          <w:pgMar w:left="320" w:top="121" w:right="1440" w:bottom="1440" w:gutter="0" w:footer="0" w:header="0"/>
        </w:sectPr>
      </w:pPr>
    </w:p>
    <w:bookmarkStart w:id="323" w:name="page324"/>
    <w:bookmarkEnd w:id="323"/>
    <w:p>
      <w:pPr>
        <w:jc w:val="center"/>
        <w:ind w:right="-3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46" w:lineRule="exact"/>
        <w:rPr>
          <w:sz w:val="20"/>
          <w:szCs w:val="20"/>
          <w:color w:val="auto"/>
        </w:rPr>
      </w:pPr>
    </w:p>
    <w:p>
      <w:pPr>
        <w:spacing w:after="0"/>
        <w:tabs>
          <w:tab w:leader="none" w:pos="8040" w:val="left"/>
          <w:tab w:leader="none" w:pos="8980" w:val="left"/>
        </w:tabs>
        <w:rPr>
          <w:sz w:val="20"/>
          <w:szCs w:val="20"/>
          <w:color w:val="auto"/>
        </w:rPr>
      </w:pPr>
      <w:r>
        <w:rPr>
          <w:rFonts w:ascii="Arial" w:cs="Arial" w:eastAsia="Arial" w:hAnsi="Arial"/>
          <w:sz w:val="17"/>
          <w:szCs w:val="17"/>
          <w:color w:val="auto"/>
        </w:rPr>
        <w:t>behalf by the undersigned, thereunto duly authorized, in the City of Vancouver, State of Washington,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2020.</w:t>
      </w:r>
    </w:p>
    <w:p>
      <w:pPr>
        <w:spacing w:after="0" w:line="211"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ZOOMINFO TECHNOLOGIES INC.</w:t>
      </w:r>
    </w:p>
    <w:p>
      <w:pPr>
        <w:spacing w:after="0" w:line="27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31750</wp:posOffset>
            </wp:positionV>
            <wp:extent cx="24174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Name: Henry Schuck</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Title: Chief Executive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Each person whose signature appears below hereby constitutes and appoints Henry Schuck, Cameron Hyzer, Anthony Stark, and Christopher Arntzen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and Power of Attorney have been signed by the</w:t>
      </w:r>
    </w:p>
    <w:p>
      <w:pPr>
        <w:spacing w:after="0" w:line="46" w:lineRule="exact"/>
        <w:rPr>
          <w:sz w:val="20"/>
          <w:szCs w:val="20"/>
          <w:color w:val="auto"/>
        </w:rPr>
      </w:pPr>
    </w:p>
    <w:p>
      <w:pPr>
        <w:spacing w:after="0"/>
        <w:tabs>
          <w:tab w:leader="none" w:pos="4000" w:val="left"/>
          <w:tab w:leader="none" w:pos="4940" w:val="left"/>
        </w:tabs>
        <w:rPr>
          <w:sz w:val="20"/>
          <w:szCs w:val="20"/>
          <w:color w:val="auto"/>
        </w:rPr>
      </w:pPr>
      <w:r>
        <w:rPr>
          <w:rFonts w:ascii="Arial" w:cs="Arial" w:eastAsia="Arial" w:hAnsi="Arial"/>
          <w:sz w:val="18"/>
          <w:szCs w:val="18"/>
          <w:color w:val="auto"/>
        </w:rPr>
        <w:t>following persons in the capacities indicated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2020.</w:t>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30429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042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30429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1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30429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Todd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30429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Mitesh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30429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Keith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30429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Ashley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30429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Mark Mader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30429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27"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Patrick McCarter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30429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50"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Jason Mironov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30429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38"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30429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50"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30429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50"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David Reid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23495</wp:posOffset>
            </wp:positionV>
            <wp:extent cx="402907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8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Chief Executive Officer and Chairman of the Board of Directors (principal executive</w:t>
      </w:r>
    </w:p>
    <w:p>
      <w:pPr>
        <w:spacing w:after="0" w:line="4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officer)</w:t>
      </w:r>
    </w:p>
    <w:p>
      <w:pPr>
        <w:spacing w:after="0" w:line="224"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Chief Financial Officer (principal financial officer)</w:t>
      </w:r>
    </w:p>
    <w:p>
      <w:pPr>
        <w:spacing w:after="0" w:line="34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Vice President of Accounting and Controller (principal accounting officer)</w:t>
      </w:r>
    </w:p>
    <w:p>
      <w:pPr>
        <w:spacing w:after="0" w:line="333" w:lineRule="exact"/>
        <w:rPr>
          <w:sz w:val="20"/>
          <w:szCs w:val="20"/>
          <w:color w:val="auto"/>
        </w:rPr>
      </w:pPr>
    </w:p>
    <w:p>
      <w:pPr>
        <w:sectPr>
          <w:pgSz w:w="11900" w:h="16838" w:orient="portrait"/>
          <w:cols w:equalWidth="0" w:num="2">
            <w:col w:w="4280" w:space="720"/>
            <w:col w:w="6240"/>
          </w:cols>
          <w:pgMar w:left="320" w:top="121" w:right="339" w:bottom="1440" w:gutter="0" w:footer="0" w:header="0"/>
          <w:type w:val="continuous"/>
        </w:sectPr>
      </w:pPr>
    </w:p>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II-7</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1)"/>
      <w:numFmt w:val="decimal"/>
      <w:start w:val="2"/>
    </w:lvl>
  </w:abstractNum>
  <w:abstractNum w:abstractNumId="1">
    <w:nsid w:val="488AC1A"/>
    <w:multiLevelType w:val="hybridMultilevel"/>
    <w:lvl w:ilvl="0">
      <w:lvlJc w:val="left"/>
      <w:lvlText w:val="(%1)"/>
      <w:numFmt w:val="decimal"/>
      <w:start w:val="1"/>
    </w:lvl>
  </w:abstractNum>
  <w:abstractNum w:abstractNumId="2">
    <w:nsid w:val="5FB8011C"/>
    <w:multiLevelType w:val="hybridMultilevel"/>
    <w:lvl w:ilvl="0">
      <w:lvlJc w:val="left"/>
      <w:lvlText w:val="•"/>
      <w:numFmt w:val="bullet"/>
      <w:start w:val="1"/>
    </w:lvl>
  </w:abstractNum>
  <w:abstractNum w:abstractNumId="3">
    <w:nsid w:val="6AA78F7F"/>
    <w:multiLevelType w:val="hybridMultilevel"/>
    <w:lvl w:ilvl="0">
      <w:lvlJc w:val="left"/>
      <w:lvlText w:val="•"/>
      <w:numFmt w:val="bullet"/>
      <w:start w:val="1"/>
    </w:lvl>
  </w:abstractNum>
  <w:abstractNum w:abstractNumId="4">
    <w:nsid w:val="7672BD23"/>
    <w:multiLevelType w:val="hybridMultilevel"/>
    <w:lvl w:ilvl="0">
      <w:lvlJc w:val="left"/>
      <w:lvlText w:val="•"/>
      <w:numFmt w:val="bullet"/>
      <w:start w:val="1"/>
    </w:lvl>
  </w:abstractNum>
  <w:abstractNum w:abstractNumId="5">
    <w:nsid w:val="6FC75AF8"/>
    <w:multiLevelType w:val="hybridMultilevel"/>
    <w:lvl w:ilvl="0">
      <w:lvlJc w:val="left"/>
      <w:lvlText w:val="%1)"/>
      <w:numFmt w:val="decimal"/>
      <w:start w:val="1"/>
    </w:lvl>
  </w:abstractNum>
  <w:abstractNum w:abstractNumId="6">
    <w:nsid w:val="6A5F7029"/>
    <w:multiLevelType w:val="hybridMultilevel"/>
    <w:lvl w:ilvl="0">
      <w:lvlJc w:val="left"/>
      <w:lvlText w:val="•"/>
      <w:numFmt w:val="bullet"/>
      <w:start w:val="1"/>
    </w:lvl>
  </w:abstractNum>
  <w:abstractNum w:abstractNumId="7">
    <w:nsid w:val="7D5E18F8"/>
    <w:multiLevelType w:val="hybridMultilevel"/>
    <w:lvl w:ilvl="0">
      <w:lvlJc w:val="left"/>
      <w:lvlText w:val="•"/>
      <w:numFmt w:val="bullet"/>
      <w:start w:val="1"/>
    </w:lvl>
  </w:abstractNum>
  <w:abstractNum w:abstractNumId="8">
    <w:nsid w:val="5F3534A4"/>
    <w:multiLevelType w:val="hybridMultilevel"/>
    <w:lvl w:ilvl="0">
      <w:lvlJc w:val="left"/>
      <w:lvlText w:val="•"/>
      <w:numFmt w:val="bullet"/>
      <w:start w:val="1"/>
    </w:lvl>
  </w:abstractNum>
  <w:abstractNum w:abstractNumId="9">
    <w:nsid w:val="73A1821B"/>
    <w:multiLevelType w:val="hybridMultilevel"/>
    <w:lvl w:ilvl="0">
      <w:lvlJc w:val="left"/>
      <w:lvlText w:val="•"/>
      <w:numFmt w:val="bullet"/>
      <w:start w:val="1"/>
    </w:lvl>
  </w:abstractNum>
  <w:abstractNum w:abstractNumId="10">
    <w:nsid w:val="7DE67713"/>
    <w:multiLevelType w:val="hybridMultilevel"/>
    <w:lvl w:ilvl="0">
      <w:lvlJc w:val="left"/>
      <w:lvlText w:val="•"/>
      <w:numFmt w:val="bullet"/>
      <w:start w:val="1"/>
    </w:lvl>
  </w:abstractNum>
  <w:abstractNum w:abstractNumId="11">
    <w:nsid w:val="555C55B5"/>
    <w:multiLevelType w:val="hybridMultilevel"/>
    <w:lvl w:ilvl="0">
      <w:lvlJc w:val="left"/>
      <w:lvlText w:val="•"/>
      <w:numFmt w:val="bullet"/>
      <w:start w:val="1"/>
    </w:lvl>
  </w:abstractNum>
  <w:abstractNum w:abstractNumId="12">
    <w:nsid w:val="3FA62ACA"/>
    <w:multiLevelType w:val="hybridMultilevel"/>
    <w:lvl w:ilvl="0">
      <w:lvlJc w:val="left"/>
      <w:lvlText w:val="•"/>
      <w:numFmt w:val="bullet"/>
      <w:start w:val="1"/>
    </w:lvl>
  </w:abstractNum>
  <w:abstractNum w:abstractNumId="13">
    <w:nsid w:val="14FCE74E"/>
    <w:multiLevelType w:val="hybridMultilevel"/>
    <w:lvl w:ilvl="0">
      <w:lvlJc w:val="left"/>
      <w:lvlText w:val="(%1)"/>
      <w:numFmt w:val="decimal"/>
      <w:start w:val="1"/>
    </w:lvl>
  </w:abstractNum>
  <w:abstractNum w:abstractNumId="14">
    <w:nsid w:val="6A3DD3E8"/>
    <w:multiLevelType w:val="hybridMultilevel"/>
    <w:lvl w:ilvl="0">
      <w:lvlJc w:val="left"/>
      <w:lvlText w:val="(%1)"/>
      <w:numFmt w:val="decimal"/>
      <w:start w:val="2"/>
    </w:lvl>
  </w:abstractNum>
  <w:abstractNum w:abstractNumId="15">
    <w:nsid w:val="71C91298"/>
    <w:multiLevelType w:val="hybridMultilevel"/>
    <w:lvl w:ilvl="0">
      <w:lvlJc w:val="left"/>
      <w:lvlText w:val="(%1)"/>
      <w:numFmt w:val="decimal"/>
      <w:start w:val="3"/>
    </w:lvl>
  </w:abstractNum>
  <w:abstractNum w:abstractNumId="16">
    <w:nsid w:val="9DAF632"/>
    <w:multiLevelType w:val="hybridMultilevel"/>
    <w:lvl w:ilvl="0">
      <w:lvlJc w:val="left"/>
      <w:lvlText w:val="(%1)"/>
      <w:numFmt w:val="decimal"/>
      <w:start w:val="1"/>
    </w:lvl>
  </w:abstractNum>
  <w:abstractNum w:abstractNumId="17">
    <w:nsid w:val="53299938"/>
    <w:multiLevelType w:val="hybridMultilevel"/>
    <w:lvl w:ilvl="0">
      <w:lvlJc w:val="left"/>
      <w:lvlText w:val="(%1)"/>
      <w:numFmt w:val="decimal"/>
      <w:start w:val="1"/>
    </w:lvl>
  </w:abstractNum>
  <w:abstractNum w:abstractNumId="18">
    <w:nsid w:val="1FBFE8E0"/>
    <w:multiLevelType w:val="hybridMultilevel"/>
    <w:lvl w:ilvl="0">
      <w:lvlJc w:val="left"/>
      <w:lvlText w:val="(%1)"/>
      <w:numFmt w:val="decimal"/>
      <w:start w:val="2"/>
    </w:lvl>
  </w:abstractNum>
  <w:abstractNum w:abstractNumId="19">
    <w:nsid w:val="5092CA79"/>
    <w:multiLevelType w:val="hybridMultilevel"/>
    <w:lvl w:ilvl="0">
      <w:lvlJc w:val="left"/>
      <w:lvlText w:val="•"/>
      <w:numFmt w:val="bullet"/>
      <w:start w:val="1"/>
    </w:lvl>
  </w:abstractNum>
  <w:abstractNum w:abstractNumId="20">
    <w:nsid w:val="1D545C4D"/>
    <w:multiLevelType w:val="hybridMultilevel"/>
    <w:lvl w:ilvl="0">
      <w:lvlJc w:val="left"/>
      <w:lvlText w:val="•"/>
      <w:numFmt w:val="bullet"/>
      <w:start w:val="1"/>
    </w:lvl>
  </w:abstractNum>
  <w:abstractNum w:abstractNumId="21">
    <w:nsid w:val="59ADEA3D"/>
    <w:multiLevelType w:val="hybridMultilevel"/>
    <w:lvl w:ilvl="0">
      <w:lvlJc w:val="left"/>
      <w:lvlText w:val="•"/>
      <w:numFmt w:val="bullet"/>
      <w:start w:val="1"/>
    </w:lvl>
  </w:abstractNum>
  <w:abstractNum w:abstractNumId="22">
    <w:nsid w:val="288F1A34"/>
    <w:multiLevelType w:val="hybridMultilevel"/>
    <w:lvl w:ilvl="0">
      <w:lvlJc w:val="left"/>
      <w:lvlText w:val="◦"/>
      <w:numFmt w:val="bullet"/>
      <w:start w:val="1"/>
    </w:lvl>
  </w:abstractNum>
  <w:abstractNum w:abstractNumId="23">
    <w:nsid w:val="2A155DBC"/>
    <w:multiLevelType w:val="hybridMultilevel"/>
    <w:lvl w:ilvl="0">
      <w:lvlJc w:val="left"/>
      <w:lvlText w:val="(%1)"/>
      <w:numFmt w:val="decimal"/>
      <w:start w:val="1"/>
    </w:lvl>
  </w:abstractNum>
  <w:abstractNum w:abstractNumId="24">
    <w:nsid w:val="1D9F6E5F"/>
    <w:multiLevelType w:val="hybridMultilevel"/>
    <w:lvl w:ilvl="0">
      <w:lvlJc w:val="left"/>
      <w:lvlText w:val="%1"/>
      <w:numFmt w:val="decimal"/>
      <w:start w:val="1"/>
    </w:lvl>
    <w:lvl w:ilvl="1">
      <w:lvlJc w:val="left"/>
      <w:lvlText w:val="(%2)"/>
      <w:numFmt w:val="lowerLetter"/>
      <w:start w:val="1"/>
    </w:lvl>
  </w:abstractNum>
  <w:abstractNum w:abstractNumId="25">
    <w:nsid w:val="97E1B4E"/>
    <w:multiLevelType w:val="hybridMultilevel"/>
    <w:lvl w:ilvl="0">
      <w:lvlJc w:val="left"/>
      <w:lvlText w:val="(%1)"/>
      <w:numFmt w:val="decimal"/>
      <w:start w:val="2"/>
    </w:lvl>
    <w:lvl w:ilvl="1">
      <w:lvlJc w:val="left"/>
      <w:lvlText w:val="%2"/>
      <w:numFmt w:val="lowerLetter"/>
      <w:start w:val="1"/>
    </w:lvl>
  </w:abstractNum>
  <w:abstractNum w:abstractNumId="26">
    <w:nsid w:val="51088277"/>
    <w:multiLevelType w:val="hybridMultilevel"/>
    <w:lvl w:ilvl="0">
      <w:lvlJc w:val="left"/>
      <w:lvlText w:val="(%1)"/>
      <w:numFmt w:val="decimal"/>
      <w:start w:val="3"/>
    </w:lvl>
  </w:abstractNum>
  <w:abstractNum w:abstractNumId="27">
    <w:nsid w:val="1CA0C5FA"/>
    <w:multiLevelType w:val="hybridMultilevel"/>
    <w:lvl w:ilvl="0">
      <w:lvlJc w:val="left"/>
      <w:lvlText w:val="(%1)"/>
      <w:numFmt w:val="decimal"/>
      <w:start w:val="6"/>
    </w:lvl>
  </w:abstractNum>
  <w:abstractNum w:abstractNumId="28">
    <w:nsid w:val="53584BCB"/>
    <w:multiLevelType w:val="hybridMultilevel"/>
    <w:lvl w:ilvl="0">
      <w:lvlJc w:val="left"/>
      <w:lvlText w:val="%1"/>
      <w:numFmt w:val="decimal"/>
      <w:start w:val="1"/>
    </w:lvl>
    <w:lvl w:ilvl="1">
      <w:lvlJc w:val="left"/>
      <w:lvlText w:val="(%2)"/>
      <w:numFmt w:val="lowerLetter"/>
      <w:start w:val="1"/>
    </w:lvl>
  </w:abstractNum>
  <w:abstractNum w:abstractNumId="29">
    <w:nsid w:val="415E286C"/>
    <w:multiLevelType w:val="hybridMultilevel"/>
    <w:lvl w:ilvl="0">
      <w:lvlJc w:val="left"/>
      <w:lvlText w:val="(%1)"/>
      <w:numFmt w:val="decimal"/>
      <w:start w:val="7"/>
    </w:lvl>
    <w:lvl w:ilvl="1">
      <w:lvlJc w:val="left"/>
      <w:lvlText w:val="%2"/>
      <w:numFmt w:val="lowerLetter"/>
      <w:start w:val="1"/>
    </w:lvl>
  </w:abstractNum>
  <w:abstractNum w:abstractNumId="30">
    <w:nsid w:val="7C58FD05"/>
    <w:multiLevelType w:val="hybridMultilevel"/>
    <w:lvl w:ilvl="0">
      <w:lvlJc w:val="left"/>
      <w:lvlText w:val="(%1)"/>
      <w:numFmt w:val="lowerLetter"/>
      <w:start w:val="1"/>
    </w:lvl>
  </w:abstractNum>
  <w:abstractNum w:abstractNumId="31">
    <w:nsid w:val="23D86AAC"/>
    <w:multiLevelType w:val="hybridMultilevel"/>
    <w:lvl w:ilvl="0">
      <w:lvlJc w:val="left"/>
      <w:lvlText w:val="(%1)"/>
      <w:numFmt w:val="decimal"/>
      <w:start w:val="8"/>
    </w:lvl>
  </w:abstractNum>
  <w:abstractNum w:abstractNumId="32">
    <w:nsid w:val="45E6D486"/>
    <w:multiLevelType w:val="hybridMultilevel"/>
    <w:lvl w:ilvl="0">
      <w:lvlJc w:val="left"/>
      <w:lvlText w:val="(%1)"/>
      <w:numFmt w:val="lowerLetter"/>
      <w:start w:val="1"/>
    </w:lvl>
  </w:abstractNum>
  <w:abstractNum w:abstractNumId="33">
    <w:nsid w:val="5C10FE21"/>
    <w:multiLevelType w:val="hybridMultilevel"/>
    <w:lvl w:ilvl="0">
      <w:lvlJc w:val="left"/>
      <w:lvlText w:val="•"/>
      <w:numFmt w:val="bullet"/>
      <w:start w:val="1"/>
    </w:lvl>
  </w:abstractNum>
  <w:abstractNum w:abstractNumId="34">
    <w:nsid w:val="E7FFA2B"/>
    <w:multiLevelType w:val="hybridMultilevel"/>
    <w:lvl w:ilvl="0">
      <w:lvlJc w:val="left"/>
      <w:lvlText w:val="•"/>
      <w:numFmt w:val="bullet"/>
      <w:start w:val="1"/>
    </w:lvl>
  </w:abstractNum>
  <w:abstractNum w:abstractNumId="35">
    <w:nsid w:val="3C5991AA"/>
    <w:multiLevelType w:val="hybridMultilevel"/>
    <w:lvl w:ilvl="0">
      <w:lvlJc w:val="left"/>
      <w:lvlText w:val="•"/>
      <w:numFmt w:val="bullet"/>
      <w:start w:val="1"/>
    </w:lvl>
  </w:abstractNum>
  <w:abstractNum w:abstractNumId="36">
    <w:nsid w:val="4BD8591A"/>
    <w:multiLevelType w:val="hybridMultilevel"/>
    <w:lvl w:ilvl="0">
      <w:lvlJc w:val="left"/>
      <w:lvlText w:val="•"/>
      <w:numFmt w:val="bullet"/>
      <w:start w:val="1"/>
    </w:lvl>
  </w:abstractNum>
  <w:abstractNum w:abstractNumId="37">
    <w:nsid w:val="78DF6A55"/>
    <w:multiLevelType w:val="hybridMultilevel"/>
    <w:lvl w:ilvl="0">
      <w:lvlJc w:val="left"/>
      <w:lvlText w:val="•"/>
      <w:numFmt w:val="bullet"/>
      <w:start w:val="1"/>
    </w:lvl>
  </w:abstractNum>
  <w:abstractNum w:abstractNumId="38">
    <w:nsid w:val="39B7AAA2"/>
    <w:multiLevelType w:val="hybridMultilevel"/>
    <w:lvl w:ilvl="0">
      <w:lvlJc w:val="left"/>
      <w:lvlText w:val="•"/>
      <w:numFmt w:val="bullet"/>
      <w:start w:val="1"/>
    </w:lvl>
  </w:abstractNum>
  <w:abstractNum w:abstractNumId="39">
    <w:nsid w:val="2B0D8DBE"/>
    <w:multiLevelType w:val="hybridMultilevel"/>
    <w:lvl w:ilvl="0">
      <w:lvlJc w:val="left"/>
      <w:lvlText w:val="•"/>
      <w:numFmt w:val="bullet"/>
      <w:start w:val="1"/>
    </w:lvl>
  </w:abstractNum>
  <w:abstractNum w:abstractNumId="40">
    <w:nsid w:val="6C80EC70"/>
    <w:multiLevelType w:val="hybridMultilevel"/>
    <w:lvl w:ilvl="0">
      <w:lvlJc w:val="left"/>
      <w:lvlText w:val="•"/>
      <w:numFmt w:val="bullet"/>
      <w:start w:val="1"/>
    </w:lvl>
  </w:abstractNum>
  <w:abstractNum w:abstractNumId="41">
    <w:nsid w:val="379E21B5"/>
    <w:multiLevelType w:val="hybridMultilevel"/>
    <w:lvl w:ilvl="0">
      <w:lvlJc w:val="left"/>
      <w:lvlText w:val="•"/>
      <w:numFmt w:val="bullet"/>
      <w:start w:val="1"/>
    </w:lvl>
  </w:abstractNum>
  <w:abstractNum w:abstractNumId="42">
    <w:nsid w:val="69E373"/>
    <w:multiLevelType w:val="hybridMultilevel"/>
    <w:lvl w:ilvl="0">
      <w:lvlJc w:val="left"/>
      <w:lvlText w:val="•"/>
      <w:numFmt w:val="bullet"/>
      <w:start w:val="1"/>
    </w:lvl>
  </w:abstractNum>
  <w:abstractNum w:abstractNumId="43">
    <w:nsid w:val="2C27173B"/>
    <w:multiLevelType w:val="hybridMultilevel"/>
    <w:lvl w:ilvl="0">
      <w:lvlJc w:val="left"/>
      <w:lvlText w:val="•"/>
      <w:numFmt w:val="bullet"/>
      <w:start w:val="1"/>
    </w:lvl>
  </w:abstractNum>
  <w:abstractNum w:abstractNumId="44">
    <w:nsid w:val="4C9B0904"/>
    <w:multiLevelType w:val="hybridMultilevel"/>
    <w:lvl w:ilvl="0">
      <w:lvlJc w:val="left"/>
      <w:lvlText w:val="•"/>
      <w:numFmt w:val="bullet"/>
      <w:start w:val="1"/>
    </w:lvl>
  </w:abstractNum>
  <w:abstractNum w:abstractNumId="45">
    <w:nsid w:val="6AA7B75C"/>
    <w:multiLevelType w:val="hybridMultilevel"/>
    <w:lvl w:ilvl="0">
      <w:lvlJc w:val="left"/>
      <w:lvlText w:val="•"/>
      <w:numFmt w:val="bullet"/>
      <w:start w:val="1"/>
    </w:lvl>
  </w:abstractNum>
  <w:abstractNum w:abstractNumId="46">
    <w:nsid w:val="1DF029D3"/>
    <w:multiLevelType w:val="hybridMultilevel"/>
    <w:lvl w:ilvl="0">
      <w:lvlJc w:val="left"/>
      <w:lvlText w:val="•"/>
      <w:numFmt w:val="bullet"/>
      <w:start w:val="1"/>
    </w:lvl>
  </w:abstractNum>
  <w:abstractNum w:abstractNumId="47">
    <w:nsid w:val="5675FF36"/>
    <w:multiLevelType w:val="hybridMultilevel"/>
    <w:lvl w:ilvl="0">
      <w:lvlJc w:val="left"/>
      <w:lvlText w:val="•"/>
      <w:numFmt w:val="bullet"/>
      <w:start w:val="1"/>
    </w:lvl>
  </w:abstractNum>
  <w:abstractNum w:abstractNumId="48">
    <w:nsid w:val="3DD15094"/>
    <w:multiLevelType w:val="hybridMultilevel"/>
    <w:lvl w:ilvl="0">
      <w:lvlJc w:val="left"/>
      <w:lvlText w:val="•"/>
      <w:numFmt w:val="bullet"/>
      <w:start w:val="1"/>
    </w:lvl>
  </w:abstractNum>
  <w:abstractNum w:abstractNumId="49">
    <w:nsid w:val="3DB012B3"/>
    <w:multiLevelType w:val="hybridMultilevel"/>
    <w:lvl w:ilvl="0">
      <w:lvlJc w:val="left"/>
      <w:lvlText w:val="•"/>
      <w:numFmt w:val="bullet"/>
      <w:start w:val="1"/>
    </w:lvl>
  </w:abstractNum>
  <w:abstractNum w:abstractNumId="50">
    <w:nsid w:val="2708C9AF"/>
    <w:multiLevelType w:val="hybridMultilevel"/>
    <w:lvl w:ilvl="0">
      <w:lvlJc w:val="left"/>
      <w:lvlText w:val="(%1)"/>
      <w:numFmt w:val="lowerRoman"/>
      <w:start w:val="2"/>
    </w:lvl>
  </w:abstractNum>
  <w:abstractNum w:abstractNumId="51">
    <w:nsid w:val="5B25ACE2"/>
    <w:multiLevelType w:val="hybridMultilevel"/>
    <w:lvl w:ilvl="0">
      <w:lvlJc w:val="left"/>
      <w:lvlText w:val="•"/>
      <w:numFmt w:val="bullet"/>
      <w:start w:val="1"/>
    </w:lvl>
  </w:abstractNum>
  <w:abstractNum w:abstractNumId="52">
    <w:nsid w:val="175DFCF0"/>
    <w:multiLevelType w:val="hybridMultilevel"/>
    <w:lvl w:ilvl="0">
      <w:lvlJc w:val="left"/>
      <w:lvlText w:val="&amp;"/>
      <w:numFmt w:val="bullet"/>
      <w:start w:val="1"/>
    </w:lvl>
  </w:abstractNum>
  <w:abstractNum w:abstractNumId="53">
    <w:nsid w:val="4F97E3E4"/>
    <w:multiLevelType w:val="hybridMultilevel"/>
    <w:lvl w:ilvl="0">
      <w:lvlJc w:val="left"/>
      <w:lvlText w:val="•"/>
      <w:numFmt w:val="bullet"/>
      <w:start w:val="1"/>
    </w:lvl>
  </w:abstractNum>
  <w:abstractNum w:abstractNumId="54">
    <w:nsid w:val="53B0A9E"/>
    <w:multiLevelType w:val="hybridMultilevel"/>
    <w:lvl w:ilvl="0">
      <w:lvlJc w:val="left"/>
      <w:lvlText w:val="•"/>
      <w:numFmt w:val="bullet"/>
      <w:start w:val="1"/>
    </w:lvl>
  </w:abstractNum>
  <w:abstractNum w:abstractNumId="55">
    <w:nsid w:val="34FD6B4F"/>
    <w:multiLevelType w:val="hybridMultilevel"/>
    <w:lvl w:ilvl="0">
      <w:lvlJc w:val="left"/>
      <w:lvlText w:val="•"/>
      <w:numFmt w:val="bullet"/>
      <w:start w:val="1"/>
    </w:lvl>
  </w:abstractNum>
  <w:abstractNum w:abstractNumId="56">
    <w:nsid w:val="5915FF32"/>
    <w:multiLevelType w:val="hybridMultilevel"/>
    <w:lvl w:ilvl="0">
      <w:lvlJc w:val="left"/>
      <w:lvlText w:val="•"/>
      <w:numFmt w:val="bullet"/>
      <w:start w:val="1"/>
    </w:lvl>
  </w:abstractNum>
  <w:abstractNum w:abstractNumId="57">
    <w:nsid w:val="56438D15"/>
    <w:multiLevelType w:val="hybridMultilevel"/>
    <w:lvl w:ilvl="0">
      <w:lvlJc w:val="left"/>
      <w:lvlText w:val="•"/>
      <w:numFmt w:val="bullet"/>
      <w:start w:val="1"/>
    </w:lvl>
  </w:abstractNum>
  <w:abstractNum w:abstractNumId="58">
    <w:nsid w:val="519E3149"/>
    <w:multiLevelType w:val="hybridMultilevel"/>
    <w:lvl w:ilvl="0">
      <w:lvlJc w:val="left"/>
      <w:lvlText w:val="•"/>
      <w:numFmt w:val="bullet"/>
      <w:start w:val="1"/>
    </w:lvl>
  </w:abstractNum>
  <w:abstractNum w:abstractNumId="59">
    <w:nsid w:val="2C6E4AFD"/>
    <w:multiLevelType w:val="hybridMultilevel"/>
    <w:lvl w:ilvl="0">
      <w:lvlJc w:val="left"/>
      <w:lvlText w:val="(%1)"/>
      <w:numFmt w:val="decimal"/>
      <w:start w:val="1"/>
    </w:lvl>
  </w:abstractNum>
  <w:abstractNum w:abstractNumId="60">
    <w:nsid w:val="17A1B582"/>
    <w:multiLevelType w:val="hybridMultilevel"/>
    <w:lvl w:ilvl="0">
      <w:lvlJc w:val="left"/>
      <w:lvlText w:val="(%1)"/>
      <w:numFmt w:val="decimal"/>
      <w:start w:val="2"/>
    </w:lvl>
  </w:abstractNum>
  <w:abstractNum w:abstractNumId="61">
    <w:nsid w:val="4DF72E4E"/>
    <w:multiLevelType w:val="hybridMultilevel"/>
    <w:lvl w:ilvl="0">
      <w:lvlJc w:val="left"/>
      <w:lvlText w:val="(%1)"/>
      <w:numFmt w:val="decimal"/>
      <w:start w:val="4"/>
    </w:lvl>
  </w:abstractNum>
  <w:abstractNum w:abstractNumId="62">
    <w:nsid w:val="5046B5A9"/>
    <w:multiLevelType w:val="hybridMultilevel"/>
    <w:lvl w:ilvl="0">
      <w:lvlJc w:val="left"/>
      <w:lvlText w:val="(%1)"/>
      <w:numFmt w:val="decimal"/>
      <w:start w:val="1"/>
    </w:lvl>
  </w:abstractNum>
  <w:abstractNum w:abstractNumId="63">
    <w:nsid w:val="5D888A08"/>
    <w:multiLevelType w:val="hybridMultilevel"/>
    <w:lvl w:ilvl="0">
      <w:lvlJc w:val="left"/>
      <w:lvlText w:val="(%1)"/>
      <w:numFmt w:val="decimal"/>
      <w:start w:val="1"/>
    </w:lvl>
  </w:abstractNum>
  <w:abstractNum w:abstractNumId="64">
    <w:nsid w:val="2A082C70"/>
    <w:multiLevelType w:val="hybridMultilevel"/>
    <w:lvl w:ilvl="0">
      <w:lvlJc w:val="left"/>
      <w:lvlText w:val="(%1)"/>
      <w:numFmt w:val="lowerRoman"/>
      <w:start w:val="3"/>
    </w:lvl>
  </w:abstractNum>
  <w:abstractNum w:abstractNumId="65">
    <w:nsid w:val="5EC6AFD4"/>
    <w:multiLevelType w:val="hybridMultilevel"/>
    <w:lvl w:ilvl="0">
      <w:lvlJc w:val="left"/>
      <w:lvlText w:val="(%1)"/>
      <w:numFmt w:val="decimal"/>
      <w:start w:val="1"/>
    </w:lvl>
  </w:abstractNum>
  <w:abstractNum w:abstractNumId="66">
    <w:nsid w:val="19E21BB2"/>
    <w:multiLevelType w:val="hybridMultilevel"/>
    <w:lvl w:ilvl="0">
      <w:lvlJc w:val="left"/>
      <w:lvlText w:val="(%1)"/>
      <w:numFmt w:val="decimal"/>
      <w:start w:val="5"/>
    </w:lvl>
  </w:abstractNum>
  <w:abstractNum w:abstractNumId="67">
    <w:nsid w:val="75E0858A"/>
    <w:multiLevelType w:val="hybridMultilevel"/>
    <w:lvl w:ilvl="0">
      <w:lvlJc w:val="left"/>
      <w:lvlText w:val="•"/>
      <w:numFmt w:val="bullet"/>
      <w:start w:val="1"/>
    </w:lvl>
  </w:abstractNum>
  <w:abstractNum w:abstractNumId="68">
    <w:nsid w:val="57A61A29"/>
    <w:multiLevelType w:val="hybridMultilevel"/>
    <w:lvl w:ilvl="0">
      <w:lvlJc w:val="left"/>
      <w:lvlText w:val="•"/>
      <w:numFmt w:val="bullet"/>
      <w:start w:val="1"/>
    </w:lvl>
  </w:abstractNum>
  <w:abstractNum w:abstractNumId="69">
    <w:nsid w:val="5399C654"/>
    <w:multiLevelType w:val="hybridMultilevel"/>
    <w:lvl w:ilvl="0">
      <w:lvlJc w:val="left"/>
      <w:lvlText w:val="•"/>
      <w:numFmt w:val="bullet"/>
      <w:start w:val="1"/>
    </w:lvl>
  </w:abstractNum>
  <w:abstractNum w:abstractNumId="70">
    <w:nsid w:val="20EE1348"/>
    <w:multiLevelType w:val="hybridMultilevel"/>
    <w:lvl w:ilvl="0">
      <w:lvlJc w:val="left"/>
      <w:lvlText w:val="(%1)"/>
      <w:numFmt w:val="lowerLetter"/>
      <w:start w:val="12"/>
    </w:lvl>
    <w:lvl w:ilvl="1">
      <w:lvlJc w:val="left"/>
      <w:lvlText w:val="$"/>
      <w:numFmt w:val="bullet"/>
      <w:start w:val="1"/>
    </w:lvl>
  </w:abstractNum>
  <w:abstractNum w:abstractNumId="71">
    <w:nsid w:val="4427069A"/>
    <w:multiLevelType w:val="hybridMultilevel"/>
    <w:lvl w:ilvl="0">
      <w:lvlJc w:val="left"/>
      <w:lvlText w:val="(%1)"/>
      <w:numFmt w:val="lowerLetter"/>
      <w:start w:val="13"/>
    </w:lvl>
  </w:abstractNum>
  <w:abstractNum w:abstractNumId="72">
    <w:nsid w:val="B37E80A"/>
    <w:multiLevelType w:val="hybridMultilevel"/>
    <w:lvl w:ilvl="0">
      <w:lvlJc w:val="left"/>
      <w:lvlText w:val="(%1)"/>
      <w:numFmt w:val="lowerLetter"/>
      <w:start w:val="13"/>
    </w:lvl>
  </w:abstractNum>
  <w:abstractNum w:abstractNumId="73">
    <w:nsid w:val="2157F6BC"/>
    <w:multiLevelType w:val="hybridMultilevel"/>
    <w:lvl w:ilvl="0">
      <w:lvlJc w:val="left"/>
      <w:lvlText w:val="(%1)"/>
      <w:numFmt w:val="lowerLetter"/>
      <w:start w:val="13"/>
    </w:lvl>
  </w:abstractNum>
  <w:abstractNum w:abstractNumId="74">
    <w:nsid w:val="704E1DD5"/>
    <w:multiLevelType w:val="hybridMultilevel"/>
    <w:lvl w:ilvl="0">
      <w:lvlJc w:val="left"/>
      <w:lvlText w:val="(%1)"/>
      <w:numFmt w:val="lowerLetter"/>
      <w:start w:val="6"/>
    </w:lvl>
  </w:abstractNum>
  <w:abstractNum w:abstractNumId="75">
    <w:nsid w:val="57D2F10E"/>
    <w:multiLevelType w:val="hybridMultilevel"/>
    <w:lvl w:ilvl="0">
      <w:lvlJc w:val="left"/>
      <w:lvlText w:val="(%1)"/>
      <w:numFmt w:val="lowerLetter"/>
      <w:start w:val="5"/>
    </w:lvl>
  </w:abstractNum>
  <w:abstractNum w:abstractNumId="76">
    <w:nsid w:val="BFFAE18"/>
    <w:multiLevelType w:val="hybridMultilevel"/>
    <w:lvl w:ilvl="0">
      <w:lvlJc w:val="left"/>
      <w:lvlText w:val="$"/>
      <w:numFmt w:val="bullet"/>
      <w:start w:val="1"/>
    </w:lvl>
  </w:abstractNum>
  <w:abstractNum w:abstractNumId="77">
    <w:nsid w:val="E3E47A8"/>
    <w:multiLevelType w:val="hybridMultilevel"/>
    <w:lvl w:ilvl="0">
      <w:lvlJc w:val="left"/>
      <w:lvlText w:val="(%1)"/>
      <w:numFmt w:val="lowerLetter"/>
      <w:start w:val="11"/>
    </w:lvl>
  </w:abstractNum>
  <w:abstractNum w:abstractNumId="78">
    <w:nsid w:val="2E48F044"/>
    <w:multiLevelType w:val="hybridMultilevel"/>
    <w:lvl w:ilvl="0">
      <w:lvlJc w:val="left"/>
      <w:lvlText w:val="(%1)"/>
      <w:numFmt w:val="lowerLetter"/>
      <w:start w:val="1"/>
    </w:lvl>
  </w:abstractNum>
  <w:abstractNum w:abstractNumId="79">
    <w:nsid w:val="49D0FEAC"/>
    <w:multiLevelType w:val="hybridMultilevel"/>
    <w:lvl w:ilvl="0">
      <w:lvlJc w:val="left"/>
      <w:lvlText w:val="(%1)"/>
      <w:numFmt w:val="lowerLetter"/>
      <w:start w:val="3"/>
    </w:lvl>
    <w:lvl w:ilvl="1">
      <w:lvlJc w:val="left"/>
      <w:lvlText w:val="(%2)"/>
      <w:numFmt w:val="decimal"/>
      <w:start w:val="1"/>
    </w:lvl>
  </w:abstractNum>
  <w:abstractNum w:abstractNumId="80">
    <w:nsid w:val="4BEE5A5B"/>
    <w:multiLevelType w:val="hybridMultilevel"/>
    <w:lvl w:ilvl="0">
      <w:lvlJc w:val="left"/>
      <w:lvlText w:val="(%1)"/>
      <w:numFmt w:val="lowerLetter"/>
      <w:start w:val="4"/>
    </w:lvl>
  </w:abstractNum>
  <w:abstractNum w:abstractNumId="81">
    <w:nsid w:val="5551B9F3"/>
    <w:multiLevelType w:val="hybridMultilevel"/>
    <w:lvl w:ilvl="0">
      <w:lvlJc w:val="left"/>
      <w:lvlText w:val="(%1)"/>
      <w:numFmt w:val="lowerLetter"/>
      <w:start w:val="6"/>
    </w:lvl>
  </w:abstractNum>
  <w:abstractNum w:abstractNumId="82">
    <w:nsid w:val="24F6AB8E"/>
    <w:multiLevelType w:val="hybridMultilevel"/>
    <w:lvl w:ilvl="0">
      <w:lvlJc w:val="left"/>
      <w:lvlText w:val="(%1)"/>
      <w:numFmt w:val="lowerLetter"/>
      <w:start w:val="8"/>
    </w:lvl>
  </w:abstractNum>
  <w:abstractNum w:abstractNumId="83">
    <w:nsid w:val="634C574C"/>
    <w:multiLevelType w:val="hybridMultilevel"/>
    <w:lvl w:ilvl="0">
      <w:lvlJc w:val="left"/>
      <w:lvlText w:val="(%1)"/>
      <w:numFmt w:val="decimal"/>
      <w:start w:val="1"/>
    </w:lvl>
  </w:abstractNum>
  <w:abstractNum w:abstractNumId="84">
    <w:nsid w:val="24E99DD7"/>
    <w:multiLevelType w:val="hybridMultilevel"/>
    <w:lvl w:ilvl="0">
      <w:lvlJc w:val="left"/>
      <w:lvlText w:val="(%1)"/>
      <w:numFmt w:val="lowerLetter"/>
      <w:start w:val="10"/>
    </w:lvl>
  </w:abstractNum>
  <w:abstractNum w:abstractNumId="85">
    <w:nsid w:val="2A31B62D"/>
    <w:multiLevelType w:val="hybridMultilevel"/>
    <w:lvl w:ilvl="0">
      <w:lvlJc w:val="left"/>
      <w:lvlText w:val="(%1)"/>
      <w:numFmt w:val="lowerLetter"/>
      <w:start w:val="11"/>
    </w:lvl>
  </w:abstractNum>
  <w:abstractNum w:abstractNumId="86">
    <w:nsid w:val="1849C29B"/>
    <w:multiLevelType w:val="hybridMultilevel"/>
    <w:lvl w:ilvl="0">
      <w:lvlJc w:val="left"/>
      <w:lvlText w:val="(%1)"/>
      <w:numFmt w:val="lowerLetter"/>
      <w:start w:val="12"/>
    </w:lvl>
  </w:abstractNum>
  <w:abstractNum w:abstractNumId="87">
    <w:nsid w:val="7DFF9D09"/>
    <w:multiLevelType w:val="hybridMultilevel"/>
    <w:lvl w:ilvl="0">
      <w:lvlJc w:val="left"/>
      <w:lvlText w:val="(%1)"/>
      <w:numFmt w:val="lowerLetter"/>
      <w:start w:val="13"/>
    </w:lvl>
  </w:abstractNum>
  <w:abstractNum w:abstractNumId="88">
    <w:nsid w:val="754342"/>
    <w:multiLevelType w:val="hybridMultilevel"/>
    <w:lvl w:ilvl="0">
      <w:lvlJc w:val="left"/>
      <w:lvlText w:val="$"/>
      <w:numFmt w:val="bullet"/>
      <w:start w:val="1"/>
    </w:lvl>
  </w:abstractNum>
  <w:abstractNum w:abstractNumId="89">
    <w:nsid w:val="69E7F3E5"/>
    <w:multiLevelType w:val="hybridMultilevel"/>
    <w:lvl w:ilvl="0">
      <w:lvlJc w:val="left"/>
      <w:lvlText w:val="$"/>
      <w:numFmt w:val="bullet"/>
      <w:start w:val="1"/>
    </w:lvl>
  </w:abstractNum>
  <w:abstractNum w:abstractNumId="90">
    <w:nsid w:val="2A6DE806"/>
    <w:multiLevelType w:val="hybridMultilevel"/>
    <w:lvl w:ilvl="0">
      <w:lvlJc w:val="left"/>
      <w:lvlText w:val="(%1)"/>
      <w:numFmt w:val="decimal"/>
      <w:start w:val="2"/>
    </w:lvl>
  </w:abstractNum>
  <w:abstractNum w:abstractNumId="91">
    <w:nsid w:val="1816F8C4"/>
    <w:multiLevelType w:val="hybridMultilevel"/>
    <w:lvl w:ilvl="0">
      <w:lvlJc w:val="left"/>
      <w:lvlText w:val="(%1)"/>
      <w:numFmt w:val="lowerLetter"/>
      <w:start w:val="1"/>
    </w:lvl>
  </w:abstractNum>
  <w:abstractNum w:abstractNumId="92">
    <w:nsid w:val="37DF2233"/>
    <w:multiLevelType w:val="hybridMultilevel"/>
    <w:lvl w:ilvl="0">
      <w:lvlJc w:val="left"/>
      <w:lvlText w:val="(%1)"/>
      <w:numFmt w:val="lowerLetter"/>
      <w:start w:val="1"/>
    </w:lvl>
  </w:abstractNum>
  <w:abstractNum w:abstractNumId="93">
    <w:nsid w:val="7AB49DAF"/>
    <w:multiLevelType w:val="hybridMultilevel"/>
    <w:lvl w:ilvl="0">
      <w:lvlJc w:val="left"/>
      <w:lvlText w:val="(%1)"/>
      <w:numFmt w:val="lowerLetter"/>
      <w:start w:val="3"/>
    </w:lvl>
  </w:abstractNum>
  <w:abstractNum w:abstractNumId="94">
    <w:nsid w:val="759F82CD"/>
    <w:multiLevelType w:val="hybridMultilevel"/>
    <w:lvl w:ilvl="0">
      <w:lvlJc w:val="left"/>
      <w:lvlText w:val="(%1)"/>
      <w:numFmt w:val="lowerLetter"/>
      <w:start w:val="1"/>
    </w:lvl>
  </w:abstractNum>
  <w:abstractNum w:abstractNumId="95">
    <w:nsid w:val="61E74EA3"/>
    <w:multiLevelType w:val="hybridMultilevel"/>
    <w:lvl w:ilvl="0">
      <w:lvlJc w:val="left"/>
      <w:lvlText w:val="(%1)"/>
      <w:numFmt w:val="decimal"/>
      <w:start w:val="1"/>
    </w:lvl>
  </w:abstractNum>
  <w:abstractNum w:abstractNumId="96">
    <w:nsid w:val="597B4D84"/>
    <w:multiLevelType w:val="hybridMultilevel"/>
    <w:lvl w:ilvl="0">
      <w:lvlJc w:val="left"/>
      <w:lvlText w:val="•"/>
      <w:numFmt w:val="bullet"/>
      <w:start w:val="1"/>
    </w:lvl>
  </w:abstractNum>
  <w:abstractNum w:abstractNumId="97">
    <w:nsid w:val="F819E7F"/>
    <w:multiLevelType w:val="hybridMultilevel"/>
    <w:lvl w:ilvl="0">
      <w:lvlJc w:val="left"/>
      <w:lvlText w:val="•"/>
      <w:numFmt w:val="bullet"/>
      <w:start w:val="1"/>
    </w:lvl>
  </w:abstractNum>
  <w:abstractNum w:abstractNumId="98">
    <w:nsid w:val="57C7D42D"/>
    <w:multiLevelType w:val="hybridMultilevel"/>
    <w:lvl w:ilvl="0">
      <w:lvlJc w:val="left"/>
      <w:lvlText w:val="•"/>
      <w:numFmt w:val="bullet"/>
      <w:start w:val="1"/>
    </w:lvl>
  </w:abstractNum>
  <w:abstractNum w:abstractNumId="99">
    <w:nsid w:val="312167AD"/>
    <w:multiLevelType w:val="hybridMultilevel"/>
    <w:lvl w:ilvl="0">
      <w:lvlJc w:val="left"/>
      <w:lvlText w:val="(%1)"/>
      <w:numFmt w:val="lowerLetter"/>
      <w:start w:val="1"/>
    </w:lvl>
  </w:abstractNum>
  <w:abstractNum w:abstractNumId="100">
    <w:nsid w:val="631B64D4"/>
    <w:multiLevelType w:val="hybridMultilevel"/>
    <w:lvl w:ilvl="0">
      <w:lvlJc w:val="left"/>
      <w:lvlText w:val="(%1)"/>
      <w:numFmt w:val="lowerLetter"/>
      <w:start w:val="1"/>
    </w:lvl>
  </w:abstractNum>
  <w:abstractNum w:abstractNumId="101">
    <w:nsid w:val="78B5E776"/>
    <w:multiLevelType w:val="hybridMultilevel"/>
    <w:lvl w:ilvl="0">
      <w:lvlJc w:val="left"/>
      <w:lvlText w:val="(%1)"/>
      <w:numFmt w:val="decimal"/>
      <w:start w:val="1"/>
    </w:lvl>
  </w:abstractNum>
  <w:abstractNum w:abstractNumId="102">
    <w:nsid w:val="75486E47"/>
    <w:multiLevelType w:val="hybridMultilevel"/>
    <w:lvl w:ilvl="0">
      <w:lvlJc w:val="left"/>
      <w:lvlText w:val="•"/>
      <w:numFmt w:val="bullet"/>
      <w:start w:val="1"/>
    </w:lvl>
  </w:abstractNum>
  <w:abstractNum w:abstractNumId="103">
    <w:nsid w:val="6E534CDE"/>
    <w:multiLevelType w:val="hybridMultilevel"/>
    <w:lvl w:ilvl="0">
      <w:lvlJc w:val="left"/>
      <w:lvlText w:val="•"/>
      <w:numFmt w:val="bullet"/>
      <w:start w:val="1"/>
    </w:lvl>
  </w:abstractNum>
  <w:abstractNum w:abstractNumId="104">
    <w:nsid w:val="1A0DDE32"/>
    <w:multiLevelType w:val="hybridMultilevel"/>
    <w:lvl w:ilvl="0">
      <w:lvlJc w:val="left"/>
      <w:lvlText w:val="•"/>
      <w:numFmt w:val="bullet"/>
      <w:start w:val="1"/>
    </w:lvl>
  </w:abstractNum>
  <w:abstractNum w:abstractNumId="105">
    <w:nsid w:val="65968C1C"/>
    <w:multiLevelType w:val="hybridMultilevel"/>
    <w:lvl w:ilvl="0">
      <w:lvlJc w:val="left"/>
      <w:lvlText w:val="(%1)"/>
      <w:numFmt w:val="lowerLetter"/>
      <w:start w:val="1"/>
    </w:lvl>
  </w:abstractNum>
  <w:abstractNum w:abstractNumId="106">
    <w:nsid w:val="46263DEC"/>
    <w:multiLevelType w:val="hybridMultilevel"/>
    <w:lvl w:ilvl="0">
      <w:lvlJc w:val="left"/>
      <w:lvlText w:val="(%1)"/>
      <w:numFmt w:val="decimal"/>
      <w:start w:val="1"/>
    </w:lvl>
  </w:abstractNum>
  <w:abstractNum w:abstractNumId="107">
    <w:nsid w:val="260D8C4A"/>
    <w:multiLevelType w:val="hybridMultilevel"/>
    <w:lvl w:ilvl="0">
      <w:lvlJc w:val="left"/>
      <w:lvlText w:val="•"/>
      <w:numFmt w:val="bullet"/>
      <w:start w:val="1"/>
    </w:lvl>
  </w:abstractNum>
  <w:abstractNum w:abstractNumId="108">
    <w:nsid w:val="73D4D3C4"/>
    <w:multiLevelType w:val="hybridMultilevel"/>
    <w:lvl w:ilvl="0">
      <w:lvlJc w:val="left"/>
      <w:lvlText w:val="%1)"/>
      <w:numFmt w:val="decimal"/>
      <w:start w:val="1"/>
    </w:lvl>
  </w:abstractNum>
  <w:abstractNum w:abstractNumId="109">
    <w:nsid w:val="746F2E30"/>
    <w:multiLevelType w:val="hybridMultilevel"/>
    <w:lvl w:ilvl="0">
      <w:lvlJc w:val="left"/>
      <w:lvlText w:val="%1)"/>
      <w:numFmt w:val="decimal"/>
      <w:start w:val="2"/>
    </w:lvl>
  </w:abstractNum>
  <w:abstractNum w:abstractNumId="110">
    <w:nsid w:val="6FDE8AF6"/>
    <w:multiLevelType w:val="hybridMultilevel"/>
    <w:lvl w:ilvl="0">
      <w:lvlJc w:val="left"/>
      <w:lvlText w:val="•"/>
      <w:numFmt w:val="bullet"/>
      <w:start w:val="1"/>
    </w:lvl>
  </w:abstractNum>
  <w:abstractNum w:abstractNumId="111">
    <w:nsid w:val="3FC32E20"/>
    <w:multiLevelType w:val="hybridMultilevel"/>
    <w:lvl w:ilvl="0">
      <w:lvlJc w:val="left"/>
      <w:lvlText w:val="•"/>
      <w:numFmt w:val="bullet"/>
      <w:start w:val="1"/>
    </w:lvl>
  </w:abstractNum>
  <w:abstractNum w:abstractNumId="112">
    <w:nsid w:val="49C0E823"/>
    <w:multiLevelType w:val="hybridMultilevel"/>
    <w:lvl w:ilvl="0">
      <w:lvlJc w:val="left"/>
      <w:lvlText w:val="•"/>
      <w:numFmt w:val="bullet"/>
      <w:start w:val="1"/>
    </w:lvl>
  </w:abstractNum>
  <w:abstractNum w:abstractNumId="113">
    <w:nsid w:val="14D53685"/>
    <w:multiLevelType w:val="hybridMultilevel"/>
    <w:lvl w:ilvl="0">
      <w:lvlJc w:val="left"/>
      <w:lvlText w:val="•"/>
      <w:numFmt w:val="bullet"/>
      <w:start w:val="1"/>
    </w:lvl>
  </w:abstractNum>
  <w:abstractNum w:abstractNumId="114">
    <w:nsid w:val="230F856C"/>
    <w:multiLevelType w:val="hybridMultilevel"/>
    <w:lvl w:ilvl="0">
      <w:lvlJc w:val="left"/>
      <w:lvlText w:val="•"/>
      <w:numFmt w:val="bullet"/>
      <w:start w:val="1"/>
    </w:lvl>
  </w:abstractNum>
  <w:abstractNum w:abstractNumId="115">
    <w:nsid w:val="6EAA85FB"/>
    <w:multiLevelType w:val="hybridMultilevel"/>
    <w:lvl w:ilvl="0">
      <w:lvlJc w:val="left"/>
      <w:lvlText w:val="•"/>
      <w:numFmt w:val="bullet"/>
      <w:start w:val="1"/>
    </w:lvl>
  </w:abstractNum>
  <w:abstractNum w:abstractNumId="116">
    <w:nsid w:val="3F06ECB2"/>
    <w:multiLevelType w:val="hybridMultilevel"/>
    <w:lvl w:ilvl="0">
      <w:lvlJc w:val="left"/>
      <w:lvlText w:val="•"/>
      <w:numFmt w:val="bullet"/>
      <w:start w:val="1"/>
    </w:lvl>
  </w:abstractNum>
  <w:abstractNum w:abstractNumId="117">
    <w:nsid w:val="3B594807"/>
    <w:multiLevelType w:val="hybridMultilevel"/>
    <w:lvl w:ilvl="0">
      <w:lvlJc w:val="left"/>
      <w:lvlText w:val="•"/>
      <w:numFmt w:val="bullet"/>
      <w:start w:val="1"/>
    </w:lvl>
  </w:abstractNum>
  <w:abstractNum w:abstractNumId="118">
    <w:nsid w:val="6CAA2304"/>
    <w:multiLevelType w:val="hybridMultilevel"/>
    <w:lvl w:ilvl="0">
      <w:lvlJc w:val="left"/>
      <w:lvlText w:val="•"/>
      <w:numFmt w:val="bullet"/>
      <w:start w:val="1"/>
    </w:lvl>
  </w:abstractNum>
  <w:abstractNum w:abstractNumId="119">
    <w:nsid w:val="3F7C2FF4"/>
    <w:multiLevelType w:val="hybridMultilevel"/>
    <w:lvl w:ilvl="0">
      <w:lvlJc w:val="left"/>
      <w:lvlText w:val="•"/>
      <w:numFmt w:val="bullet"/>
      <w:start w:val="1"/>
    </w:lvl>
  </w:abstractNum>
  <w:abstractNum w:abstractNumId="120">
    <w:nsid w:val="25413BEC"/>
    <w:multiLevelType w:val="hybridMultilevel"/>
    <w:lvl w:ilvl="0">
      <w:lvlJc w:val="left"/>
      <w:lvlText w:val="•"/>
      <w:numFmt w:val="bullet"/>
      <w:start w:val="1"/>
    </w:lvl>
  </w:abstractNum>
  <w:abstractNum w:abstractNumId="121">
    <w:nsid w:val="17180B0B"/>
    <w:multiLevelType w:val="hybridMultilevel"/>
    <w:lvl w:ilvl="0">
      <w:lvlJc w:val="left"/>
      <w:lvlText w:val="•"/>
      <w:numFmt w:val="bullet"/>
      <w:start w:val="1"/>
    </w:lvl>
  </w:abstractNum>
  <w:abstractNum w:abstractNumId="122">
    <w:nsid w:val="579328B9"/>
    <w:multiLevelType w:val="hybridMultilevel"/>
    <w:lvl w:ilvl="0">
      <w:lvlJc w:val="left"/>
      <w:lvlText w:val="•"/>
      <w:numFmt w:val="bullet"/>
      <w:start w:val="1"/>
    </w:lvl>
  </w:abstractNum>
  <w:abstractNum w:abstractNumId="123">
    <w:nsid w:val="5D205E20"/>
    <w:multiLevelType w:val="hybridMultilevel"/>
    <w:lvl w:ilvl="0">
      <w:lvlJc w:val="left"/>
      <w:lvlText w:val="•"/>
      <w:numFmt w:val="bullet"/>
      <w:start w:val="1"/>
    </w:lvl>
  </w:abstractNum>
  <w:abstractNum w:abstractNumId="124">
    <w:nsid w:val="11CCA8BA"/>
    <w:multiLevelType w:val="hybridMultilevel"/>
    <w:lvl w:ilvl="0">
      <w:lvlJc w:val="left"/>
      <w:lvlText w:val="•"/>
      <w:numFmt w:val="bullet"/>
      <w:start w:val="1"/>
    </w:lvl>
  </w:abstractNum>
  <w:abstractNum w:abstractNumId="125">
    <w:nsid w:val="4D32AB86"/>
    <w:multiLevelType w:val="hybridMultilevel"/>
    <w:lvl w:ilvl="0">
      <w:lvlJc w:val="left"/>
      <w:lvlText w:val="•"/>
      <w:numFmt w:val="bullet"/>
      <w:start w:val="1"/>
    </w:lvl>
  </w:abstractNum>
  <w:abstractNum w:abstractNumId="126">
    <w:nsid w:val="3F07ACC3"/>
    <w:multiLevelType w:val="hybridMultilevel"/>
    <w:lvl w:ilvl="0">
      <w:lvlJc w:val="left"/>
      <w:lvlText w:val="•"/>
      <w:numFmt w:val="bullet"/>
      <w:start w:val="1"/>
    </w:lvl>
  </w:abstractNum>
  <w:abstractNum w:abstractNumId="127">
    <w:nsid w:val="6B47F63E"/>
    <w:multiLevelType w:val="hybridMultilevel"/>
    <w:lvl w:ilvl="0">
      <w:lvlJc w:val="left"/>
      <w:lvlText w:val="•"/>
      <w:numFmt w:val="bullet"/>
      <w:start w:val="1"/>
    </w:lvl>
  </w:abstractNum>
  <w:abstractNum w:abstractNumId="128">
    <w:nsid w:val="5CB44A05"/>
    <w:multiLevelType w:val="hybridMultilevel"/>
    <w:lvl w:ilvl="0">
      <w:lvlJc w:val="left"/>
      <w:lvlText w:val="•"/>
      <w:numFmt w:val="bullet"/>
      <w:start w:val="1"/>
    </w:lvl>
  </w:abstractNum>
  <w:abstractNum w:abstractNumId="129">
    <w:nsid w:val="16CF80F1"/>
    <w:multiLevelType w:val="hybridMultilevel"/>
    <w:lvl w:ilvl="0">
      <w:lvlJc w:val="left"/>
      <w:lvlText w:val="•"/>
      <w:numFmt w:val="bullet"/>
      <w:start w:val="1"/>
    </w:lvl>
  </w:abstractNum>
  <w:abstractNum w:abstractNumId="130">
    <w:nsid w:val="1C695DEC"/>
    <w:multiLevelType w:val="hybridMultilevel"/>
    <w:lvl w:ilvl="0">
      <w:lvlJc w:val="left"/>
      <w:lvlText w:val="•"/>
      <w:numFmt w:val="bullet"/>
      <w:start w:val="1"/>
    </w:lvl>
  </w:abstractNum>
  <w:abstractNum w:abstractNumId="131">
    <w:nsid w:val="3FCFAED9"/>
    <w:multiLevelType w:val="hybridMultilevel"/>
    <w:lvl w:ilvl="0">
      <w:lvlJc w:val="left"/>
      <w:lvlText w:val="•"/>
      <w:numFmt w:val="bullet"/>
      <w:start w:val="1"/>
    </w:lvl>
  </w:abstractNum>
  <w:abstractNum w:abstractNumId="132">
    <w:nsid w:val="F856867"/>
    <w:multiLevelType w:val="hybridMultilevel"/>
    <w:lvl w:ilvl="0">
      <w:lvlJc w:val="left"/>
      <w:lvlText w:val="•"/>
      <w:numFmt w:val="bullet"/>
      <w:start w:val="1"/>
    </w:lvl>
  </w:abstractNum>
  <w:abstractNum w:abstractNumId="133">
    <w:nsid w:val="11B1CC33"/>
    <w:multiLevelType w:val="hybridMultilevel"/>
    <w:lvl w:ilvl="0">
      <w:lvlJc w:val="left"/>
      <w:lvlText w:val="•"/>
      <w:numFmt w:val="bullet"/>
      <w:start w:val="1"/>
    </w:lvl>
  </w:abstractNum>
  <w:abstractNum w:abstractNumId="134">
    <w:nsid w:val="2E22FBB7"/>
    <w:multiLevelType w:val="hybridMultilevel"/>
    <w:lvl w:ilvl="0">
      <w:lvlJc w:val="left"/>
      <w:lvlText w:val="•"/>
      <w:numFmt w:val="bullet"/>
      <w:start w:val="1"/>
    </w:lvl>
  </w:abstractNum>
  <w:abstractNum w:abstractNumId="135">
    <w:nsid w:val="29934699"/>
    <w:multiLevelType w:val="hybridMultilevel"/>
    <w:lvl w:ilvl="0">
      <w:lvlJc w:val="left"/>
      <w:lvlText w:val="•"/>
      <w:numFmt w:val="bullet"/>
      <w:start w:val="1"/>
    </w:lvl>
  </w:abstractNum>
  <w:abstractNum w:abstractNumId="136">
    <w:nsid w:val="77485850"/>
    <w:multiLevelType w:val="hybridMultilevel"/>
    <w:lvl w:ilvl="0">
      <w:lvlJc w:val="left"/>
      <w:lvlText w:val="•"/>
      <w:numFmt w:val="bullet"/>
      <w:start w:val="1"/>
    </w:lvl>
  </w:abstractNum>
  <w:abstractNum w:abstractNumId="137">
    <w:nsid w:val="744939A3"/>
    <w:multiLevelType w:val="hybridMultilevel"/>
    <w:lvl w:ilvl="0">
      <w:lvlJc w:val="left"/>
      <w:lvlText w:val="•"/>
      <w:numFmt w:val="bullet"/>
      <w:start w:val="1"/>
    </w:lvl>
  </w:abstractNum>
  <w:abstractNum w:abstractNumId="138">
    <w:nsid w:val="4FA0D2E3"/>
    <w:multiLevelType w:val="hybridMultilevel"/>
    <w:lvl w:ilvl="0">
      <w:lvlJc w:val="left"/>
      <w:lvlText w:val="•"/>
      <w:numFmt w:val="bullet"/>
      <w:start w:val="1"/>
    </w:lvl>
  </w:abstractNum>
  <w:abstractNum w:abstractNumId="139">
    <w:nsid w:val="6B1D2C14"/>
    <w:multiLevelType w:val="hybridMultilevel"/>
    <w:lvl w:ilvl="0">
      <w:lvlJc w:val="left"/>
      <w:lvlText w:val="•"/>
      <w:numFmt w:val="bullet"/>
      <w:start w:val="1"/>
    </w:lvl>
  </w:abstractNum>
  <w:abstractNum w:abstractNumId="140">
    <w:nsid w:val="68B867D3"/>
    <w:multiLevelType w:val="hybridMultilevel"/>
    <w:lvl w:ilvl="0">
      <w:lvlJc w:val="left"/>
      <w:lvlText w:val="•"/>
      <w:numFmt w:val="bullet"/>
      <w:start w:val="1"/>
    </w:lvl>
  </w:abstractNum>
  <w:abstractNum w:abstractNumId="141">
    <w:nsid w:val="3F7F5DD9"/>
    <w:multiLevelType w:val="hybridMultilevel"/>
    <w:lvl w:ilvl="0">
      <w:lvlJc w:val="left"/>
      <w:lvlText w:val="•"/>
      <w:numFmt w:val="bullet"/>
      <w:start w:val="1"/>
    </w:lvl>
  </w:abstractNum>
  <w:abstractNum w:abstractNumId="142">
    <w:nsid w:val="2AE05A34"/>
    <w:multiLevelType w:val="hybridMultilevel"/>
    <w:lvl w:ilvl="0">
      <w:lvlJc w:val="left"/>
      <w:lvlText w:val="•"/>
      <w:numFmt w:val="bullet"/>
      <w:start w:val="1"/>
    </w:lvl>
  </w:abstractNum>
  <w:abstractNum w:abstractNumId="143">
    <w:nsid w:val="32794FF7"/>
    <w:multiLevelType w:val="hybridMultilevel"/>
    <w:lvl w:ilvl="0">
      <w:lvlJc w:val="left"/>
      <w:lvlText w:val="•"/>
      <w:numFmt w:val="bullet"/>
      <w:start w:val="1"/>
    </w:lvl>
  </w:abstractNum>
  <w:abstractNum w:abstractNumId="144">
    <w:nsid w:val="5454945E"/>
    <w:multiLevelType w:val="hybridMultilevel"/>
    <w:lvl w:ilvl="0">
      <w:lvlJc w:val="left"/>
      <w:lvlText w:val="•"/>
      <w:numFmt w:val="bullet"/>
      <w:start w:val="1"/>
    </w:lvl>
  </w:abstractNum>
  <w:abstractNum w:abstractNumId="145">
    <w:nsid w:val="4DEFDFA0"/>
    <w:multiLevelType w:val="hybridMultilevel"/>
    <w:lvl w:ilvl="0">
      <w:lvlJc w:val="left"/>
      <w:lvlText w:val="•"/>
      <w:numFmt w:val="bullet"/>
      <w:start w:val="1"/>
    </w:lvl>
  </w:abstractNum>
  <w:abstractNum w:abstractNumId="146">
    <w:nsid w:val="2123D5F2"/>
    <w:multiLevelType w:val="hybridMultilevel"/>
    <w:lvl w:ilvl="0">
      <w:lvlJc w:val="left"/>
      <w:lvlText w:val="(%1)"/>
      <w:numFmt w:val="decimal"/>
      <w:start w:val="1"/>
    </w:lvl>
  </w:abstractNum>
  <w:abstractNum w:abstractNumId="147">
    <w:nsid w:val="135B8110"/>
    <w:multiLevelType w:val="hybridMultilevel"/>
    <w:lvl w:ilvl="0">
      <w:lvlJc w:val="left"/>
      <w:lvlText w:val="(%1)"/>
      <w:numFmt w:val="decimal"/>
      <w:start w:val="5"/>
    </w:lvl>
  </w:abstractNum>
  <w:abstractNum w:abstractNumId="148">
    <w:nsid w:val="94927A8"/>
    <w:multiLevelType w:val="hybridMultilevel"/>
    <w:lvl w:ilvl="0">
      <w:lvlJc w:val="left"/>
      <w:lvlText w:val="(%1)"/>
      <w:numFmt w:val="decimal"/>
      <w:start w:val="1"/>
    </w:lvl>
  </w:abstractNum>
  <w:abstractNum w:abstractNumId="149">
    <w:nsid w:val="DCDF8F6"/>
    <w:multiLevelType w:val="hybridMultilevel"/>
    <w:lvl w:ilvl="0">
      <w:lvlJc w:val="left"/>
      <w:lvlText w:val="(%1)"/>
      <w:numFmt w:val="upperLetter"/>
      <w:start w:val="1"/>
    </w:lvl>
  </w:abstractNum>
  <w:abstractNum w:abstractNumId="150">
    <w:nsid w:val="52D7B105"/>
    <w:multiLevelType w:val="hybridMultilevel"/>
    <w:lvl w:ilvl="0">
      <w:lvlJc w:val="left"/>
      <w:lvlText w:val="(%1)"/>
      <w:numFmt w:val="lowerRoman"/>
      <w:start w:val="2"/>
    </w:lvl>
  </w:abstractNum>
  <w:abstractNum w:abstractNumId="151">
    <w:nsid w:val="2E8A6394"/>
    <w:multiLevelType w:val="hybridMultilevel"/>
    <w:lvl w:ilvl="0">
      <w:lvlJc w:val="left"/>
      <w:lvlText w:val="(%1)"/>
      <w:numFmt w:val="lowerRoman"/>
      <w:start w:val="3"/>
    </w:lvl>
  </w:abstractNum>
  <w:abstractNum w:abstractNumId="152">
    <w:nsid w:val="24E60401"/>
    <w:multiLevelType w:val="hybridMultilevel"/>
    <w:lvl w:ilvl="0">
      <w:lvlJc w:val="left"/>
      <w:lvlText w:val="(%1)"/>
      <w:numFmt w:val="lowerRoman"/>
      <w:start w:val="2"/>
    </w:lvl>
  </w:abstractNum>
  <w:abstractNum w:abstractNumId="153">
    <w:nsid w:val="2A6AD9BE"/>
    <w:multiLevelType w:val="hybridMultilevel"/>
    <w:lvl w:ilvl="0">
      <w:lvlJc w:val="left"/>
      <w:lvlText w:val="(%1)"/>
      <w:numFmt w:val="lowerRoman"/>
      <w:start w:val="1"/>
    </w:lvl>
  </w:abstractNum>
  <w:abstractNum w:abstractNumId="154">
    <w:nsid w:val="BAAC1B4"/>
    <w:multiLevelType w:val="hybridMultilevel"/>
    <w:lvl w:ilvl="0">
      <w:lvlJc w:val="left"/>
      <w:lvlText w:val="(%1)"/>
      <w:numFmt w:val="lowerLetter"/>
      <w:start w:val="2"/>
    </w:lvl>
  </w:abstractNum>
  <w:abstractNum w:abstractNumId="155">
    <w:nsid w:val="36B2ACBC"/>
    <w:multiLevelType w:val="hybridMultilevel"/>
    <w:lvl w:ilvl="0">
      <w:lvlJc w:val="left"/>
      <w:lvlText w:val="•"/>
      <w:numFmt w:val="bullet"/>
      <w:start w:val="1"/>
    </w:lvl>
  </w:abstractNum>
  <w:abstractNum w:abstractNumId="156">
    <w:nsid w:val="779D8544"/>
    <w:multiLevelType w:val="hybridMultilevel"/>
    <w:lvl w:ilvl="0">
      <w:lvlJc w:val="left"/>
      <w:lvlText w:val="%1."/>
      <w:numFmt w:val="decimal"/>
      <w:start w:val="3"/>
    </w:lvl>
  </w:abstractNum>
  <w:abstractNum w:abstractNumId="157">
    <w:nsid w:val="4AB26E78"/>
    <w:multiLevelType w:val="hybridMultilevel"/>
    <w:lvl w:ilvl="0">
      <w:lvlJc w:val="left"/>
      <w:lvlText w:val="•"/>
      <w:numFmt w:val="bullet"/>
      <w:start w:val="1"/>
    </w:lvl>
  </w:abstractNum>
  <w:abstractNum w:abstractNumId="158">
    <w:nsid w:val="21FAA2FA"/>
    <w:multiLevelType w:val="hybridMultilevel"/>
    <w:lvl w:ilvl="0">
      <w:lvlJc w:val="left"/>
      <w:lvlText w:val="%1."/>
      <w:numFmt w:val="upperLetter"/>
      <w:start w:val="4"/>
    </w:lvl>
  </w:abstractNum>
  <w:abstractNum w:abstractNumId="159">
    <w:nsid w:val="5451CF49"/>
    <w:multiLevelType w:val="hybridMultilevel"/>
    <w:lvl w:ilvl="0">
      <w:lvlJc w:val="left"/>
      <w:lvlText w:val="*"/>
      <w:numFmt w:val="bullet"/>
      <w:start w:val="1"/>
    </w:lvl>
  </w:abstractNum>
  <w:abstractNum w:abstractNumId="160">
    <w:nsid w:val="6181EF69"/>
    <w:multiLevelType w:val="hybridMultilevel"/>
    <w:lvl w:ilvl="0">
      <w:lvlJc w:val="left"/>
      <w:lvlText w:val="(%1)"/>
      <w:numFmt w:val="decimal"/>
      <w:start w:val="1"/>
    </w:lvl>
  </w:abstractNum>
  <w:abstractNum w:abstractNumId="161">
    <w:nsid w:val="3E6400E6"/>
    <w:multiLevelType w:val="hybridMultilevel"/>
    <w:lvl w:ilvl="0">
      <w:lvlJc w:val="left"/>
      <w:lvlText w:val="(%1)"/>
      <w:numFmt w:val="decimal"/>
      <w:start w:val="11"/>
    </w:lvl>
  </w:abstractNum>
  <w:abstractNum w:abstractNumId="162">
    <w:nsid w:val="14217E23"/>
    <w:multiLevelType w:val="hybridMultilevel"/>
    <w:lvl w:ilvl="0">
      <w:lvlJc w:val="left"/>
      <w:lvlText w:val="(%1)"/>
      <w:numFmt w:val="decimal"/>
      <w:start w:val="14"/>
    </w:lvl>
  </w:abstractNum>
  <w:abstractNum w:abstractNumId="163">
    <w:nsid w:val="710757D0"/>
    <w:multiLevelType w:val="hybridMultilevel"/>
    <w:lvl w:ilvl="0">
      <w:lvlJc w:val="left"/>
      <w:lvlText w:val="(%1)"/>
      <w:numFmt w:val="decimal"/>
      <w:start w:val="22"/>
    </w:lvl>
  </w:abstractNum>
  <w:abstractNum w:abstractNumId="164">
    <w:nsid w:val="5015CD1A"/>
    <w:multiLevelType w:val="hybridMultilevel"/>
    <w:lvl w:ilvl="0">
      <w:lvlJc w:val="left"/>
      <w:lvlText w:val="•"/>
      <w:numFmt w:val="bullet"/>
      <w:start w:val="1"/>
    </w:lvl>
  </w:abstractNum>
  <w:abstractNum w:abstractNumId="165">
    <w:nsid w:val="424479DA"/>
    <w:multiLevelType w:val="hybridMultilevel"/>
    <w:lvl w:ilvl="0">
      <w:lvlJc w:val="left"/>
      <w:lvlText w:val="•"/>
      <w:numFmt w:val="bullet"/>
      <w:start w:val="1"/>
    </w:lvl>
  </w:abstractNum>
  <w:abstractNum w:abstractNumId="166">
    <w:nsid w:val="1A9A9E69"/>
    <w:multiLevelType w:val="hybridMultilevel"/>
    <w:lvl w:ilvl="0">
      <w:lvlJc w:val="left"/>
      <w:lvlText w:val="•"/>
      <w:numFmt w:val="bullet"/>
      <w:start w:val="1"/>
    </w:lvl>
  </w:abstractNum>
  <w:abstractNum w:abstractNumId="167">
    <w:nsid w:val="475E256A"/>
    <w:multiLevelType w:val="hybridMultilevel"/>
    <w:lvl w:ilvl="0">
      <w:lvlJc w:val="left"/>
      <w:lvlText w:val="•"/>
      <w:numFmt w:val="bullet"/>
      <w:start w:val="1"/>
    </w:lvl>
  </w:abstractNum>
  <w:abstractNum w:abstractNumId="168">
    <w:nsid w:val="368DB37E"/>
    <w:multiLevelType w:val="hybridMultilevel"/>
    <w:lvl w:ilvl="0">
      <w:lvlJc w:val="left"/>
      <w:lvlText w:val="•"/>
      <w:numFmt w:val="bullet"/>
      <w:start w:val="1"/>
    </w:lvl>
  </w:abstractNum>
  <w:abstractNum w:abstractNumId="169">
    <w:nsid w:val="6A3B714C"/>
    <w:multiLevelType w:val="hybridMultilevel"/>
    <w:lvl w:ilvl="0">
      <w:lvlJc w:val="left"/>
      <w:lvlText w:val="(%1)"/>
      <w:numFmt w:val="lowerRoman"/>
      <w:start w:val="1"/>
    </w:lvl>
  </w:abstractNum>
  <w:abstractNum w:abstractNumId="170">
    <w:nsid w:val="327B517E"/>
    <w:multiLevelType w:val="hybridMultilevel"/>
    <w:lvl w:ilvl="0">
      <w:lvlJc w:val="left"/>
      <w:lvlText w:val="•"/>
      <w:numFmt w:val="bullet"/>
      <w:start w:val="1"/>
    </w:lvl>
  </w:abstractNum>
  <w:abstractNum w:abstractNumId="171">
    <w:nsid w:val="1F461B51"/>
    <w:multiLevelType w:val="hybridMultilevel"/>
    <w:lvl w:ilvl="0">
      <w:lvlJc w:val="left"/>
      <w:lvlText w:val="•"/>
      <w:numFmt w:val="bullet"/>
      <w:start w:val="1"/>
    </w:lvl>
  </w:abstractNum>
  <w:abstractNum w:abstractNumId="172">
    <w:nsid w:val="29BACF25"/>
    <w:multiLevelType w:val="hybridMultilevel"/>
    <w:lvl w:ilvl="0">
      <w:lvlJc w:val="left"/>
      <w:lvlText w:val="•"/>
      <w:numFmt w:val="bullet"/>
      <w:start w:val="1"/>
    </w:lvl>
  </w:abstractNum>
  <w:abstractNum w:abstractNumId="173">
    <w:nsid w:val="5D5BABB3"/>
    <w:multiLevelType w:val="hybridMultilevel"/>
    <w:lvl w:ilvl="0">
      <w:lvlJc w:val="left"/>
      <w:lvlText w:val="(%1)"/>
      <w:numFmt w:val="lowerLetter"/>
      <w:start w:val="1"/>
    </w:lvl>
  </w:abstractNum>
  <w:abstractNum w:abstractNumId="174">
    <w:nsid w:val="51BF6B48"/>
    <w:multiLevelType w:val="hybridMultilevel"/>
    <w:lvl w:ilvl="0">
      <w:lvlJc w:val="left"/>
      <w:lvlText w:val="(%1)"/>
      <w:numFmt w:val="lowerLetter"/>
      <w:start w:val="1"/>
    </w:lvl>
  </w:abstractNum>
  <w:abstractNum w:abstractNumId="175">
    <w:nsid w:val="7E0F6384"/>
    <w:multiLevelType w:val="hybridMultilevel"/>
    <w:lvl w:ilvl="0">
      <w:lvlJc w:val="left"/>
      <w:lvlText w:val="(%1)"/>
      <w:numFmt w:val="lowerLetter"/>
      <w:start w:val="1"/>
    </w:lvl>
  </w:abstractNum>
  <w:abstractNum w:abstractNumId="176">
    <w:nsid w:val="2B4B8B53"/>
    <w:multiLevelType w:val="hybridMultilevel"/>
    <w:lvl w:ilvl="0">
      <w:lvlJc w:val="left"/>
      <w:lvlText w:val="(%1)"/>
      <w:numFmt w:val="decimal"/>
      <w:start w:val="1"/>
    </w:lvl>
  </w:abstractNum>
  <w:abstractNum w:abstractNumId="177">
    <w:nsid w:val="72E3413A"/>
    <w:multiLevelType w:val="hybridMultilevel"/>
    <w:lvl w:ilvl="0">
      <w:lvlJc w:val="left"/>
      <w:lvlText w:val="(%1)"/>
      <w:numFmt w:val="decimal"/>
      <w:start w:val="2"/>
    </w:lvl>
  </w:abstractNum>
  <w:abstractNum w:abstractNumId="178">
    <w:nsid w:val="116AE494"/>
    <w:multiLevelType w:val="hybridMultilevel"/>
    <w:lvl w:ilvl="0">
      <w:lvlJc w:val="left"/>
      <w:lvlText w:val="(%1)"/>
      <w:numFmt w:val="decimal"/>
      <w:start w:val="1"/>
    </w:lvl>
  </w:abstractNum>
  <w:abstractNum w:abstractNumId="179">
    <w:nsid w:val="3494B2FB"/>
    <w:multiLevelType w:val="hybridMultilevel"/>
    <w:lvl w:ilvl="0">
      <w:lvlJc w:val="left"/>
      <w:lvlText w:val="•"/>
      <w:numFmt w:val="bullet"/>
      <w:start w:val="1"/>
    </w:lvl>
  </w:abstractNum>
  <w:abstractNum w:abstractNumId="180">
    <w:nsid w:val="B13A31"/>
    <w:multiLevelType w:val="hybridMultilevel"/>
    <w:lvl w:ilvl="0">
      <w:lvlJc w:val="left"/>
      <w:lvlText w:val="$"/>
      <w:numFmt w:val="bullet"/>
      <w:start w:val="1"/>
    </w:lvl>
  </w:abstractNum>
  <w:abstractNum w:abstractNumId="181">
    <w:nsid w:val="64429599"/>
    <w:multiLevelType w:val="hybridMultilevel"/>
    <w:lvl w:ilvl="0">
      <w:lvlJc w:val="left"/>
      <w:lvlText w:val="$"/>
      <w:numFmt w:val="bullet"/>
      <w:start w:val="1"/>
    </w:lvl>
  </w:abstractNum>
  <w:abstractNum w:abstractNumId="182">
    <w:nsid w:val="631F1690"/>
    <w:multiLevelType w:val="hybridMultilevel"/>
    <w:lvl w:ilvl="0">
      <w:lvlJc w:val="left"/>
      <w:lvlText w:val="$"/>
      <w:numFmt w:val="bullet"/>
      <w:start w:val="1"/>
    </w:lvl>
  </w:abstractNum>
  <w:abstractNum w:abstractNumId="183">
    <w:nsid w:val="25973E32"/>
    <w:multiLevelType w:val="hybridMultilevel"/>
    <w:lvl w:ilvl="0">
      <w:lvlJc w:val="left"/>
      <w:lvlText w:val="(%1)"/>
      <w:numFmt w:val="decimal"/>
      <w:start w:val="1"/>
    </w:lvl>
  </w:abstractNum>
  <w:abstractNum w:abstractNumId="184">
    <w:nsid w:val="EAD6F57"/>
    <w:multiLevelType w:val="hybridMultilevel"/>
    <w:lvl w:ilvl="0">
      <w:lvlJc w:val="left"/>
      <w:lvlText w:val="(%1)"/>
      <w:numFmt w:val="decimal"/>
      <w:start w:val="1"/>
    </w:lvl>
  </w:abstractNum>
  <w:abstractNum w:abstractNumId="185">
    <w:nsid w:val="6EC9D844"/>
    <w:multiLevelType w:val="hybridMultilevel"/>
    <w:lvl w:ilvl="0">
      <w:lvlJc w:val="left"/>
      <w:lvlText w:val="(%1)"/>
      <w:numFmt w:val="upperLetter"/>
      <w:start w:val="1"/>
    </w:lvl>
  </w:abstractNum>
  <w:abstractNum w:abstractNumId="186">
    <w:nsid w:val="5C49EAEE"/>
    <w:multiLevelType w:val="hybridMultilevel"/>
    <w:lvl w:ilvl="0">
      <w:lvlJc w:val="left"/>
      <w:lvlText w:val="(%1)"/>
      <w:numFmt w:val="decimal"/>
      <w:start w:val="1"/>
    </w:lvl>
  </w:abstractNum>
  <w:abstractNum w:abstractNumId="187">
    <w:nsid w:val="64AF49B"/>
    <w:multiLevelType w:val="hybridMultilevel"/>
    <w:lvl w:ilvl="0">
      <w:lvlJc w:val="left"/>
      <w:lvlText w:val="(%1)"/>
      <w:numFmt w:val="decimal"/>
      <w:start w:val="1"/>
    </w:lvl>
  </w:abstractNum>
  <w:abstractNum w:abstractNumId="188">
    <w:nsid w:val="397C46BC"/>
    <w:multiLevelType w:val="hybridMultilevel"/>
    <w:lvl w:ilvl="0">
      <w:lvlJc w:val="left"/>
      <w:lvlText w:val="(%1)"/>
      <w:numFmt w:val="decimal"/>
      <w:start w:val="4"/>
    </w:lvl>
  </w:abstractNum>
  <w:abstractNum w:abstractNumId="189">
    <w:nsid w:val="7E448DE9"/>
    <w:multiLevelType w:val="hybridMultilevel"/>
    <w:lvl w:ilvl="0">
      <w:lvlJc w:val="left"/>
      <w:lvlText w:val="•"/>
      <w:numFmt w:val="bullet"/>
      <w:start w:val="1"/>
    </w:lvl>
  </w:abstractNum>
  <w:abstractNum w:abstractNumId="190">
    <w:nsid w:val="5A9CC3E5"/>
    <w:multiLevelType w:val="hybridMultilevel"/>
    <w:lvl w:ilvl="0">
      <w:lvlJc w:val="left"/>
      <w:lvlText w:val="%1."/>
      <w:numFmt w:val="decimal"/>
      <w:start w:val="1"/>
    </w:lvl>
  </w:abstractNum>
  <w:abstractNum w:abstractNumId="191">
    <w:nsid w:val="1AFE3625"/>
    <w:multiLevelType w:val="hybridMultilevel"/>
    <w:lvl w:ilvl="0">
      <w:lvlJc w:val="left"/>
      <w:lvlText w:val="(%1)"/>
      <w:numFmt w:val="lowerLetter"/>
      <w:start w:val="1"/>
    </w:lvl>
  </w:abstractNum>
  <w:abstractNum w:abstractNumId="192">
    <w:nsid w:val="3CA88ECF"/>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2020-08-18T23:07:59Z</dcterms:created>
  <dcterms:modified xsi:type="dcterms:W3CDTF">2020-08-18T23:07:59Z</dcterms:modified>
</cp:coreProperties>
</file>