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7339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33933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McGrane Ashley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100"/>
        <w:spacing w:after="0" w:line="330" w:lineRule="auto"/>
        <w:rPr>
          <w:sz w:val="20"/>
          <w:szCs w:val="20"/>
          <w:color w:val="auto"/>
        </w:rPr>
      </w:pPr>
      <w:r>
        <w:rPr>
          <w:rFonts w:ascii="Times New Roman" w:cs="Times New Roman" w:eastAsia="Times New Roman" w:hAnsi="Times New Roman"/>
          <w:sz w:val="16"/>
          <w:szCs w:val="16"/>
          <w:color w:val="0000FF"/>
        </w:rPr>
        <w:t>C/O ZOOMINFO TECHNOLOGIES INC., 805 BROADWAY STREET, SUITE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6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ZoomInfo Technologies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GTM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54"/>
        <w:spacing w:after="0"/>
        <w:rPr>
          <w:sz w:val="20"/>
          <w:szCs w:val="20"/>
          <w:color w:val="auto"/>
        </w:rPr>
      </w:pPr>
      <w:r>
        <w:rPr>
          <w:rFonts w:ascii="Times New Roman" w:cs="Times New Roman" w:eastAsia="Times New Roman" w:hAnsi="Times New Roman"/>
          <w:sz w:val="17"/>
          <w:szCs w:val="17"/>
          <w:color w:val="0000FF"/>
        </w:rPr>
        <w:t>General Counsel and Corp Sec</w:t>
      </w:r>
    </w:p>
    <w:p>
      <w:pPr>
        <w:spacing w:after="0" w:line="441"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560" w:type="dxa"/>
            <w:vAlign w:val="bottom"/>
            <w:gridSpan w:val="6"/>
          </w:tcPr>
          <w:p>
            <w:pPr>
              <w:jc w:val="right"/>
              <w:ind w:right="32"/>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780" w:type="dxa"/>
            <w:vAlign w:val="bottom"/>
            <w:gridSpan w:val="10"/>
          </w:tcPr>
          <w:p>
            <w:pPr>
              <w:ind w:left="4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VANCOUVER  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98660</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5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480" w:type="dxa"/>
            <w:vAlign w:val="bottom"/>
            <w:tcBorders>
              <w:bottom w:val="single" w:sz="8" w:color="2C2C2C"/>
            </w:tcBorders>
            <w:gridSpan w:val="9"/>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8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781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19,902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20,513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21,064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4,467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92"/>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25,531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1,884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left="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10.12</w:t>
            </w: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23,647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1,240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10.0884</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22,407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87"/>
              <w:spacing w:after="0"/>
              <w:rPr>
                <w:sz w:val="20"/>
                <w:szCs w:val="20"/>
                <w:color w:val="auto"/>
              </w:rPr>
            </w:pPr>
            <w:r>
              <w:rPr>
                <w:rFonts w:ascii="Times New Roman" w:cs="Times New Roman" w:eastAsia="Times New Roman" w:hAnsi="Times New Roman"/>
                <w:sz w:val="17"/>
                <w:szCs w:val="17"/>
                <w:color w:val="0000FF"/>
              </w:rPr>
              <w:t>07/02/2025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1,398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10.0493</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8"/>
              </w:rPr>
              <w:t>21,009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781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07/01/2025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restart"/>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781</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5"/>
                <w:szCs w:val="5"/>
                <w:color w:val="auto"/>
              </w:rPr>
            </w:pP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5,469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center"/>
              <w:ind w:left="12"/>
              <w:spacing w:after="0"/>
              <w:rPr>
                <w:sz w:val="20"/>
                <w:szCs w:val="20"/>
                <w:color w:val="auto"/>
              </w:rPr>
            </w:pPr>
            <w:r>
              <w:rPr>
                <w:rFonts w:ascii="Times New Roman" w:cs="Times New Roman" w:eastAsia="Times New Roman" w:hAnsi="Times New Roman"/>
                <w:sz w:val="17"/>
                <w:szCs w:val="17"/>
                <w:color w:val="0000FF"/>
                <w:w w:val="93"/>
              </w:rPr>
              <w:t>611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07/01/2025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restart"/>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611</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5"/>
                <w:szCs w:val="5"/>
                <w:color w:val="auto"/>
              </w:rPr>
            </w:pP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5,505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07/01/2025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restart"/>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551</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5"/>
                <w:szCs w:val="5"/>
                <w:color w:val="auto"/>
              </w:rPr>
            </w:pP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w w:val="95"/>
              </w:rPr>
              <w:t>6,067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2"/>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4,467</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07/01/2025</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jc w:val="center"/>
              <w:ind w:left="240"/>
              <w:spacing w:after="0" w:line="130" w:lineRule="exact"/>
              <w:rPr>
                <w:sz w:val="20"/>
                <w:szCs w:val="20"/>
                <w:color w:val="auto"/>
              </w:rPr>
            </w:pPr>
            <w:r>
              <w:rPr>
                <w:rFonts w:ascii="Times New Roman" w:cs="Times New Roman" w:eastAsia="Times New Roman" w:hAnsi="Times New Roman"/>
                <w:sz w:val="13"/>
                <w:szCs w:val="13"/>
                <w:color w:val="0000FF"/>
              </w:rPr>
              <w:t>4,467</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gridSpan w:val="2"/>
          </w:tcPr>
          <w:p>
            <w:pPr>
              <w:ind w:left="3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1"/>
                <w:szCs w:val="11"/>
                <w:color w:val="auto"/>
              </w:rPr>
            </w:pPr>
          </w:p>
        </w:tc>
        <w:tc>
          <w:tcPr>
            <w:tcW w:w="620" w:type="dxa"/>
            <w:vAlign w:val="bottom"/>
          </w:tcPr>
          <w:p>
            <w:pPr>
              <w:jc w:val="center"/>
              <w:ind w:left="160"/>
              <w:spacing w:after="0" w:line="130" w:lineRule="exact"/>
              <w:rPr>
                <w:sz w:val="20"/>
                <w:szCs w:val="20"/>
                <w:color w:val="auto"/>
              </w:rPr>
            </w:pPr>
            <w:r>
              <w:rPr>
                <w:rFonts w:ascii="Times New Roman" w:cs="Times New Roman" w:eastAsia="Times New Roman" w:hAnsi="Times New Roman"/>
                <w:sz w:val="13"/>
                <w:szCs w:val="13"/>
                <w:color w:val="0000FF"/>
              </w:rPr>
              <w:t>49,143</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jc w:val="right"/>
              <w:ind w:right="32"/>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-3173730</wp:posOffset>
            </wp:positionV>
            <wp:extent cx="29210" cy="317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78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withheld to cover the Reporting Person's tax liability in connection with the vesting of the restricted stock units reported herein.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w:t>
      </w:r>
    </w:p>
    <w:p>
      <w:pPr>
        <w:spacing w:after="0" w:line="45" w:lineRule="exact"/>
        <w:rPr>
          <w:rFonts w:ascii="Times New Roman" w:cs="Times New Roman" w:eastAsia="Times New Roman" w:hAnsi="Times New Roman"/>
          <w:sz w:val="13"/>
          <w:szCs w:val="13"/>
          <w:color w:val="008000"/>
        </w:rPr>
      </w:pPr>
    </w:p>
    <w:p>
      <w:pPr>
        <w:ind w:left="40" w:right="3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$10.04 to $10.14,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Times New Roman" w:cs="Times New Roman" w:eastAsia="Times New Roman" w:hAnsi="Times New Roman"/>
          <w:sz w:val="13"/>
          <w:szCs w:val="13"/>
          <w:color w:val="008000"/>
        </w:rPr>
      </w:pPr>
    </w:p>
    <w:p>
      <w:pPr>
        <w:ind w:left="40" w:right="3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$9.94 to $10.15,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original grant of restricted stock units on March 23, 2023, which vest in equal quarterly installments during the 27 months following January 1, 2025.</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original grant of restricted stock units on October 25, 2023, which vest in equal quarterly installments during the 33 months following January 1, 2025.</w:t>
      </w:r>
    </w:p>
    <w:p>
      <w:pPr>
        <w:spacing w:after="0" w:line="45" w:lineRule="exact"/>
        <w:rPr>
          <w:rFonts w:ascii="Times New Roman" w:cs="Times New Roman" w:eastAsia="Times New Roman" w:hAnsi="Times New Roman"/>
          <w:sz w:val="13"/>
          <w:szCs w:val="13"/>
          <w:color w:val="008000"/>
        </w:rPr>
      </w:pPr>
    </w:p>
    <w:p>
      <w:pPr>
        <w:ind w:right="540"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original grant of restricted stock units on March 26, 2024, which vest as follows: (a) 25% on April 1, 2025; and (b) the remainder of the award in equal quarterly installments during the 36 months following April 1, 2025.</w:t>
      </w:r>
    </w:p>
    <w:p>
      <w:pPr>
        <w:spacing w:after="0" w:line="15" w:lineRule="exact"/>
        <w:rPr>
          <w:rFonts w:ascii="Times New Roman" w:cs="Times New Roman" w:eastAsia="Times New Roman" w:hAnsi="Times New Roman"/>
          <w:sz w:val="13"/>
          <w:szCs w:val="13"/>
          <w:color w:val="008000"/>
        </w:rPr>
      </w:pPr>
    </w:p>
    <w:p>
      <w:pPr>
        <w:ind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original grant of restricted stock units on July 24, 2024, which vest as follows: (a) 25% on April 1, 2025; and (b) the remainder of the award in equal quarterly installments during the 36 months following April 1, 2025.</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Ashley McGrane</w:t>
            </w:r>
          </w:p>
        </w:tc>
        <w:tc>
          <w:tcPr>
            <w:tcW w:w="8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07/02/2025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7389" TargetMode="External"/><Relationship Id="rId14" Type="http://schemas.openxmlformats.org/officeDocument/2006/relationships/hyperlink" Target="http://www.sec.gov/cgi-bin/browse-edgar?action=getcompany&amp;CIK=00017945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2025-07-02T16:20:55Z</dcterms:created>
  <dcterms:modified xsi:type="dcterms:W3CDTF">2025-07-02T16:20:55Z</dcterms:modified>
</cp:coreProperties>
</file>