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5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w w:val="93"/>
              </w:rPr>
            </w:pPr>
            <w:hyperlink r:id="rId10">
              <w:r>
                <w:rPr>
                  <w:rFonts w:ascii="Arial" w:cs="Arial" w:eastAsia="Arial" w:hAnsi="Arial"/>
                  <w:sz w:val="24"/>
                  <w:szCs w:val="24"/>
                  <w:color w:val="0000EE"/>
                  <w:w w:val="93"/>
                </w:rPr>
                <w:t>Carlyle Group Management</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L.L.C.</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06/04/2020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ZoomInfo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545" w:lineRule="exact"/>
        <w:rPr>
          <w:sz w:val="20"/>
          <w:szCs w:val="20"/>
          <w:color w:val="auto"/>
        </w:rPr>
      </w:pPr>
    </w:p>
    <w:p>
      <w:pPr>
        <w:sectPr>
          <w:pgSz w:w="11900" w:h="16858" w:orient="portrait"/>
          <w:cols w:equalWidth="0" w:num="2">
            <w:col w:w="4720" w:space="280"/>
            <w:col w:w="5940"/>
          </w:cols>
          <w:pgMar w:left="480" w:top="236"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C/O THE CARLYLE GROUP, 1001</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PENNSYLVANIA AVE., N.W.,</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220 SOUTH</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940" w:type="dxa"/>
            <w:vAlign w:val="bottom"/>
            <w:vMerge w:val="restart"/>
          </w:tcPr>
          <w:p>
            <w:pPr>
              <w:ind w:left="40"/>
              <w:spacing w:after="0"/>
              <w:rPr>
                <w:sz w:val="20"/>
                <w:szCs w:val="20"/>
                <w:color w:val="auto"/>
              </w:rPr>
            </w:pPr>
            <w:r>
              <w:rPr>
                <w:rFonts w:ascii="Arial" w:cs="Arial" w:eastAsia="Arial" w:hAnsi="Arial"/>
                <w:sz w:val="20"/>
                <w:szCs w:val="20"/>
                <w:color w:val="0000FF"/>
              </w:rPr>
              <w:t>WASHINGTON DC</w:t>
            </w:r>
          </w:p>
        </w:tc>
        <w:tc>
          <w:tcPr>
            <w:tcW w:w="820" w:type="dxa"/>
            <w:vAlign w:val="bottom"/>
          </w:tcPr>
          <w:p>
            <w:pPr>
              <w:ind w:left="280"/>
              <w:spacing w:after="0"/>
              <w:rPr>
                <w:sz w:val="20"/>
                <w:szCs w:val="20"/>
                <w:color w:val="auto"/>
              </w:rPr>
            </w:pPr>
            <w:r>
              <w:rPr>
                <w:rFonts w:ascii="Arial" w:cs="Arial" w:eastAsia="Arial" w:hAnsi="Arial"/>
                <w:sz w:val="20"/>
                <w:szCs w:val="20"/>
                <w:color w:val="0000FF"/>
                <w:w w:val="83"/>
              </w:rPr>
              <w:t>20004-</w:t>
            </w:r>
          </w:p>
        </w:tc>
        <w:tc>
          <w:tcPr>
            <w:tcW w:w="0" w:type="dxa"/>
            <w:vAlign w:val="bottom"/>
          </w:tcPr>
          <w:p>
            <w:pPr>
              <w:spacing w:after="0"/>
              <w:rPr>
                <w:sz w:val="1"/>
                <w:szCs w:val="1"/>
                <w:color w:val="auto"/>
              </w:rPr>
            </w:pPr>
          </w:p>
        </w:tc>
      </w:tr>
      <w:tr>
        <w:trPr>
          <w:trHeight w:val="128"/>
        </w:trPr>
        <w:tc>
          <w:tcPr>
            <w:tcW w:w="1940" w:type="dxa"/>
            <w:vAlign w:val="bottom"/>
            <w:vMerge w:val="continue"/>
          </w:tcPr>
          <w:p>
            <w:pPr>
              <w:spacing w:after="0"/>
              <w:rPr>
                <w:sz w:val="11"/>
                <w:szCs w:val="11"/>
                <w:color w:val="auto"/>
              </w:rPr>
            </w:pPr>
          </w:p>
        </w:tc>
        <w:tc>
          <w:tcPr>
            <w:tcW w:w="820" w:type="dxa"/>
            <w:vAlign w:val="bottom"/>
            <w:vMerge w:val="restart"/>
          </w:tcPr>
          <w:p>
            <w:pPr>
              <w:ind w:left="280"/>
              <w:spacing w:after="0"/>
              <w:rPr>
                <w:sz w:val="20"/>
                <w:szCs w:val="20"/>
                <w:color w:val="auto"/>
              </w:rPr>
            </w:pPr>
            <w:r>
              <w:rPr>
                <w:rFonts w:ascii="Arial" w:cs="Arial" w:eastAsia="Arial" w:hAnsi="Arial"/>
                <w:sz w:val="20"/>
                <w:szCs w:val="20"/>
                <w:color w:val="0000FF"/>
              </w:rPr>
              <w:t>2505</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15" w:lineRule="exact"/>
        <w:rPr>
          <w:sz w:val="20"/>
          <w:szCs w:val="20"/>
          <w:color w:val="auto"/>
        </w:rPr>
      </w:pPr>
    </w:p>
    <w:p>
      <w:pPr>
        <w:sectPr>
          <w:pgSz w:w="11900" w:h="1685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Class B Common Stock</w:t>
            </w: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20"/>
              <w:spacing w:after="0"/>
              <w:rPr>
                <w:sz w:val="20"/>
                <w:szCs w:val="20"/>
                <w:color w:val="auto"/>
              </w:rPr>
            </w:pPr>
            <w:r>
              <w:rPr>
                <w:rFonts w:ascii="Arial" w:cs="Arial" w:eastAsia="Arial" w:hAnsi="Arial"/>
                <w:sz w:val="20"/>
                <w:szCs w:val="20"/>
                <w:color w:val="0000FF"/>
                <w:w w:val="95"/>
              </w:rPr>
              <w:t>44,943,347</w:t>
            </w: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Arial" w:cs="Arial" w:eastAsia="Arial" w:hAnsi="Arial"/>
                <w:sz w:val="20"/>
                <w:szCs w:val="20"/>
                <w:color w:val="0000FF"/>
              </w:rPr>
              <w:t>I</w:t>
            </w:r>
          </w:p>
        </w:tc>
        <w:tc>
          <w:tcPr>
            <w:tcW w:w="3400" w:type="dxa"/>
            <w:vAlign w:val="bottom"/>
            <w:tcBorders>
              <w:bottom w:val="single" w:sz="8" w:color="2C2C2C"/>
            </w:tcBorders>
            <w:gridSpan w:val="4"/>
          </w:tcPr>
          <w:p>
            <w:pPr>
              <w:ind w:left="62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(1)(2)(3)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7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9"/>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700" w:type="dxa"/>
            <w:vAlign w:val="bottom"/>
            <w:gridSpan w:val="10"/>
          </w:tcPr>
          <w:p>
            <w:pPr>
              <w:ind w:left="2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102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gridSpan w:val="3"/>
          </w:tcPr>
          <w:p>
            <w:pPr>
              <w:ind w:left="80"/>
              <w:spacing w:after="0"/>
              <w:rPr>
                <w:sz w:val="20"/>
                <w:szCs w:val="20"/>
                <w:color w:val="auto"/>
              </w:rPr>
            </w:pPr>
            <w:r>
              <w:rPr>
                <w:rFonts w:ascii="Arial" w:cs="Arial" w:eastAsia="Arial" w:hAnsi="Arial"/>
                <w:sz w:val="20"/>
                <w:szCs w:val="20"/>
                <w:color w:val="0000FF"/>
                <w:w w:val="93"/>
              </w:rPr>
              <w:t>LLC Units of ZoomInfo Holdings</w:t>
            </w:r>
          </w:p>
        </w:tc>
        <w:tc>
          <w:tcPr>
            <w:tcW w:w="104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(4)</w:t>
            </w:r>
          </w:p>
        </w:tc>
        <w:tc>
          <w:tcPr>
            <w:tcW w:w="560" w:type="dxa"/>
            <w:vAlign w:val="bottom"/>
            <w:gridSpan w:val="2"/>
            <w:vMerge w:val="restart"/>
          </w:tcPr>
          <w:p>
            <w:pPr>
              <w:jc w:val="center"/>
              <w:ind w:left="271"/>
              <w:spacing w:after="0"/>
              <w:rPr>
                <w:sz w:val="20"/>
                <w:szCs w:val="20"/>
                <w:color w:val="auto"/>
              </w:rPr>
            </w:pPr>
            <w:r>
              <w:rPr>
                <w:rFonts w:ascii="Arial" w:cs="Arial" w:eastAsia="Arial" w:hAnsi="Arial"/>
                <w:sz w:val="13"/>
                <w:szCs w:val="13"/>
                <w:color w:val="008000"/>
                <w:w w:val="87"/>
              </w:rPr>
              <w:t>(4)</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20" w:type="dxa"/>
            <w:vAlign w:val="bottom"/>
            <w:vMerge w:val="restart"/>
          </w:tcPr>
          <w:p>
            <w:pPr>
              <w:ind w:left="120"/>
              <w:spacing w:after="0"/>
              <w:rPr>
                <w:sz w:val="20"/>
                <w:szCs w:val="20"/>
                <w:color w:val="auto"/>
              </w:rPr>
            </w:pPr>
            <w:r>
              <w:rPr>
                <w:rFonts w:ascii="Arial" w:cs="Arial" w:eastAsia="Arial" w:hAnsi="Arial"/>
                <w:sz w:val="20"/>
                <w:szCs w:val="20"/>
                <w:color w:val="0000FF"/>
                <w:w w:val="87"/>
              </w:rPr>
              <w:t>44,943,347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Arial" w:cs="Arial" w:eastAsia="Arial" w:hAnsi="Arial"/>
                <w:sz w:val="13"/>
                <w:szCs w:val="13"/>
                <w:color w:val="008000"/>
              </w:rPr>
              <w:t>(4)</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40" w:type="dxa"/>
            <w:vAlign w:val="bottom"/>
            <w:gridSpan w:val="2"/>
          </w:tcPr>
          <w:p>
            <w:pPr>
              <w:ind w:left="60"/>
              <w:spacing w:after="0"/>
              <w:rPr>
                <w:sz w:val="20"/>
                <w:szCs w:val="20"/>
                <w:color w:val="auto"/>
              </w:rPr>
            </w:pPr>
            <w:r>
              <w:rPr>
                <w:rFonts w:ascii="Arial" w:cs="Arial" w:eastAsia="Arial" w:hAnsi="Arial"/>
                <w:sz w:val="20"/>
                <w:szCs w:val="20"/>
                <w:color w:val="0000FF"/>
                <w:w w:val="88"/>
              </w:rPr>
              <w:t>See footnotes</w:t>
            </w:r>
            <w:r>
              <w:rPr>
                <w:rFonts w:ascii="Arial" w:cs="Arial" w:eastAsia="Arial" w:hAnsi="Arial"/>
                <w:sz w:val="25"/>
                <w:szCs w:val="25"/>
                <w:color w:val="008000"/>
                <w:w w:val="88"/>
                <w:vertAlign w:val="superscript"/>
              </w:rPr>
              <w:t>(1)(2)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0000FF"/>
              </w:rPr>
              <w:t>LLC</w:t>
            </w:r>
          </w:p>
        </w:tc>
        <w:tc>
          <w:tcPr>
            <w:tcW w:w="17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gridSpan w:val="3"/>
            <w:vMerge w:val="restart"/>
          </w:tcPr>
          <w:p>
            <w:pPr>
              <w:ind w:left="80"/>
              <w:spacing w:after="0"/>
              <w:rPr>
                <w:sz w:val="20"/>
                <w:szCs w:val="20"/>
                <w:color w:val="auto"/>
              </w:rPr>
            </w:pPr>
            <w:r>
              <w:rPr>
                <w:rFonts w:ascii="Arial" w:cs="Arial" w:eastAsia="Arial" w:hAnsi="Arial"/>
                <w:sz w:val="20"/>
                <w:szCs w:val="20"/>
                <w:color w:val="0000FF"/>
              </w:rPr>
              <w:t>Class C Common Stock</w:t>
            </w:r>
          </w:p>
        </w:tc>
        <w:tc>
          <w:tcPr>
            <w:tcW w:w="104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(5)</w:t>
            </w:r>
          </w:p>
        </w:tc>
        <w:tc>
          <w:tcPr>
            <w:tcW w:w="560" w:type="dxa"/>
            <w:vAlign w:val="bottom"/>
            <w:gridSpan w:val="2"/>
            <w:vMerge w:val="restart"/>
          </w:tcPr>
          <w:p>
            <w:pPr>
              <w:jc w:val="center"/>
              <w:ind w:left="271"/>
              <w:spacing w:after="0"/>
              <w:rPr>
                <w:sz w:val="20"/>
                <w:szCs w:val="20"/>
                <w:color w:val="auto"/>
              </w:rPr>
            </w:pPr>
            <w:r>
              <w:rPr>
                <w:rFonts w:ascii="Arial" w:cs="Arial" w:eastAsia="Arial" w:hAnsi="Arial"/>
                <w:sz w:val="13"/>
                <w:szCs w:val="13"/>
                <w:color w:val="008000"/>
                <w:w w:val="87"/>
              </w:rPr>
              <w:t>(5)</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20" w:type="dxa"/>
            <w:vAlign w:val="bottom"/>
            <w:vMerge w:val="restart"/>
          </w:tcPr>
          <w:p>
            <w:pPr>
              <w:ind w:left="120"/>
              <w:spacing w:after="0"/>
              <w:rPr>
                <w:sz w:val="20"/>
                <w:szCs w:val="20"/>
                <w:color w:val="auto"/>
              </w:rPr>
            </w:pPr>
            <w:r>
              <w:rPr>
                <w:rFonts w:ascii="Arial" w:cs="Arial" w:eastAsia="Arial" w:hAnsi="Arial"/>
                <w:sz w:val="20"/>
                <w:szCs w:val="20"/>
                <w:color w:val="0000FF"/>
                <w:w w:val="87"/>
              </w:rPr>
              <w:t>61,244,198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40" w:type="dxa"/>
            <w:vAlign w:val="bottom"/>
            <w:gridSpan w:val="2"/>
          </w:tcPr>
          <w:p>
            <w:pPr>
              <w:ind w:left="60"/>
              <w:spacing w:after="0"/>
              <w:rPr>
                <w:sz w:val="20"/>
                <w:szCs w:val="20"/>
                <w:color w:val="auto"/>
              </w:rPr>
            </w:pPr>
            <w:r>
              <w:rPr>
                <w:rFonts w:ascii="Arial" w:cs="Arial" w:eastAsia="Arial" w:hAnsi="Arial"/>
                <w:sz w:val="20"/>
                <w:szCs w:val="20"/>
                <w:color w:val="0000FF"/>
                <w:w w:val="88"/>
              </w:rPr>
              <w:t>See footnotes</w:t>
            </w:r>
            <w:r>
              <w:rPr>
                <w:rFonts w:ascii="Arial" w:cs="Arial" w:eastAsia="Arial" w:hAnsi="Arial"/>
                <w:sz w:val="25"/>
                <w:szCs w:val="25"/>
                <w:color w:val="008000"/>
                <w:w w:val="88"/>
                <w:vertAlign w:val="superscript"/>
              </w:rPr>
              <w:t>(6)(2)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40" w:type="dxa"/>
            <w:vAlign w:val="bottom"/>
            <w:gridSpan w:val="3"/>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70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78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4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4"/>
          </w:tcPr>
          <w:p>
            <w:pPr>
              <w:ind w:left="20"/>
              <w:spacing w:after="0"/>
              <w:rPr>
                <w:rFonts w:ascii="Arial" w:cs="Arial" w:eastAsia="Arial" w:hAnsi="Arial"/>
                <w:sz w:val="24"/>
                <w:szCs w:val="24"/>
                <w:u w:val="single" w:color="auto"/>
                <w:color w:val="0000EE"/>
                <w:w w:val="99"/>
              </w:rPr>
            </w:pPr>
            <w:hyperlink r:id="rId10">
              <w:r>
                <w:rPr>
                  <w:rFonts w:ascii="Arial" w:cs="Arial" w:eastAsia="Arial" w:hAnsi="Arial"/>
                  <w:sz w:val="24"/>
                  <w:szCs w:val="24"/>
                  <w:u w:val="single" w:color="auto"/>
                  <w:color w:val="0000EE"/>
                  <w:w w:val="99"/>
                </w:rPr>
                <w:t>Carlyle Group Management L.L.C.</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500"/>
              <w:spacing w:after="0"/>
              <w:rPr>
                <w:sz w:val="20"/>
                <w:szCs w:val="20"/>
                <w:color w:val="auto"/>
              </w:rPr>
            </w:pPr>
            <w:r>
              <w:rPr>
                <w:rFonts w:ascii="Arial" w:cs="Arial" w:eastAsia="Arial" w:hAnsi="Arial"/>
                <w:sz w:val="15"/>
                <w:szCs w:val="15"/>
                <w:color w:val="auto"/>
              </w:rPr>
              <w:t>(First)</w:t>
            </w:r>
          </w:p>
        </w:tc>
        <w:tc>
          <w:tcPr>
            <w:tcW w:w="6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5"/>
                <w:szCs w:val="15"/>
                <w:color w:val="auto"/>
              </w:rPr>
              <w:t>(Middle)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-2752725</wp:posOffset>
            </wp:positionV>
            <wp:extent cx="6946900" cy="5327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327015"/>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112395</wp:posOffset>
            </wp:positionV>
            <wp:extent cx="262064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color w:val="0000EE"/>
              </w:rPr>
            </w:pPr>
            <w:hyperlink r:id="rId15">
              <w:r>
                <w:rPr>
                  <w:rFonts w:ascii="Arial" w:cs="Arial" w:eastAsia="Arial" w:hAnsi="Arial"/>
                  <w:sz w:val="24"/>
                  <w:szCs w:val="24"/>
                  <w:u w:val="single" w:color="auto"/>
                  <w:color w:val="0000EE"/>
                </w:rPr>
                <w:t>Carlyle Group Inc</w:t>
              </w:r>
              <w:r>
                <w:rPr>
                  <w:rFonts w:ascii="Arial" w:cs="Arial" w:eastAsia="Arial" w:hAnsi="Arial"/>
                  <w:sz w:val="24"/>
                  <w:szCs w:val="24"/>
                  <w:color w:val="0000EE"/>
                </w:rPr>
                <w:t>.</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-1018540</wp:posOffset>
            </wp:positionV>
            <wp:extent cx="95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-1028065</wp:posOffset>
            </wp:positionV>
            <wp:extent cx="952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-713105</wp:posOffset>
            </wp:positionV>
            <wp:extent cx="9525" cy="1124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25" cy="11245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-722630</wp:posOffset>
            </wp:positionV>
            <wp:extent cx="9525" cy="1134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525" cy="11341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-227330</wp:posOffset>
            </wp:positionV>
            <wp:extent cx="95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-236855</wp:posOffset>
            </wp:positionV>
            <wp:extent cx="952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PENNSYLVANIA AVE., N.W., SUITE 220</w:t>
      </w:r>
    </w:p>
    <w:p>
      <w:pPr>
        <w:sectPr>
          <w:pgSz w:w="11900" w:h="16858"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t>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-139065</wp:posOffset>
            </wp:positionV>
            <wp:extent cx="2773045" cy="1052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440" w:type="dxa"/>
            <w:vAlign w:val="bottom"/>
          </w:tcPr>
          <w:p>
            <w:pPr>
              <w:ind w:left="10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40" w:type="dxa"/>
            <w:vAlign w:val="bottom"/>
          </w:tcPr>
          <w:p>
            <w:pPr>
              <w:ind w:left="46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80" w:type="dxa"/>
            <w:vAlign w:val="bottom"/>
            <w:gridSpan w:val="2"/>
          </w:tcPr>
          <w:p>
            <w:pPr>
              <w:ind w:left="20"/>
              <w:spacing w:after="0"/>
              <w:rPr>
                <w:rFonts w:ascii="Arial" w:cs="Arial" w:eastAsia="Arial" w:hAnsi="Arial"/>
                <w:sz w:val="24"/>
                <w:szCs w:val="24"/>
                <w:u w:val="single" w:color="auto"/>
                <w:color w:val="0000EE"/>
                <w:w w:val="96"/>
              </w:rPr>
            </w:pPr>
            <w:hyperlink r:id="rId23">
              <w:r>
                <w:rPr>
                  <w:rFonts w:ascii="Arial" w:cs="Arial" w:eastAsia="Arial" w:hAnsi="Arial"/>
                  <w:sz w:val="24"/>
                  <w:szCs w:val="24"/>
                  <w:u w:val="single" w:color="auto"/>
                  <w:color w:val="0000EE"/>
                  <w:w w:val="96"/>
                </w:rPr>
                <w:t>Carlyle Holdings I GP Inc.</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46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-1018540</wp:posOffset>
            </wp:positionV>
            <wp:extent cx="95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-1028065</wp:posOffset>
            </wp:positionV>
            <wp:extent cx="952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2753995" cy="2163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163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8">
        <w:r>
          <w:rPr>
            <w:rFonts w:ascii="Arial" w:cs="Arial" w:eastAsia="Arial" w:hAnsi="Arial"/>
            <w:sz w:val="24"/>
            <w:szCs w:val="24"/>
            <w:u w:val="single" w:color="auto"/>
            <w:color w:val="0000EE"/>
          </w:rPr>
          <w:t>Carlyle Holdings I GP Sub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620" w:type="dxa"/>
            <w:vAlign w:val="bottom"/>
          </w:tcPr>
          <w:p>
            <w:pPr>
              <w:ind w:left="28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560" w:type="dxa"/>
            <w:vAlign w:val="bottom"/>
          </w:tcPr>
          <w:p>
            <w:pPr>
              <w:ind w:left="46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500" w:type="dxa"/>
            <w:vAlign w:val="bottom"/>
            <w:gridSpan w:val="2"/>
          </w:tcPr>
          <w:p>
            <w:pPr>
              <w:ind w:left="20"/>
              <w:spacing w:after="0"/>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Carlyle Holdings I L.P.</w:t>
              </w:r>
            </w:hyperlink>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560" w:type="dxa"/>
            <w:vAlign w:val="bottom"/>
          </w:tcPr>
          <w:p>
            <w:pPr>
              <w:ind w:left="46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-722630</wp:posOffset>
            </wp:positionV>
            <wp:extent cx="2753995" cy="2163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163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32">
        <w:r>
          <w:rPr>
            <w:rFonts w:ascii="Arial" w:cs="Arial" w:eastAsia="Arial" w:hAnsi="Arial"/>
            <w:sz w:val="24"/>
            <w:szCs w:val="24"/>
            <w:u w:val="single" w:color="auto"/>
            <w:color w:val="0000EE"/>
          </w:rPr>
          <w:t>CG Subsidiary Holdings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819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753995" cy="81978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34">
        <w:r>
          <w:rPr>
            <w:rFonts w:ascii="Arial" w:cs="Arial" w:eastAsia="Arial" w:hAnsi="Arial"/>
            <w:sz w:val="24"/>
            <w:szCs w:val="24"/>
            <w:u w:val="single" w:color="auto"/>
            <w:color w:val="0000EE"/>
          </w:rPr>
          <w:t>TC Group, LLC</w:t>
        </w:r>
      </w:hyperlink>
    </w:p>
    <w:p>
      <w:pPr>
        <w:sectPr>
          <w:pgSz w:w="11900" w:h="16838" w:orient="portrait"/>
          <w:cols w:equalWidth="0" w:num="1">
            <w:col w:w="9959"/>
          </w:cols>
          <w:pgMar w:left="500" w:top="130" w:right="1440" w:bottom="0" w:gutter="0" w:footer="0" w:header="0"/>
        </w:sectPr>
      </w:pPr>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9959"/>
          </w:cols>
          <w:pgMar w:left="500" w:top="130" w:right="1440" w:bottom="0" w:gutter="0" w:footer="0" w:header="0"/>
          <w:type w:val="continuous"/>
        </w:sectPr>
      </w:pPr>
    </w:p>
    <w:bookmarkStart w:id="2" w:name="page3"/>
    <w:bookmarkEnd w:id="2"/>
    <w:p>
      <w:pPr>
        <w:ind w:left="120"/>
        <w:spacing w:after="0"/>
        <w:rPr>
          <w:sz w:val="20"/>
          <w:szCs w:val="20"/>
          <w:color w:val="auto"/>
        </w:rPr>
      </w:pPr>
      <w:r>
        <w:rPr>
          <w:rFonts w:ascii="Arial" w:cs="Arial" w:eastAsia="Arial" w:hAnsi="Arial"/>
          <w:sz w:val="20"/>
          <w:szCs w:val="20"/>
          <w:color w:val="0000FF"/>
        </w:rPr>
        <w:t>C/O THE CARLYLE GROUP,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-139065</wp:posOffset>
            </wp:positionV>
            <wp:extent cx="2773045" cy="773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773045" cy="7737475"/>
                    </a:xfrm>
                    <a:prstGeom prst="rect">
                      <a:avLst/>
                    </a:prstGeom>
                    <a:noFill/>
                  </pic:spPr>
                </pic:pic>
              </a:graphicData>
            </a:graphic>
          </wp:anchor>
        </w:drawing>
      </w:r>
    </w:p>
    <w:p>
      <w:pPr>
        <w:spacing w:after="0" w:line="5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36">
              <w:r>
                <w:rPr>
                  <w:rFonts w:ascii="Arial" w:cs="Arial" w:eastAsia="Arial" w:hAnsi="Arial"/>
                  <w:sz w:val="24"/>
                  <w:szCs w:val="24"/>
                  <w:u w:val="single" w:color="auto"/>
                  <w:color w:val="0000EE"/>
                </w:rPr>
                <w:t>TC Group Sub L.P.</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 SOUTH</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37">
        <w:r>
          <w:rPr>
            <w:rFonts w:ascii="Arial" w:cs="Arial" w:eastAsia="Arial" w:hAnsi="Arial"/>
            <w:sz w:val="24"/>
            <w:szCs w:val="24"/>
            <w:u w:val="single" w:color="auto"/>
            <w:color w:val="0000EE"/>
          </w:rPr>
          <w:t>Carlyle Holdings II GP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440" w:type="dxa"/>
            <w:vAlign w:val="bottom"/>
          </w:tcPr>
          <w:p>
            <w:pPr>
              <w:ind w:left="10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40" w:type="dxa"/>
            <w:vAlign w:val="bottom"/>
          </w:tcPr>
          <w:p>
            <w:pPr>
              <w:ind w:left="46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80" w:type="dxa"/>
            <w:vAlign w:val="bottom"/>
            <w:gridSpan w:val="2"/>
          </w:tcPr>
          <w:p>
            <w:pPr>
              <w:ind w:left="20"/>
              <w:spacing w:after="0"/>
              <w:rPr>
                <w:rFonts w:ascii="Arial" w:cs="Arial" w:eastAsia="Arial" w:hAnsi="Arial"/>
                <w:sz w:val="24"/>
                <w:szCs w:val="24"/>
                <w:u w:val="single" w:color="auto"/>
                <w:color w:val="0000EE"/>
                <w:w w:val="99"/>
              </w:rPr>
            </w:pPr>
            <w:hyperlink r:id="rId38">
              <w:r>
                <w:rPr>
                  <w:rFonts w:ascii="Arial" w:cs="Arial" w:eastAsia="Arial" w:hAnsi="Arial"/>
                  <w:sz w:val="24"/>
                  <w:szCs w:val="24"/>
                  <w:u w:val="single" w:color="auto"/>
                  <w:color w:val="0000EE"/>
                  <w:w w:val="99"/>
                </w:rPr>
                <w:t>Carlyle Holdings II L.L.C.</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46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Carlyle Partners VI Evergreen Holdings, L.P. ("Carlyle Evergreen") is the record holder of the shares reported herein.</w:t>
      </w:r>
    </w:p>
    <w:p>
      <w:pPr>
        <w:spacing w:after="0" w:line="52" w:lineRule="exact"/>
        <w:rPr>
          <w:rFonts w:ascii="Arial" w:cs="Arial" w:eastAsia="Arial" w:hAnsi="Arial"/>
          <w:sz w:val="15"/>
          <w:szCs w:val="15"/>
          <w:color w:val="008000"/>
        </w:rPr>
      </w:pPr>
    </w:p>
    <w:p>
      <w:pPr>
        <w:ind w:left="20" w:firstLine="5"/>
        <w:spacing w:after="0" w:line="256"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Carlyle Group Management L.L.C. holds an irrevocable proxy to vote a majority of the shares of The Carlyle Group Inc., which is a publicly traded entity listed on the Nasdaq. The Carlyle Group Inc. is the sole shareholder of Carlyle Holdings I GP Inc., which is the sole member of Carlyle Holdings I GP Sub L.L.C., which is the general partner of Carlyle Holdings I L.P., which, with respect to the securities held of record by Carlyle Evergreen and CP VI Evergreen Holdings, L.P.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6" w:lineRule="exact"/>
        <w:rPr>
          <w:rFonts w:ascii="Arial" w:cs="Arial" w:eastAsia="Arial" w:hAnsi="Arial"/>
          <w:sz w:val="14"/>
          <w:szCs w:val="14"/>
          <w:color w:val="008000"/>
        </w:rPr>
      </w:pPr>
    </w:p>
    <w:p>
      <w:pPr>
        <w:ind w:left="20" w:right="14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Cont'd. 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spacing w:after="0" w:line="36" w:lineRule="exact"/>
        <w:rPr>
          <w:rFonts w:ascii="Arial" w:cs="Arial" w:eastAsia="Arial" w:hAnsi="Arial"/>
          <w:sz w:val="15"/>
          <w:szCs w:val="15"/>
          <w:color w:val="008000"/>
        </w:rPr>
      </w:pPr>
    </w:p>
    <w:p>
      <w:pPr>
        <w:ind w:left="20" w:right="2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LLC Units of ZoomInfo Holdings LLC ("OpCo Units") and an equal number of shares of Class B Common Stock, together are exchangeable for shares of Class A Common Stock on a one-for-one basis at the discretion of the holder, subject to certain exceptions, conditions and adjustments, and have no expiration date.</w:t>
      </w:r>
    </w:p>
    <w:p>
      <w:pPr>
        <w:spacing w:after="0" w:line="3" w:lineRule="exact"/>
        <w:rPr>
          <w:rFonts w:ascii="Arial" w:cs="Arial" w:eastAsia="Arial" w:hAnsi="Arial"/>
          <w:sz w:val="14"/>
          <w:szCs w:val="14"/>
          <w:color w:val="008000"/>
        </w:rPr>
      </w:pPr>
    </w:p>
    <w:p>
      <w:pPr>
        <w:ind w:left="180" w:hanging="155"/>
        <w:spacing w:after="0"/>
        <w:tabs>
          <w:tab w:leader="none" w:pos="18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Class C Common Stock may be converted into shares of the Issuer's Class A Common Stock on a one-to-one basis at the discretion of the holder and has no expiration date.</w:t>
      </w:r>
    </w:p>
    <w:p>
      <w:pPr>
        <w:spacing w:after="0" w:line="75" w:lineRule="exact"/>
        <w:rPr>
          <w:rFonts w:ascii="Arial" w:cs="Arial" w:eastAsia="Arial" w:hAnsi="Arial"/>
          <w:sz w:val="13"/>
          <w:szCs w:val="13"/>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45,193,415 shares held of record by CP VI Evergreen Holdings, L.P. and 16,050,783 shares held of record by Carlyle Partners VI Dash Holdings, L.P.</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jc w:val="both"/>
        <w:ind w:left="20" w:right="460"/>
        <w:spacing w:after="0" w:line="241" w:lineRule="auto"/>
        <w:rPr>
          <w:sz w:val="20"/>
          <w:szCs w:val="20"/>
          <w:color w:val="auto"/>
        </w:rPr>
      </w:pPr>
      <w:r>
        <w:rPr>
          <w:rFonts w:ascii="Arial" w:cs="Arial" w:eastAsia="Arial" w:hAnsi="Arial"/>
          <w:sz w:val="15"/>
          <w:szCs w:val="15"/>
          <w:color w:val="008000"/>
        </w:rPr>
        <w:t>Exhibit 24- Power of Attorney. Due to the limitations of the electronic filing system, each of TC Group VI S1, L.L.C., TC Group VI S1, L.P., TC Group Cayman Investment Holdings, L.P., TC Group Cayman Investment Holdings Sub L.P., TC Group VI, L.L.C., TC Group VI, L.P., Carlyle Partners VI Evergreen Holdings, L.P., CP VI Evergreen Holdings, L.P. and Carlyle Partners VI Dash Holdings, L.P. are filing a separate Form 3.</w:t>
      </w:r>
    </w:p>
    <w:p>
      <w:pPr>
        <w:sectPr>
          <w:pgSz w:w="11900" w:h="16838" w:orient="portrait"/>
          <w:cols w:equalWidth="0" w:num="1">
            <w:col w:w="10860"/>
          </w:cols>
          <w:pgMar w:left="500" w:top="130" w:right="539" w:bottom="0" w:gutter="0" w:footer="0" w:header="0"/>
        </w:sectPr>
      </w:pPr>
    </w:p>
    <w:p>
      <w:pPr>
        <w:spacing w:after="0" w:line="41"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11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Carlyle Group</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06/04/2020</w:t>
            </w:r>
          </w:p>
        </w:tc>
      </w:tr>
      <w:tr>
        <w:trPr>
          <w:trHeight w:val="220"/>
        </w:trPr>
        <w:tc>
          <w:tcPr>
            <w:tcW w:w="196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9"/>
              </w:rPr>
              <w:t>Management L.L.C., By: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0860"/>
          </w:cols>
          <w:pgMar w:left="500" w:top="130" w:right="539" w:bottom="0" w:gutter="0" w:footer="0" w:header="0"/>
          <w:type w:val="continuous"/>
        </w:sectPr>
      </w:pPr>
    </w:p>
    <w:bookmarkStart w:id="3" w:name="page4"/>
    <w:bookmarkEnd w:id="3"/>
    <w:p>
      <w:pPr>
        <w:spacing w:after="0" w:line="5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9531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Attorney-in-fact for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38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L. Buser,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095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5496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The Carlyle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1868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268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Attorney-in-fact for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38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L. Buser,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09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5496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Carlyle Holdings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11125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Inc.,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775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87757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Frederick,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12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34112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6809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6809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4709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133540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L.L.C.,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6329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Holdings I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1506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0937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762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635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5379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5379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Carlyle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17665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268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Attorney-in-fact for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38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L. Buser,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095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5496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121793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L.L.C.,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6329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Holdings 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2900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2900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0937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762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635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5379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5379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TC Group, L.L.C,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130746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2552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2552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member,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3759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3759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Holdings 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2900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92900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0937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762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635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5379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5379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TC Group Sub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119443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94435" cy="952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TC Group,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7378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general partner,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18491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8491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2552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2552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member,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37590"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3759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Holdings 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2900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2900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0937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762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635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5379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15379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Carlyle Holdings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15252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L.L.C. By: The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5570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Group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615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member,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473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547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Frederick,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12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34112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6809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6809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47090"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Carlyle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132143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Attorney-in-fact for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3815"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L. Buser,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0950"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5496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86" w:lineRule="exact"/>
        <w:rPr>
          <w:sz w:val="20"/>
          <w:szCs w:val="20"/>
          <w:color w:val="auto"/>
        </w:rPr>
      </w:pPr>
    </w:p>
    <w:p>
      <w:pPr>
        <w:sectPr>
          <w:pgSz w:w="11900" w:h="16891" w:orient="portrait"/>
          <w:cols w:equalWidth="0" w:num="2">
            <w:col w:w="7720" w:space="80"/>
            <w:col w:w="1219"/>
          </w:cols>
          <w:pgMar w:left="1440" w:top="130" w:right="1440" w:bottom="0" w:gutter="0" w:footer="0" w:header="0"/>
        </w:sectPr>
      </w:pPr>
    </w:p>
    <w:tbl>
      <w:tblPr>
        <w:tblLayout w:type="fixed"/>
        <w:tblInd w:w="562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91" w:orient="portrait"/>
          <w:cols w:equalWidth="0" w:num="1">
            <w:col w:w="9019"/>
          </w:cols>
          <w:pgMar w:left="1440" w:top="130" w:right="1440" w:bottom="0"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69" w:right="559" w:bottom="1440" w:gutter="0" w:footer="0" w:header="0"/>
        </w:sectPr>
      </w:pPr>
    </w:p>
    <w:bookmarkStart w:id="5" w:name="page6"/>
    <w:bookmarkEnd w:id="5"/>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199" w:firstLine="819"/>
        <w:spacing w:after="0" w:line="236" w:lineRule="auto"/>
        <w:rPr>
          <w:sz w:val="20"/>
          <w:szCs w:val="20"/>
          <w:color w:val="auto"/>
        </w:rPr>
      </w:pPr>
      <w:r>
        <w:rPr>
          <w:rFonts w:ascii="Courier New" w:cs="Courier New" w:eastAsia="Courier New" w:hAnsi="Courier New"/>
          <w:sz w:val="20"/>
          <w:szCs w:val="20"/>
          <w:color w:val="auto"/>
        </w:rPr>
        <w:t>The undersigned understands that, from time to time, the Carlyle Companies (defined below) are required to prepare, execute and file certain federal and state securities laws filings.</w:t>
      </w:r>
    </w:p>
    <w:p>
      <w:pPr>
        <w:spacing w:after="0" w:line="232" w:lineRule="exact"/>
        <w:rPr>
          <w:sz w:val="20"/>
          <w:szCs w:val="20"/>
          <w:color w:val="auto"/>
        </w:rPr>
      </w:pPr>
    </w:p>
    <w:p>
      <w:pPr>
        <w:ind w:right="739" w:firstLine="8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Jeffrey Ferguson, Jeremy Anderson, Joanne Cosiol, Anne Frederick, Kevin Gasque, Erica Herberg, Norma Kuntz, Joshua Lefkowitz, David Lobe, Karen McMonagle, Aditya Narain, Michelle Reing, Ryan Toteja and Catherine Ziobro, or any of them signing singly, and with full power of substitution, the undersigned's true and lawful attorney-in-fact to:</w:t>
      </w:r>
    </w:p>
    <w:p>
      <w:pPr>
        <w:spacing w:after="0" w:line="200" w:lineRule="exact"/>
        <w:rPr>
          <w:sz w:val="20"/>
          <w:szCs w:val="20"/>
          <w:color w:val="auto"/>
        </w:rPr>
      </w:pPr>
    </w:p>
    <w:p>
      <w:pPr>
        <w:spacing w:after="0" w:line="258" w:lineRule="exact"/>
        <w:rPr>
          <w:sz w:val="20"/>
          <w:szCs w:val="20"/>
          <w:color w:val="auto"/>
        </w:rPr>
      </w:pPr>
    </w:p>
    <w:p>
      <w:pPr>
        <w:ind w:left="1180" w:right="619" w:hanging="712"/>
        <w:spacing w:after="0" w:line="267" w:lineRule="auto"/>
        <w:tabs>
          <w:tab w:leader="none" w:pos="11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name of each Carlyle Company and on behalf of each Carlyle Company, and submit to the U.S. Securities and Exchange Commission (the "SEC") a Form ID, including amendments thereto, and any other documents necessary or appropriate to obtain codes and passwords enabling the undersigned to make electronic filings with the SEC of Forms D ("Form D") required to be filed in accordance with Rule 503 ("Rule 503") promulgated with respect to Sections 4(2), 4(6) and 3(b) of the Securities Act of 1933 (the "1933 Act") and reports required by Sections 13(d) and 16(a) of the Securities Exchange Act of 1934 (the "1934 Act") or any rule or regulation of the SEC;</w:t>
      </w:r>
    </w:p>
    <w:p>
      <w:pPr>
        <w:spacing w:after="0" w:line="200" w:lineRule="exact"/>
        <w:rPr>
          <w:rFonts w:ascii="Courier New" w:cs="Courier New" w:eastAsia="Courier New" w:hAnsi="Courier New"/>
          <w:sz w:val="18"/>
          <w:szCs w:val="18"/>
          <w:color w:val="auto"/>
        </w:rPr>
      </w:pPr>
    </w:p>
    <w:p>
      <w:pPr>
        <w:spacing w:after="0" w:line="232" w:lineRule="exact"/>
        <w:rPr>
          <w:rFonts w:ascii="Courier New" w:cs="Courier New" w:eastAsia="Courier New" w:hAnsi="Courier New"/>
          <w:sz w:val="18"/>
          <w:szCs w:val="18"/>
          <w:color w:val="auto"/>
        </w:rPr>
      </w:pPr>
    </w:p>
    <w:p>
      <w:pPr>
        <w:ind w:left="1180" w:right="619" w:hanging="712"/>
        <w:spacing w:after="0" w:line="268" w:lineRule="auto"/>
        <w:tabs>
          <w:tab w:leader="none" w:pos="11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each Carlyle Company, in the undersigned's capacity as a Chairman, authorized person, officer and/or director of each Carlyle Company, federal and state securities laws filings including without limitation Forms D pursuant to Rule 503 and Schedules 13D and 13G and Forms 3, 4, and 5 in accordance with Sections 13(d) and 16(a) of the 1934 Act and the rules thereunder;</w:t>
      </w:r>
    </w:p>
    <w:p>
      <w:pPr>
        <w:spacing w:after="0" w:line="200" w:lineRule="exact"/>
        <w:rPr>
          <w:rFonts w:ascii="Courier New" w:cs="Courier New" w:eastAsia="Courier New" w:hAnsi="Courier New"/>
          <w:sz w:val="18"/>
          <w:szCs w:val="18"/>
          <w:color w:val="auto"/>
        </w:rPr>
      </w:pPr>
    </w:p>
    <w:p>
      <w:pPr>
        <w:spacing w:after="0" w:line="234" w:lineRule="exact"/>
        <w:rPr>
          <w:rFonts w:ascii="Courier New" w:cs="Courier New" w:eastAsia="Courier New" w:hAnsi="Courier New"/>
          <w:sz w:val="18"/>
          <w:szCs w:val="18"/>
          <w:color w:val="auto"/>
        </w:rPr>
      </w:pPr>
    </w:p>
    <w:p>
      <w:pPr>
        <w:ind w:left="1180" w:right="61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each Carlyle Company which may be necessary or desirable to complete and execute any such federal and state securities laws filings including without limitation Forms D, Schedules 13D and 13G and Forms 3, 4, and 5, complete and execute any amendment or amendments thereto, and timely file such form with the SEC and the securities administrators of any state, the District of Columbia, the Commonwealth of Puerto Rico, Guam and the United States Virgin Islands or their designees and any stock exchange or similar authority; and</w:t>
      </w:r>
    </w:p>
    <w:p>
      <w:pPr>
        <w:spacing w:after="0" w:line="200" w:lineRule="exact"/>
        <w:rPr>
          <w:rFonts w:ascii="Courier New" w:cs="Courier New" w:eastAsia="Courier New" w:hAnsi="Courier New"/>
          <w:sz w:val="20"/>
          <w:szCs w:val="20"/>
          <w:color w:val="auto"/>
        </w:rPr>
      </w:pPr>
    </w:p>
    <w:p>
      <w:pPr>
        <w:spacing w:after="0" w:line="262" w:lineRule="exact"/>
        <w:rPr>
          <w:rFonts w:ascii="Courier New" w:cs="Courier New" w:eastAsia="Courier New" w:hAnsi="Courier New"/>
          <w:sz w:val="20"/>
          <w:szCs w:val="20"/>
          <w:color w:val="auto"/>
        </w:rPr>
      </w:pPr>
    </w:p>
    <w:p>
      <w:pPr>
        <w:ind w:left="1180" w:right="8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whether the same needs to be executed, taken or done by him in his capacity as a current or former member, partner, shareholder, director or officer of any company, partnership, corporation, organization, firm, branch or other entity connected with, related to or affiliated with any of the entities constituting the Carlyle Companies or entities that directly or indirectly hold interests in the Carlyle Companies.</w:t>
      </w:r>
    </w:p>
    <w:p>
      <w:pPr>
        <w:spacing w:after="0" w:line="200" w:lineRule="exact"/>
        <w:rPr>
          <w:sz w:val="20"/>
          <w:szCs w:val="20"/>
          <w:color w:val="auto"/>
        </w:rPr>
      </w:pPr>
    </w:p>
    <w:p>
      <w:pPr>
        <w:spacing w:after="0" w:line="239" w:lineRule="exact"/>
        <w:rPr>
          <w:sz w:val="20"/>
          <w:szCs w:val="20"/>
          <w:color w:val="auto"/>
        </w:rPr>
      </w:pPr>
    </w:p>
    <w:p>
      <w:pPr>
        <w:ind w:right="619" w:firstLine="819"/>
        <w:spacing w:after="0" w:line="28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any</w:t>
      </w:r>
    </w:p>
    <w:p>
      <w:pPr>
        <w:sectPr>
          <w:pgSz w:w="11900" w:h="16838" w:orient="portrait"/>
          <w:cols w:equalWidth="0" w:num="1">
            <w:col w:w="9979"/>
          </w:cols>
          <w:pgMar w:left="480" w:top="136" w:right="1440" w:bottom="0" w:gutter="0" w:footer="0" w:header="0"/>
        </w:sectPr>
      </w:pPr>
    </w:p>
    <w:bookmarkStart w:id="6" w:name="page7"/>
    <w:bookmarkEnd w:id="6"/>
    <w:p>
      <w:pPr>
        <w:ind w:right="1439"/>
        <w:spacing w:after="0" w:line="236" w:lineRule="auto"/>
        <w:rPr>
          <w:sz w:val="20"/>
          <w:szCs w:val="20"/>
          <w:color w:val="auto"/>
        </w:rPr>
      </w:pPr>
      <w:r>
        <w:rPr>
          <w:rFonts w:ascii="Courier New" w:cs="Courier New" w:eastAsia="Courier New" w:hAnsi="Courier New"/>
          <w:sz w:val="20"/>
          <w:szCs w:val="20"/>
          <w:color w:val="auto"/>
        </w:rPr>
        <w:t>of the undersigned's responsibilities to comply with federal and state securities laws, including without limitation Rule 503 of the 1933 Act or Section 13 and Section 16 of the 1934 Act.</w:t>
      </w:r>
    </w:p>
    <w:p>
      <w:pPr>
        <w:spacing w:after="0" w:line="232" w:lineRule="exact"/>
        <w:rPr>
          <w:sz w:val="20"/>
          <w:szCs w:val="20"/>
          <w:color w:val="auto"/>
        </w:rPr>
      </w:pPr>
    </w:p>
    <w:p>
      <w:pPr>
        <w:ind w:right="619" w:firstLine="819"/>
        <w:spacing w:after="0" w:line="238" w:lineRule="auto"/>
        <w:rPr>
          <w:sz w:val="20"/>
          <w:szCs w:val="20"/>
          <w:color w:val="auto"/>
        </w:rPr>
      </w:pPr>
      <w:r>
        <w:rPr>
          <w:rFonts w:ascii="Courier New" w:cs="Courier New" w:eastAsia="Courier New" w:hAnsi="Courier New"/>
          <w:sz w:val="20"/>
          <w:szCs w:val="20"/>
          <w:color w:val="auto"/>
        </w:rPr>
        <w:t>This Power of Attorney and all authority conferred hereby shall not be terminated by operation of law, whether by the death or incapacity of the undersigned or by occurrence of any other event. Actions taken by an attorney-in-fact pursuant to this Power of Attorney shall be as valid as if any event described in the preceding sentence had not occurred, whether or not the attorney-in-fact shall have received notice of such event. Notwithstanding the foregoing, (i) in the event that an attorney-in-fact is no longer employed by The Carlyle Group Employee Co., L.L.C. or its affiliates, this Power of Attorney and all authority conferred hereby shall be immediately terminated with respect to such Attorney, and (ii) the undersigned may terminate or revoke this Power of Attorney at any time.</w:t>
      </w:r>
    </w:p>
    <w:p>
      <w:pPr>
        <w:spacing w:after="0" w:line="22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For purposes hereof, the "Carlyle Companies" shall consist of:</w:t>
      </w:r>
    </w:p>
    <w:p>
      <w:pPr>
        <w:spacing w:after="0" w:line="5" w:lineRule="exact"/>
        <w:rPr>
          <w:sz w:val="20"/>
          <w:szCs w:val="20"/>
          <w:color w:val="auto"/>
        </w:rPr>
      </w:pPr>
    </w:p>
    <w:p>
      <w:pPr>
        <w:ind w:right="619"/>
        <w:spacing w:after="0" w:line="238" w:lineRule="auto"/>
        <w:tabs>
          <w:tab w:leader="none" w:pos="468"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Carlyle Group Management L.L.C., The Carlyle Group Inc., Carlyle Holdings I GP Inc., Carlyle Holdings I GP Sub L.L.C., Carlyle Holdings I L.P., TC Group, L.L.C., Carlyle Holdings II GP L.L.C., Carlyle Holdings II L.L.C., CG Subsidiary Holdings L.L.C., TC Group Investment Holdings, L.P., Carlyle Holdings III GP Management L.L.C., Carlyle Holdings III GP L.P., Carlyle Holdings III GP Sub L.L.C., Carlyle Holdings III L.P., TC Group Cayman L.P., TC Group Sub L.P., TC Group Investment Holdings Sub L.P., TC Group Cayman Investment Holdings Sub L.P., TC Group Cayman Sub L.P., Five Overseas CG Investment L.L.C. and (ii) the subsidiaries and affiliates of the foregoing in clause (i), including without limitation investment funds sponsored directly or indirectly by one or more of the Carlyle Companies.</w:t>
      </w:r>
    </w:p>
    <w:p>
      <w:pPr>
        <w:spacing w:after="0" w:line="230" w:lineRule="exact"/>
        <w:rPr>
          <w:sz w:val="20"/>
          <w:szCs w:val="20"/>
          <w:color w:val="auto"/>
        </w:rPr>
      </w:pPr>
    </w:p>
    <w:p>
      <w:pPr>
        <w:ind w:right="739" w:firstLine="81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January, 2020.</w:t>
      </w:r>
    </w:p>
    <w:p>
      <w:pPr>
        <w:sectPr>
          <w:pgSz w:w="11900" w:h="16838" w:orient="portrait"/>
          <w:cols w:equalWidth="0" w:num="1">
            <w:col w:w="9979"/>
          </w:cols>
          <w:pgMar w:left="480" w:top="142"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Courier New" w:cs="Courier New" w:eastAsia="Courier New" w:hAnsi="Courier New"/>
          <w:sz w:val="20"/>
          <w:szCs w:val="20"/>
          <w:color w:val="auto"/>
        </w:rPr>
        <w:t>By:</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20"/>
          <w:szCs w:val="20"/>
          <w:color w:val="auto"/>
        </w:rPr>
        <w:t>Name: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Curtis L. Buser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Curtis L. Buser</w:t>
      </w:r>
    </w:p>
    <w:p>
      <w:pPr>
        <w:spacing w:after="0" w:line="238" w:lineRule="auto"/>
        <w:rPr>
          <w:sz w:val="20"/>
          <w:szCs w:val="20"/>
          <w:color w:val="auto"/>
        </w:rPr>
      </w:pPr>
      <w:r>
        <w:rPr>
          <w:rFonts w:ascii="Courier New" w:cs="Courier New" w:eastAsia="Courier New" w:hAnsi="Courier New"/>
          <w:sz w:val="20"/>
          <w:szCs w:val="20"/>
          <w:color w:val="auto"/>
        </w:rPr>
        <w:t>Chief Financial Officer</w:t>
      </w:r>
    </w:p>
    <w:sectPr>
      <w:pgSz w:w="11900" w:h="16838" w:orient="portrait"/>
      <w:cols w:equalWidth="0" w:num="2">
        <w:col w:w="4920" w:space="240"/>
        <w:col w:w="4819"/>
      </w:cols>
      <w:pgMar w:left="48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5"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0" Type="http://schemas.openxmlformats.org/officeDocument/2006/relationships/hyperlink" Target="http://www.sec.gov/cgi-bin/browse-edgar?action=getcompany&amp;CIK=0001548624" TargetMode="External"/><Relationship Id="rId11"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527166" TargetMode="External"/><Relationship Id="rId23" Type="http://schemas.openxmlformats.org/officeDocument/2006/relationships/hyperlink" Target="http://www.sec.gov/cgi-bin/browse-edgar?action=getcompany&amp;CIK=0001548626" TargetMode="External"/><Relationship Id="rId28" Type="http://schemas.openxmlformats.org/officeDocument/2006/relationships/hyperlink" Target="http://www.sec.gov/cgi-bin/browse-edgar?action=getcompany&amp;CIK=0001548627" TargetMode="External"/><Relationship Id="rId29" Type="http://schemas.openxmlformats.org/officeDocument/2006/relationships/hyperlink" Target="http://www.sec.gov/cgi-bin/browse-edgar?action=getcompany&amp;CIK=0001548628" TargetMode="External"/><Relationship Id="rId32" Type="http://schemas.openxmlformats.org/officeDocument/2006/relationships/hyperlink" Target="http://www.sec.gov/cgi-bin/browse-edgar?action=getcompany&amp;CIK=0001790577" TargetMode="External"/><Relationship Id="rId34" Type="http://schemas.openxmlformats.org/officeDocument/2006/relationships/hyperlink" Target="http://www.sec.gov/cgi-bin/browse-edgar?action=getcompany&amp;CIK=0000933790" TargetMode="External"/><Relationship Id="rId36" Type="http://schemas.openxmlformats.org/officeDocument/2006/relationships/hyperlink" Target="http://www.sec.gov/cgi-bin/browse-edgar?action=getcompany&amp;CIK=0001548639" TargetMode="External"/><Relationship Id="rId37" Type="http://schemas.openxmlformats.org/officeDocument/2006/relationships/hyperlink" Target="http://www.sec.gov/cgi-bin/browse-edgar?action=getcompany&amp;CIK=0001548629" TargetMode="External"/><Relationship Id="rId38" Type="http://schemas.openxmlformats.org/officeDocument/2006/relationships/hyperlink" Target="http://www.sec.gov/cgi-bin/browse-edgar?action=getcompany&amp;CIK=0001548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2020-06-04T15:18:26Z</dcterms:created>
  <dcterms:modified xsi:type="dcterms:W3CDTF">2020-06-04T15:18:26Z</dcterms:modified>
</cp:coreProperties>
</file>