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60" w:type="dxa"/>
            <w:vAlign w:val="bottom"/>
          </w:tcPr>
          <w:p>
            <w:pPr>
              <w:ind w:left="40"/>
              <w:spacing w:after="0"/>
              <w:rPr>
                <w:sz w:val="20"/>
                <w:szCs w:val="20"/>
                <w:color w:val="auto"/>
              </w:rPr>
            </w:pPr>
            <w:r>
              <w:rPr>
                <w:rFonts w:ascii="Arial" w:cs="Arial" w:eastAsia="Arial" w:hAnsi="Arial"/>
                <w:sz w:val="22"/>
                <w:szCs w:val="22"/>
                <w:color w:val="auto"/>
              </w:rPr>
              <w:t>0001802267</w:t>
            </w:r>
          </w:p>
        </w:tc>
        <w:tc>
          <w:tcPr>
            <w:tcW w:w="42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4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6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849"/>
        </w:trPr>
        <w:tc>
          <w:tcPr>
            <w:tcW w:w="6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22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6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22"/>
                <w:szCs w:val="22"/>
                <w:color w:val="auto"/>
              </w:rPr>
              <w:t>ZoomInfo Technologies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6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22"/>
                <w:szCs w:val="22"/>
                <w:color w:val="auto"/>
              </w:rPr>
              <w:t>001-39310</w:t>
            </w:r>
          </w:p>
        </w:tc>
      </w:tr>
      <w:tr>
        <w:trPr>
          <w:trHeight w:val="266"/>
        </w:trPr>
        <w:tc>
          <w:tcPr>
            <w:tcW w:w="30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220" w:type="dxa"/>
            <w:vAlign w:val="bottom"/>
          </w:tcPr>
          <w:p>
            <w:pPr>
              <w:ind w:left="320"/>
              <w:spacing w:after="0"/>
              <w:rPr>
                <w:sz w:val="20"/>
                <w:szCs w:val="20"/>
                <w:color w:val="auto"/>
              </w:rPr>
            </w:pPr>
            <w:r>
              <w:rPr>
                <w:rFonts w:ascii="Arial" w:cs="Arial" w:eastAsia="Arial" w:hAnsi="Arial"/>
                <w:sz w:val="22"/>
                <w:szCs w:val="22"/>
                <w:color w:val="auto"/>
              </w:rPr>
              <w:t>805 Broadway Street</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20" w:type="dxa"/>
            <w:vAlign w:val="bottom"/>
          </w:tcPr>
          <w:p>
            <w:pPr>
              <w:ind w:left="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60" w:type="dxa"/>
            <w:vAlign w:val="bottom"/>
          </w:tcPr>
          <w:p>
            <w:pPr>
              <w:spacing w:after="0"/>
              <w:rPr>
                <w:sz w:val="21"/>
                <w:szCs w:val="21"/>
                <w:color w:val="auto"/>
              </w:rPr>
            </w:pPr>
          </w:p>
        </w:tc>
        <w:tc>
          <w:tcPr>
            <w:tcW w:w="4220" w:type="dxa"/>
            <w:vAlign w:val="bottom"/>
          </w:tcPr>
          <w:p>
            <w:pPr>
              <w:ind w:left="320"/>
              <w:spacing w:after="0" w:line="243" w:lineRule="exact"/>
              <w:rPr>
                <w:sz w:val="20"/>
                <w:szCs w:val="20"/>
                <w:color w:val="auto"/>
              </w:rPr>
            </w:pPr>
            <w:r>
              <w:rPr>
                <w:rFonts w:ascii="Arial" w:cs="Arial" w:eastAsia="Arial" w:hAnsi="Arial"/>
                <w:sz w:val="22"/>
                <w:szCs w:val="22"/>
                <w:color w:val="auto"/>
              </w:rPr>
              <w:t>Vancouver</w:t>
            </w:r>
          </w:p>
        </w:tc>
      </w:tr>
      <w:tr>
        <w:trPr>
          <w:trHeight w:val="243"/>
        </w:trPr>
        <w:tc>
          <w:tcPr>
            <w:tcW w:w="3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4220" w:type="dxa"/>
            <w:vAlign w:val="bottom"/>
          </w:tcPr>
          <w:p>
            <w:pPr>
              <w:ind w:left="320"/>
              <w:spacing w:after="0" w:line="243" w:lineRule="exact"/>
              <w:rPr>
                <w:sz w:val="20"/>
                <w:szCs w:val="20"/>
                <w:color w:val="auto"/>
              </w:rPr>
            </w:pPr>
            <w:r>
              <w:rPr>
                <w:rFonts w:ascii="Arial" w:cs="Arial" w:eastAsia="Arial" w:hAnsi="Arial"/>
                <w:sz w:val="22"/>
                <w:szCs w:val="22"/>
                <w:color w:val="auto"/>
              </w:rPr>
              <w:t>WASHINGTON</w:t>
            </w:r>
          </w:p>
        </w:tc>
      </w:tr>
      <w:tr>
        <w:trPr>
          <w:trHeight w:val="274"/>
        </w:trPr>
        <w:tc>
          <w:tcPr>
            <w:tcW w:w="300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4220" w:type="dxa"/>
            <w:vAlign w:val="bottom"/>
          </w:tcPr>
          <w:p>
            <w:pPr>
              <w:ind w:left="320"/>
              <w:spacing w:after="0"/>
              <w:rPr>
                <w:sz w:val="20"/>
                <w:szCs w:val="20"/>
                <w:color w:val="auto"/>
              </w:rPr>
            </w:pPr>
            <w:r>
              <w:rPr>
                <w:rFonts w:ascii="Arial" w:cs="Arial" w:eastAsia="Arial" w:hAnsi="Arial"/>
                <w:sz w:val="22"/>
                <w:szCs w:val="22"/>
                <w:color w:val="auto"/>
              </w:rPr>
              <w:t>98660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6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22"/>
                <w:szCs w:val="22"/>
                <w:color w:val="auto"/>
              </w:rPr>
              <w:t>800-914-1220</w:t>
            </w:r>
          </w:p>
        </w:tc>
      </w:tr>
      <w:tr>
        <w:trPr>
          <w:trHeight w:val="297"/>
        </w:trPr>
        <w:tc>
          <w:tcPr>
            <w:tcW w:w="606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4220" w:type="dxa"/>
            <w:vAlign w:val="bottom"/>
          </w:tcPr>
          <w:p>
            <w:pPr>
              <w:ind w:left="320"/>
              <w:spacing w:after="0"/>
              <w:rPr>
                <w:sz w:val="20"/>
                <w:szCs w:val="20"/>
                <w:color w:val="auto"/>
              </w:rPr>
            </w:pPr>
            <w:r>
              <w:rPr>
                <w:rFonts w:ascii="Arial" w:cs="Arial" w:eastAsia="Arial" w:hAnsi="Arial"/>
                <w:sz w:val="22"/>
                <w:szCs w:val="22"/>
                <w:color w:val="auto"/>
                <w:w w:val="89"/>
              </w:rPr>
              <w:t>Carlyle Partners VI Evergreen Holdings,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w w:val="98"/>
              </w:rPr>
              <w:t>Class A Common Stock</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379031</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9911660.65</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402328690</w:t>
            </w:r>
          </w:p>
        </w:tc>
        <w:tc>
          <w:tcPr>
            <w:tcW w:w="1280" w:type="dxa"/>
            <w:vAlign w:val="bottom"/>
          </w:tcPr>
          <w:p>
            <w:pPr>
              <w:ind w:left="40"/>
              <w:spacing w:after="0"/>
              <w:rPr>
                <w:sz w:val="20"/>
                <w:szCs w:val="20"/>
                <w:color w:val="auto"/>
              </w:rPr>
            </w:pPr>
            <w:r>
              <w:rPr>
                <w:rFonts w:ascii="Arial" w:cs="Arial" w:eastAsia="Arial" w:hAnsi="Arial"/>
                <w:sz w:val="22"/>
                <w:szCs w:val="22"/>
                <w:color w:val="auto"/>
              </w:rPr>
              <w:t>06/07/2023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20" w:val="left"/>
          <w:tab w:leader="none" w:pos="7340" w:val="left"/>
          <w:tab w:leader="none" w:pos="868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740" w:type="dxa"/>
            <w:vAlign w:val="bottom"/>
          </w:tcPr>
          <w:p>
            <w:pPr>
              <w:ind w:left="1400"/>
              <w:spacing w:after="0"/>
              <w:rPr>
                <w:sz w:val="20"/>
                <w:szCs w:val="20"/>
                <w:color w:val="auto"/>
              </w:rPr>
            </w:pPr>
            <w:r>
              <w:rPr>
                <w:rFonts w:ascii="Arial" w:cs="Arial" w:eastAsia="Arial" w:hAnsi="Arial"/>
                <w:sz w:val="22"/>
                <w:szCs w:val="22"/>
                <w:b w:val="1"/>
                <w:bCs w:val="1"/>
                <w:color w:val="auto"/>
              </w:rPr>
              <w:t>Transaction</w:t>
            </w: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78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78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2740" w:type="dxa"/>
            <w:vAlign w:val="bottom"/>
          </w:tcPr>
          <w:p>
            <w:pPr>
              <w:ind w:left="1120"/>
              <w:spacing w:after="0"/>
              <w:rPr>
                <w:sz w:val="20"/>
                <w:szCs w:val="20"/>
                <w:color w:val="auto"/>
              </w:rPr>
            </w:pPr>
            <w:r>
              <w:rPr>
                <w:rFonts w:ascii="Arial" w:cs="Arial" w:eastAsia="Arial" w:hAnsi="Arial"/>
                <w:sz w:val="22"/>
                <w:szCs w:val="22"/>
                <w:color w:val="auto"/>
              </w:rPr>
              <w:t>Acquired upon</w:t>
            </w:r>
          </w:p>
        </w:tc>
        <w:tc>
          <w:tcPr>
            <w:tcW w:w="14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20"/>
              <w:spacing w:after="0" w:line="243" w:lineRule="exact"/>
              <w:rPr>
                <w:sz w:val="20"/>
                <w:szCs w:val="20"/>
                <w:color w:val="auto"/>
              </w:rPr>
            </w:pPr>
            <w:r>
              <w:rPr>
                <w:rFonts w:ascii="Arial" w:cs="Arial" w:eastAsia="Arial" w:hAnsi="Arial"/>
                <w:sz w:val="22"/>
                <w:szCs w:val="22"/>
                <w:color w:val="auto"/>
              </w:rPr>
              <w:t>conversion on a</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20"/>
              <w:spacing w:after="0" w:line="243" w:lineRule="exact"/>
              <w:rPr>
                <w:sz w:val="20"/>
                <w:szCs w:val="20"/>
                <w:color w:val="auto"/>
              </w:rPr>
            </w:pPr>
            <w:r>
              <w:rPr>
                <w:rFonts w:ascii="Arial" w:cs="Arial" w:eastAsia="Arial" w:hAnsi="Arial"/>
                <w:sz w:val="22"/>
                <w:szCs w:val="22"/>
                <w:color w:val="auto"/>
                <w:w w:val="97"/>
              </w:rPr>
              <w:t>one-to-one basis</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Acquired</w:t>
            </w: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1420" w:type="dxa"/>
            <w:vAlign w:val="bottom"/>
            <w:vMerge w:val="restart"/>
          </w:tcPr>
          <w:p>
            <w:pPr>
              <w:spacing w:after="0" w:line="210" w:lineRule="exact"/>
              <w:rPr>
                <w:sz w:val="20"/>
                <w:szCs w:val="20"/>
                <w:color w:val="auto"/>
              </w:rPr>
            </w:pPr>
            <w:r>
              <w:rPr>
                <w:rFonts w:ascii="Arial" w:cs="Arial" w:eastAsia="Arial" w:hAnsi="Arial"/>
                <w:sz w:val="22"/>
                <w:szCs w:val="22"/>
                <w:color w:val="auto"/>
              </w:rPr>
              <w:t>Class A</w:t>
            </w:r>
          </w:p>
        </w:tc>
        <w:tc>
          <w:tcPr>
            <w:tcW w:w="2740" w:type="dxa"/>
            <w:vAlign w:val="bottom"/>
            <w:vMerge w:val="restart"/>
          </w:tcPr>
          <w:p>
            <w:pPr>
              <w:ind w:left="1120"/>
              <w:spacing w:after="0" w:line="210" w:lineRule="exact"/>
              <w:rPr>
                <w:sz w:val="20"/>
                <w:szCs w:val="20"/>
                <w:color w:val="auto"/>
              </w:rPr>
            </w:pPr>
            <w:r>
              <w:rPr>
                <w:rFonts w:ascii="Arial" w:cs="Arial" w:eastAsia="Arial" w:hAnsi="Arial"/>
                <w:sz w:val="22"/>
                <w:szCs w:val="22"/>
                <w:color w:val="auto"/>
              </w:rPr>
              <w:t>for no additional</w:t>
            </w:r>
          </w:p>
        </w:tc>
        <w:tc>
          <w:tcPr>
            <w:tcW w:w="142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vMerge w:val="continue"/>
          </w:tcPr>
          <w:p>
            <w:pPr>
              <w:spacing w:after="0"/>
              <w:rPr>
                <w:sz w:val="5"/>
                <w:szCs w:val="5"/>
                <w:color w:val="auto"/>
              </w:rPr>
            </w:pPr>
          </w:p>
        </w:tc>
        <w:tc>
          <w:tcPr>
            <w:tcW w:w="274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w w:val="93"/>
              </w:rPr>
              <w:t>Common Stock</w:t>
            </w:r>
          </w:p>
        </w:tc>
        <w:tc>
          <w:tcPr>
            <w:tcW w:w="2740" w:type="dxa"/>
            <w:vAlign w:val="bottom"/>
          </w:tcPr>
          <w:p>
            <w:pPr>
              <w:ind w:left="80"/>
              <w:spacing w:after="0" w:line="243" w:lineRule="exact"/>
              <w:rPr>
                <w:sz w:val="20"/>
                <w:szCs w:val="20"/>
                <w:color w:val="auto"/>
              </w:rPr>
            </w:pPr>
            <w:r>
              <w:rPr>
                <w:rFonts w:ascii="Arial" w:cs="Arial" w:eastAsia="Arial" w:hAnsi="Arial"/>
                <w:sz w:val="28"/>
                <w:szCs w:val="28"/>
                <w:color w:val="auto"/>
                <w:vertAlign w:val="superscript"/>
              </w:rPr>
              <w:t>09/03/2021</w:t>
            </w:r>
            <w:r>
              <w:rPr>
                <w:rFonts w:ascii="Arial" w:cs="Arial" w:eastAsia="Arial" w:hAnsi="Arial"/>
                <w:sz w:val="16"/>
                <w:szCs w:val="16"/>
                <w:color w:val="auto"/>
              </w:rPr>
              <w:t xml:space="preserve"> consideration of</w:t>
            </w:r>
          </w:p>
        </w:tc>
        <w:tc>
          <w:tcPr>
            <w:tcW w:w="1420" w:type="dxa"/>
            <w:vAlign w:val="bottom"/>
          </w:tcPr>
          <w:p>
            <w:pPr>
              <w:ind w:left="100"/>
              <w:spacing w:after="0" w:line="243" w:lineRule="exact"/>
              <w:rPr>
                <w:sz w:val="20"/>
                <w:szCs w:val="20"/>
                <w:color w:val="auto"/>
              </w:rPr>
            </w:pPr>
            <w:r>
              <w:rPr>
                <w:rFonts w:ascii="Arial" w:cs="Arial" w:eastAsia="Arial" w:hAnsi="Arial"/>
                <w:sz w:val="22"/>
                <w:szCs w:val="22"/>
                <w:color w:val="auto"/>
              </w:rPr>
              <w:t>directly from</w:t>
            </w:r>
          </w:p>
        </w:tc>
        <w:tc>
          <w:tcPr>
            <w:tcW w:w="2780" w:type="dxa"/>
            <w:vAlign w:val="bottom"/>
          </w:tcPr>
          <w:p>
            <w:pPr>
              <w:jc w:val="right"/>
              <w:ind w:right="192"/>
              <w:spacing w:after="0" w:line="243" w:lineRule="exact"/>
              <w:rPr>
                <w:sz w:val="20"/>
                <w:szCs w:val="20"/>
                <w:color w:val="auto"/>
              </w:rPr>
            </w:pPr>
            <w:r>
              <w:rPr>
                <w:rFonts w:ascii="Arial" w:cs="Arial" w:eastAsia="Arial" w:hAnsi="Arial"/>
                <w:sz w:val="22"/>
                <w:szCs w:val="22"/>
                <w:color w:val="auto"/>
              </w:rPr>
              <w:t>33780781</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w w:val="85"/>
              </w:rPr>
              <w:t>03/31/2018 Cash purchase</w:t>
            </w:r>
          </w:p>
        </w:tc>
        <w:tc>
          <w:tcPr>
            <w:tcW w:w="0" w:type="dxa"/>
            <w:vAlign w:val="bottom"/>
          </w:tcPr>
          <w:p>
            <w:pPr>
              <w:spacing w:after="0"/>
              <w:rPr>
                <w:sz w:val="1"/>
                <w:szCs w:val="1"/>
                <w:color w:val="auto"/>
              </w:rPr>
            </w:pPr>
          </w:p>
        </w:tc>
      </w:tr>
      <w:tr>
        <w:trPr>
          <w:trHeight w:val="276"/>
        </w:trPr>
        <w:tc>
          <w:tcPr>
            <w:tcW w:w="1420" w:type="dxa"/>
            <w:vAlign w:val="bottom"/>
          </w:tcPr>
          <w:p>
            <w:pPr>
              <w:spacing w:after="0"/>
              <w:rPr>
                <w:sz w:val="23"/>
                <w:szCs w:val="23"/>
                <w:color w:val="auto"/>
              </w:rPr>
            </w:pPr>
          </w:p>
        </w:tc>
        <w:tc>
          <w:tcPr>
            <w:tcW w:w="2740" w:type="dxa"/>
            <w:vAlign w:val="bottom"/>
          </w:tcPr>
          <w:p>
            <w:pPr>
              <w:ind w:left="1120"/>
              <w:spacing w:after="0"/>
              <w:rPr>
                <w:sz w:val="20"/>
                <w:szCs w:val="20"/>
                <w:color w:val="auto"/>
              </w:rPr>
            </w:pPr>
            <w:r>
              <w:rPr>
                <w:rFonts w:ascii="Arial" w:cs="Arial" w:eastAsia="Arial" w:hAnsi="Arial"/>
                <w:sz w:val="22"/>
                <w:szCs w:val="22"/>
                <w:color w:val="auto"/>
                <w:w w:val="92"/>
              </w:rPr>
              <w:t>membership units</w:t>
            </w:r>
          </w:p>
        </w:tc>
        <w:tc>
          <w:tcPr>
            <w:tcW w:w="1420" w:type="dxa"/>
            <w:vAlign w:val="bottom"/>
          </w:tcPr>
          <w:p>
            <w:pPr>
              <w:ind w:left="100"/>
              <w:spacing w:after="0"/>
              <w:rPr>
                <w:sz w:val="20"/>
                <w:szCs w:val="20"/>
                <w:color w:val="auto"/>
              </w:rPr>
            </w:pPr>
            <w:r>
              <w:rPr>
                <w:rFonts w:ascii="Arial" w:cs="Arial" w:eastAsia="Arial" w:hAnsi="Arial"/>
                <w:sz w:val="22"/>
                <w:szCs w:val="22"/>
                <w:color w:val="auto"/>
              </w:rPr>
              <w:t>issuer</w:t>
            </w: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40" w:type="dxa"/>
            <w:vAlign w:val="bottom"/>
          </w:tcPr>
          <w:p>
            <w:pPr>
              <w:ind w:left="1120"/>
              <w:spacing w:after="0" w:line="243" w:lineRule="exact"/>
              <w:rPr>
                <w:sz w:val="20"/>
                <w:szCs w:val="20"/>
                <w:color w:val="auto"/>
              </w:rPr>
            </w:pPr>
            <w:r>
              <w:rPr>
                <w:rFonts w:ascii="Arial" w:cs="Arial" w:eastAsia="Arial" w:hAnsi="Arial"/>
                <w:sz w:val="22"/>
                <w:szCs w:val="22"/>
                <w:color w:val="auto"/>
              </w:rPr>
              <w:t>of ZoomInfo</w:t>
            </w:r>
          </w:p>
        </w:tc>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740" w:type="dxa"/>
            <w:vAlign w:val="bottom"/>
          </w:tcPr>
          <w:p>
            <w:pPr>
              <w:ind w:left="1120"/>
              <w:spacing w:after="0"/>
              <w:rPr>
                <w:sz w:val="20"/>
                <w:szCs w:val="20"/>
                <w:color w:val="auto"/>
              </w:rPr>
            </w:pPr>
            <w:r>
              <w:rPr>
                <w:rFonts w:ascii="Arial" w:cs="Arial" w:eastAsia="Arial" w:hAnsi="Arial"/>
                <w:sz w:val="22"/>
                <w:szCs w:val="22"/>
                <w:color w:val="auto"/>
              </w:rPr>
              <w:t>Holdings LLC.</w:t>
            </w:r>
          </w:p>
        </w:tc>
        <w:tc>
          <w:tcPr>
            <w:tcW w:w="14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-683260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Plan Adoption or Giving of Instruction, If Relying on Rule 10b5-1</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This Form 144 is being filed to supplement the Form 144 filed by the Reporting Person on June 7, 2023 solely to increase the number of shares eligible to be sold during the original three month period by 379,031 additional shares.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06/12/2023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08/04/2021</w:t>
      </w:r>
    </w:p>
    <w:p>
      <w:pPr>
        <w:spacing w:after="0" w:line="740" w:lineRule="exact"/>
        <w:rPr>
          <w:sz w:val="20"/>
          <w:szCs w:val="20"/>
          <w:color w:val="auto"/>
        </w:rPr>
      </w:pPr>
    </w:p>
    <w:p>
      <w:pPr>
        <w:sectPr>
          <w:pgSz w:w="11900" w:h="16838" w:orient="portrait"/>
          <w:cols w:equalWidth="0" w:num="2">
            <w:col w:w="3100" w:space="120"/>
            <w:col w:w="802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420" w:type="dxa"/>
            <w:vAlign w:val="bottom"/>
          </w:tcPr>
          <w:p>
            <w:pPr>
              <w:ind w:left="1160"/>
              <w:spacing w:after="0" w:line="246" w:lineRule="exact"/>
              <w:rPr>
                <w:sz w:val="20"/>
                <w:szCs w:val="20"/>
                <w:color w:val="auto"/>
              </w:rPr>
            </w:pPr>
            <w:r>
              <w:rPr>
                <w:rFonts w:ascii="Arial" w:cs="Arial" w:eastAsia="Arial" w:hAnsi="Arial"/>
                <w:sz w:val="22"/>
                <w:szCs w:val="22"/>
                <w:color w:val="auto"/>
                <w:w w:val="89"/>
              </w:rPr>
              <w:t>Carlyle Partners VI Evergreen Holdings, L.P., By: TC Group VI S1, L.P., its general</w:t>
            </w:r>
          </w:p>
        </w:tc>
        <w:tc>
          <w:tcPr>
            <w:tcW w:w="0" w:type="dxa"/>
            <w:vAlign w:val="bottom"/>
          </w:tcPr>
          <w:p>
            <w:pPr>
              <w:spacing w:after="0"/>
              <w:rPr>
                <w:sz w:val="1"/>
                <w:szCs w:val="1"/>
                <w:color w:val="auto"/>
              </w:rPr>
            </w:pPr>
          </w:p>
        </w:tc>
      </w:tr>
      <w:tr>
        <w:trPr>
          <w:trHeight w:val="153"/>
        </w:trPr>
        <w:tc>
          <w:tcPr>
            <w:tcW w:w="2020" w:type="dxa"/>
            <w:vAlign w:val="bottom"/>
            <w:vMerge w:val="continue"/>
          </w:tcPr>
          <w:p>
            <w:pPr>
              <w:spacing w:after="0"/>
              <w:rPr>
                <w:sz w:val="13"/>
                <w:szCs w:val="13"/>
                <w:color w:val="auto"/>
              </w:rPr>
            </w:pPr>
          </w:p>
        </w:tc>
        <w:tc>
          <w:tcPr>
            <w:tcW w:w="8420" w:type="dxa"/>
            <w:vAlign w:val="bottom"/>
            <w:vMerge w:val="restart"/>
          </w:tcPr>
          <w:p>
            <w:pPr>
              <w:ind w:left="1160"/>
              <w:spacing w:after="0"/>
              <w:rPr>
                <w:sz w:val="20"/>
                <w:szCs w:val="20"/>
                <w:color w:val="auto"/>
              </w:rPr>
            </w:pPr>
            <w:r>
              <w:rPr>
                <w:rFonts w:ascii="Arial" w:cs="Arial" w:eastAsia="Arial" w:hAnsi="Arial"/>
                <w:sz w:val="22"/>
                <w:szCs w:val="22"/>
                <w:color w:val="auto"/>
              </w:rPr>
              <w:t>partner, By: /s/ Jeremy W. Anderson, Authorized Person</w:t>
            </w:r>
          </w:p>
        </w:tc>
        <w:tc>
          <w:tcPr>
            <w:tcW w:w="0" w:type="dxa"/>
            <w:vAlign w:val="bottom"/>
          </w:tcPr>
          <w:p>
            <w:pPr>
              <w:spacing w:after="0"/>
              <w:rPr>
                <w:sz w:val="1"/>
                <w:szCs w:val="1"/>
                <w:color w:val="auto"/>
              </w:rPr>
            </w:pPr>
          </w:p>
        </w:tc>
      </w:tr>
      <w:tr>
        <w:trPr>
          <w:trHeight w:val="121"/>
        </w:trPr>
        <w:tc>
          <w:tcPr>
            <w:tcW w:w="2020" w:type="dxa"/>
            <w:vAlign w:val="bottom"/>
          </w:tcPr>
          <w:p>
            <w:pPr>
              <w:spacing w:after="0"/>
              <w:rPr>
                <w:sz w:val="10"/>
                <w:szCs w:val="10"/>
                <w:color w:val="auto"/>
              </w:rPr>
            </w:pPr>
          </w:p>
        </w:tc>
        <w:tc>
          <w:tcPr>
            <w:tcW w:w="8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2023-06-12T17:27:51Z</dcterms:created>
  <dcterms:modified xsi:type="dcterms:W3CDTF">2023-06-12T17:27:51Z</dcterms:modified>
</cp:coreProperties>
</file>