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6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3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6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-594360</wp:posOffset>
            </wp:positionV>
            <wp:extent cx="8255" cy="594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99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-602615</wp:posOffset>
            </wp:positionV>
            <wp:extent cx="825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-578485</wp:posOffset>
            </wp:positionV>
            <wp:extent cx="1270000" cy="554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49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-1649730</wp:posOffset>
            </wp:positionH>
            <wp:positionV relativeFrom="paragraph">
              <wp:posOffset>26035</wp:posOffset>
            </wp:positionV>
            <wp:extent cx="6970395" cy="171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712595"/>
                    </a:xfrm>
                    <a:prstGeom prst="rect">
                      <a:avLst/>
                    </a:prstGeom>
                    <a:noFill/>
                  </pic:spPr>
                </pic:pic>
              </a:graphicData>
            </a:graphic>
          </wp:anchor>
        </w:drawing>
      </w:r>
    </w:p>
    <w:p>
      <w:pPr>
        <w:spacing w:after="0" w:line="27"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8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660" w:type="dxa"/>
            <w:vAlign w:val="bottom"/>
            <w:gridSpan w:val="3"/>
          </w:tcPr>
          <w:p>
            <w:pPr>
              <w:ind w:left="60"/>
              <w:spacing w:after="0"/>
              <w:rPr>
                <w:sz w:val="20"/>
                <w:szCs w:val="20"/>
                <w:color w:val="auto"/>
              </w:rPr>
            </w:pPr>
            <w:r>
              <w:rPr>
                <w:rFonts w:ascii="Arial" w:cs="Arial" w:eastAsia="Arial" w:hAnsi="Arial"/>
                <w:sz w:val="13"/>
                <w:szCs w:val="13"/>
                <w:color w:val="auto"/>
                <w:w w:val="97"/>
              </w:rPr>
              <w:t xml:space="preserve">2. Issuer Name </w:t>
            </w:r>
            <w:r>
              <w:rPr>
                <w:rFonts w:ascii="Arial" w:cs="Arial" w:eastAsia="Arial" w:hAnsi="Arial"/>
                <w:sz w:val="13"/>
                <w:szCs w:val="13"/>
                <w:b w:val="1"/>
                <w:bCs w:val="1"/>
                <w:color w:val="auto"/>
                <w:w w:val="97"/>
              </w:rPr>
              <w:t>and</w:t>
            </w:r>
            <w:r>
              <w:rPr>
                <w:rFonts w:ascii="Arial" w:cs="Arial" w:eastAsia="Arial" w:hAnsi="Arial"/>
                <w:sz w:val="13"/>
                <w:szCs w:val="13"/>
                <w:color w:val="auto"/>
                <w:w w:val="97"/>
              </w:rPr>
              <w:t xml:space="preserve"> Ticker or Trading Symbol</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32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vMerge w:val="restart"/>
          </w:tcPr>
          <w:p>
            <w:pPr>
              <w:ind w:left="20"/>
              <w:spacing w:after="0"/>
              <w:rPr>
                <w:rFonts w:ascii="Arial" w:cs="Arial" w:eastAsia="Arial" w:hAnsi="Arial"/>
                <w:sz w:val="20"/>
                <w:szCs w:val="20"/>
                <w:u w:val="single" w:color="auto"/>
                <w:color w:val="0000EE"/>
                <w:w w:val="92"/>
              </w:rPr>
            </w:pPr>
            <w:hyperlink r:id="rId13">
              <w:r>
                <w:rPr>
                  <w:rFonts w:ascii="Arial" w:cs="Arial" w:eastAsia="Arial" w:hAnsi="Arial"/>
                  <w:sz w:val="20"/>
                  <w:szCs w:val="20"/>
                  <w:u w:val="single" w:color="auto"/>
                  <w:color w:val="0000EE"/>
                  <w:w w:val="92"/>
                </w:rPr>
                <w:t>Crockett Todd</w:t>
              </w:r>
            </w:hyperlink>
          </w:p>
        </w:tc>
        <w:tc>
          <w:tcPr>
            <w:tcW w:w="7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00" w:type="dxa"/>
            <w:vAlign w:val="bottom"/>
            <w:gridSpan w:val="4"/>
          </w:tcPr>
          <w:p>
            <w:pPr>
              <w:ind w:left="60"/>
              <w:spacing w:after="0" w:line="102"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ZoomInfo Technologies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ind w:left="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820" w:type="dxa"/>
            <w:vAlign w:val="bottom"/>
          </w:tcPr>
          <w:p>
            <w:pPr>
              <w:spacing w:after="0"/>
              <w:rPr>
                <w:sz w:val="12"/>
                <w:szCs w:val="12"/>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940" w:type="dxa"/>
            <w:vAlign w:val="bottom"/>
            <w:gridSpan w:val="2"/>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7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100" w:type="dxa"/>
            <w:vAlign w:val="bottom"/>
            <w:gridSpan w:val="4"/>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740" w:type="dxa"/>
            <w:vAlign w:val="bottom"/>
          </w:tcPr>
          <w:p>
            <w:pPr>
              <w:ind w:left="40"/>
              <w:spacing w:after="0"/>
              <w:rPr>
                <w:sz w:val="20"/>
                <w:szCs w:val="20"/>
                <w:color w:val="auto"/>
              </w:rPr>
            </w:pPr>
            <w:r>
              <w:rPr>
                <w:rFonts w:ascii="Arial" w:cs="Arial" w:eastAsia="Arial" w:hAnsi="Arial"/>
                <w:sz w:val="13"/>
                <w:szCs w:val="13"/>
                <w:color w:val="auto"/>
              </w:rPr>
              <w:t>(First)</w:t>
            </w:r>
          </w:p>
        </w:tc>
        <w:tc>
          <w:tcPr>
            <w:tcW w:w="1800" w:type="dxa"/>
            <w:vAlign w:val="bottom"/>
            <w:gridSpan w:val="2"/>
          </w:tcPr>
          <w:p>
            <w:pPr>
              <w:ind w:left="520"/>
              <w:spacing w:after="0"/>
              <w:rPr>
                <w:sz w:val="20"/>
                <w:szCs w:val="20"/>
                <w:color w:val="auto"/>
              </w:rPr>
            </w:pPr>
            <w:r>
              <w:rPr>
                <w:rFonts w:ascii="Arial" w:cs="Arial" w:eastAsia="Arial" w:hAnsi="Arial"/>
                <w:sz w:val="13"/>
                <w:szCs w:val="13"/>
                <w:color w:val="auto"/>
              </w:rPr>
              <w:t>(Middle)</w:t>
            </w:r>
          </w:p>
        </w:tc>
        <w:tc>
          <w:tcPr>
            <w:tcW w:w="3100" w:type="dxa"/>
            <w:vAlign w:val="bottom"/>
            <w:gridSpan w:val="4"/>
            <w:vMerge w:val="continue"/>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ind w:left="380"/>
              <w:spacing w:after="0"/>
              <w:rPr>
                <w:sz w:val="20"/>
                <w:szCs w:val="20"/>
                <w:color w:val="auto"/>
              </w:rPr>
            </w:pPr>
            <w:r>
              <w:rPr>
                <w:rFonts w:ascii="Arial" w:cs="Arial" w:eastAsia="Arial" w:hAnsi="Arial"/>
                <w:sz w:val="13"/>
                <w:szCs w:val="13"/>
                <w:color w:val="auto"/>
              </w:rPr>
              <w:t>below)</w:t>
            </w:r>
          </w:p>
        </w:tc>
        <w:tc>
          <w:tcPr>
            <w:tcW w:w="8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40" w:type="dxa"/>
            <w:vAlign w:val="bottom"/>
            <w:gridSpan w:val="4"/>
            <w:vMerge w:val="restart"/>
          </w:tcPr>
          <w:p>
            <w:pPr>
              <w:ind w:left="20"/>
              <w:spacing w:after="0"/>
              <w:rPr>
                <w:sz w:val="20"/>
                <w:szCs w:val="20"/>
                <w:color w:val="auto"/>
              </w:rPr>
            </w:pPr>
            <w:r>
              <w:rPr>
                <w:rFonts w:ascii="Arial" w:cs="Arial" w:eastAsia="Arial" w:hAnsi="Arial"/>
                <w:sz w:val="16"/>
                <w:szCs w:val="16"/>
                <w:color w:val="0000FF"/>
              </w:rPr>
              <w:t>C/O ZOOMINFO TECHNOLOGIES, INC</w:t>
            </w:r>
          </w:p>
        </w:tc>
        <w:tc>
          <w:tcPr>
            <w:tcW w:w="1120" w:type="dxa"/>
            <w:vAlign w:val="bottom"/>
          </w:tcPr>
          <w:p>
            <w:pPr>
              <w:ind w:left="60"/>
              <w:spacing w:after="0"/>
              <w:rPr>
                <w:sz w:val="20"/>
                <w:szCs w:val="20"/>
                <w:color w:val="auto"/>
              </w:rPr>
            </w:pPr>
            <w:r>
              <w:rPr>
                <w:rFonts w:ascii="Arial" w:cs="Arial" w:eastAsia="Arial" w:hAnsi="Arial"/>
                <w:sz w:val="16"/>
                <w:szCs w:val="16"/>
                <w:color w:val="0000FF"/>
              </w:rPr>
              <w:t>02/12/2021</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4"/>
            <w:vMerge w:val="continue"/>
          </w:tcPr>
          <w:p>
            <w:pPr>
              <w:spacing w:after="0"/>
              <w:rPr>
                <w:sz w:val="8"/>
                <w:szCs w:val="8"/>
                <w:color w:val="auto"/>
              </w:rPr>
            </w:pPr>
          </w:p>
        </w:tc>
        <w:tc>
          <w:tcPr>
            <w:tcW w:w="1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4"/>
            <w:vMerge w:val="restart"/>
          </w:tcPr>
          <w:p>
            <w:pPr>
              <w:ind w:left="20"/>
              <w:spacing w:after="0"/>
              <w:rPr>
                <w:sz w:val="20"/>
                <w:szCs w:val="20"/>
                <w:color w:val="auto"/>
              </w:rPr>
            </w:pPr>
            <w:r>
              <w:rPr>
                <w:rFonts w:ascii="Arial" w:cs="Arial" w:eastAsia="Arial" w:hAnsi="Arial"/>
                <w:sz w:val="16"/>
                <w:szCs w:val="16"/>
                <w:color w:val="0000FF"/>
              </w:rPr>
              <w:t>805 BROADWAY STREET, SUITE 900</w:t>
            </w:r>
          </w:p>
        </w:tc>
        <w:tc>
          <w:tcPr>
            <w:tcW w:w="11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4"/>
            <w:vMerge w:val="continue"/>
          </w:tcPr>
          <w:p>
            <w:pPr>
              <w:spacing w:after="0"/>
              <w:rPr>
                <w:sz w:val="8"/>
                <w:szCs w:val="8"/>
                <w:color w:val="auto"/>
              </w:rPr>
            </w:pPr>
          </w:p>
        </w:tc>
        <w:tc>
          <w:tcPr>
            <w:tcW w:w="3820" w:type="dxa"/>
            <w:vAlign w:val="bottom"/>
            <w:gridSpan w:val="5"/>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5"/>
            <w:vMerge w:val="continue"/>
          </w:tcPr>
          <w:p>
            <w:pPr>
              <w:spacing w:after="0"/>
              <w:rPr>
                <w:sz w:val="7"/>
                <w:szCs w:val="7"/>
                <w:color w:val="auto"/>
              </w:rPr>
            </w:pPr>
          </w:p>
        </w:tc>
        <w:tc>
          <w:tcPr>
            <w:tcW w:w="332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170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4"/>
          </w:tcPr>
          <w:p>
            <w:pPr>
              <w:ind w:left="4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Arial" w:cs="Arial" w:eastAsia="Arial" w:hAnsi="Arial"/>
                <w:sz w:val="16"/>
                <w:szCs w:val="16"/>
                <w:color w:val="0000FF"/>
              </w:rPr>
              <w:t>VANCOUVER</w:t>
            </w:r>
          </w:p>
        </w:tc>
        <w:tc>
          <w:tcPr>
            <w:tcW w:w="740" w:type="dxa"/>
            <w:vAlign w:val="bottom"/>
          </w:tcPr>
          <w:p>
            <w:pPr>
              <w:ind w:left="40"/>
              <w:spacing w:after="0"/>
              <w:rPr>
                <w:sz w:val="20"/>
                <w:szCs w:val="20"/>
                <w:color w:val="auto"/>
              </w:rPr>
            </w:pPr>
            <w:r>
              <w:rPr>
                <w:rFonts w:ascii="Arial" w:cs="Arial" w:eastAsia="Arial" w:hAnsi="Arial"/>
                <w:sz w:val="16"/>
                <w:szCs w:val="16"/>
                <w:color w:val="0000FF"/>
              </w:rPr>
              <w:t>WA</w:t>
            </w:r>
          </w:p>
        </w:tc>
        <w:tc>
          <w:tcPr>
            <w:tcW w:w="1700" w:type="dxa"/>
            <w:vAlign w:val="bottom"/>
          </w:tcPr>
          <w:p>
            <w:pPr>
              <w:ind w:left="520"/>
              <w:spacing w:after="0"/>
              <w:rPr>
                <w:sz w:val="20"/>
                <w:szCs w:val="20"/>
                <w:color w:val="auto"/>
              </w:rPr>
            </w:pPr>
            <w:r>
              <w:rPr>
                <w:rFonts w:ascii="Arial" w:cs="Arial" w:eastAsia="Arial" w:hAnsi="Arial"/>
                <w:sz w:val="16"/>
                <w:szCs w:val="16"/>
                <w:color w:val="0000FF"/>
              </w:rPr>
              <w:t>98660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00" w:type="dxa"/>
            <w:vAlign w:val="bottom"/>
            <w:gridSpan w:val="4"/>
          </w:tcPr>
          <w:p>
            <w:pPr>
              <w:ind w:left="38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ind w:left="380"/>
              <w:spacing w:after="0" w:line="128" w:lineRule="exact"/>
              <w:rPr>
                <w:sz w:val="20"/>
                <w:szCs w:val="20"/>
                <w:color w:val="auto"/>
              </w:rPr>
            </w:pPr>
            <w:r>
              <w:rPr>
                <w:rFonts w:ascii="Arial" w:cs="Arial" w:eastAsia="Arial" w:hAnsi="Arial"/>
                <w:sz w:val="13"/>
                <w:szCs w:val="13"/>
                <w:color w:val="auto"/>
              </w:rPr>
              <w:t>Person</w:t>
            </w: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740" w:type="dxa"/>
            <w:vAlign w:val="bottom"/>
          </w:tcPr>
          <w:p>
            <w:pPr>
              <w:ind w:left="40"/>
              <w:spacing w:after="0"/>
              <w:rPr>
                <w:sz w:val="20"/>
                <w:szCs w:val="20"/>
                <w:color w:val="auto"/>
              </w:rPr>
            </w:pPr>
            <w:r>
              <w:rPr>
                <w:rFonts w:ascii="Arial" w:cs="Arial" w:eastAsia="Arial" w:hAnsi="Arial"/>
                <w:sz w:val="13"/>
                <w:szCs w:val="13"/>
                <w:color w:val="auto"/>
              </w:rPr>
              <w:t>(State)</w:t>
            </w:r>
          </w:p>
        </w:tc>
        <w:tc>
          <w:tcPr>
            <w:tcW w:w="1800" w:type="dxa"/>
            <w:vAlign w:val="bottom"/>
            <w:gridSpan w:val="2"/>
          </w:tcPr>
          <w:p>
            <w:pPr>
              <w:ind w:left="52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5260" w:type="dxa"/>
            <w:vAlign w:val="bottom"/>
            <w:tcBorders>
              <w:bottom w:val="single" w:sz="8" w:color="2C2C2C"/>
            </w:tcBorders>
            <w:gridSpan w:val="8"/>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20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960" w:type="dxa"/>
            <w:vAlign w:val="bottom"/>
            <w:tcBorders>
              <w:top w:val="single" w:sz="8" w:color="2C2C2C"/>
            </w:tcBorders>
            <w:gridSpan w:val="9"/>
          </w:tcPr>
          <w:p>
            <w:pPr>
              <w:ind w:left="3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2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2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220" w:type="dxa"/>
            <w:vAlign w:val="bottom"/>
          </w:tcPr>
          <w:p>
            <w:pPr>
              <w:spacing w:after="0"/>
              <w:rPr>
                <w:sz w:val="10"/>
                <w:szCs w:val="10"/>
                <w:color w:val="auto"/>
              </w:rPr>
            </w:pPr>
          </w:p>
        </w:tc>
        <w:tc>
          <w:tcPr>
            <w:tcW w:w="11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 Direct</w:t>
            </w:r>
          </w:p>
        </w:tc>
        <w:tc>
          <w:tcPr>
            <w:tcW w:w="116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0" w:type="dxa"/>
            <w:vAlign w:val="bottom"/>
            <w:gridSpan w:val="2"/>
          </w:tcPr>
          <w:p>
            <w:pPr>
              <w:jc w:val="center"/>
              <w:ind w:left="742"/>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(D) or Indirect</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820" w:type="dxa"/>
            <w:vAlign w:val="bottom"/>
          </w:tcPr>
          <w:p>
            <w:pPr>
              <w:spacing w:after="0"/>
              <w:rPr>
                <w:sz w:val="6"/>
                <w:szCs w:val="6"/>
                <w:color w:val="auto"/>
              </w:rPr>
            </w:pPr>
          </w:p>
        </w:tc>
        <w:tc>
          <w:tcPr>
            <w:tcW w:w="11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22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45,336</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8"/>
              </w:rPr>
              <w:t>(1)</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45,336</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(2)(3)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1,171</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8"/>
              </w:rPr>
              <w:t>(1)</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1,171</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(3)(4)</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7,830</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8"/>
              </w:rPr>
              <w:t>(1)</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7,830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(3)(5)</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1,684</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8"/>
              </w:rPr>
              <w:t>(1)</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1,684</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(3)(6)</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56</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8"/>
              </w:rPr>
              <w:t>(1)</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56</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(3)(7)</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2,965</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8"/>
              </w:rPr>
              <w:t>(1)</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2,965</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(3)(8)</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2,660</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8"/>
              </w:rPr>
              <w:t>(1)</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2,660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(3)(9)</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224</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1"/>
              </w:rPr>
              <w:t>(10)</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224</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86"/>
              </w:rPr>
              <w:t>Footnotes</w:t>
            </w:r>
            <w:r>
              <w:rPr>
                <w:rFonts w:ascii="Arial" w:cs="Arial" w:eastAsia="Arial" w:hAnsi="Arial"/>
                <w:sz w:val="21"/>
                <w:szCs w:val="21"/>
                <w:color w:val="008000"/>
                <w:w w:val="86"/>
                <w:vertAlign w:val="superscript"/>
              </w:rPr>
              <w:t>(3)(11)</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11,859</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1"/>
              </w:rPr>
              <w:t>(10)</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11,859</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86"/>
              </w:rPr>
              <w:t>Footnotes</w:t>
            </w:r>
            <w:r>
              <w:rPr>
                <w:rFonts w:ascii="Arial" w:cs="Arial" w:eastAsia="Arial" w:hAnsi="Arial"/>
                <w:sz w:val="21"/>
                <w:szCs w:val="21"/>
                <w:color w:val="008000"/>
                <w:w w:val="86"/>
                <w:vertAlign w:val="superscript"/>
              </w:rPr>
              <w:t>(3)(12)</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302"/>
              <w:spacing w:after="0"/>
              <w:rPr>
                <w:sz w:val="20"/>
                <w:szCs w:val="20"/>
                <w:color w:val="auto"/>
              </w:rPr>
            </w:pPr>
            <w:r>
              <w:rPr>
                <w:rFonts w:ascii="Arial" w:cs="Arial" w:eastAsia="Arial" w:hAnsi="Arial"/>
                <w:sz w:val="13"/>
                <w:szCs w:val="13"/>
                <w:color w:val="0000FF"/>
                <w:w w:val="84"/>
              </w:rPr>
              <w:t>C</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10,640</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73"/>
              <w:spacing w:after="0"/>
              <w:rPr>
                <w:sz w:val="20"/>
                <w:szCs w:val="20"/>
                <w:color w:val="auto"/>
              </w:rPr>
            </w:pPr>
            <w:r>
              <w:rPr>
                <w:rFonts w:ascii="Arial" w:cs="Arial" w:eastAsia="Arial" w:hAnsi="Arial"/>
                <w:sz w:val="11"/>
                <w:szCs w:val="11"/>
                <w:color w:val="008000"/>
                <w:w w:val="81"/>
              </w:rPr>
              <w:t>(10)</w:t>
            </w:r>
          </w:p>
        </w:tc>
        <w:tc>
          <w:tcPr>
            <w:tcW w:w="22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10,640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86"/>
              </w:rPr>
              <w:t>Footnotes</w:t>
            </w:r>
            <w:r>
              <w:rPr>
                <w:rFonts w:ascii="Arial" w:cs="Arial" w:eastAsia="Arial" w:hAnsi="Arial"/>
                <w:sz w:val="21"/>
                <w:szCs w:val="21"/>
                <w:color w:val="008000"/>
                <w:w w:val="86"/>
                <w:vertAlign w:val="superscript"/>
              </w:rPr>
              <w:t>(3)(13)</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7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45,336</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(2)(3)</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1,171</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(3)(4)</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7,830</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(3)(5)</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1,684</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(3)(6)</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56</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(3)(7)</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2,965</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(3)(8)</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2,660</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92"/>
              </w:rPr>
              <w:t>Footnotes</w:t>
            </w:r>
            <w:r>
              <w:rPr>
                <w:rFonts w:ascii="Arial" w:cs="Arial" w:eastAsia="Arial" w:hAnsi="Arial"/>
                <w:sz w:val="21"/>
                <w:szCs w:val="21"/>
                <w:color w:val="008000"/>
                <w:w w:val="92"/>
                <w:vertAlign w:val="superscript"/>
              </w:rPr>
              <w:t>(3)(9)</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224</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86"/>
              </w:rPr>
              <w:t>Footnotes</w:t>
            </w:r>
            <w:r>
              <w:rPr>
                <w:rFonts w:ascii="Arial" w:cs="Arial" w:eastAsia="Arial" w:hAnsi="Arial"/>
                <w:sz w:val="21"/>
                <w:szCs w:val="21"/>
                <w:color w:val="008000"/>
                <w:w w:val="86"/>
                <w:vertAlign w:val="superscript"/>
              </w:rPr>
              <w:t>(3)(11)</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11,859</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40" w:type="dxa"/>
            <w:vAlign w:val="bottom"/>
            <w:vMerge w:val="restart"/>
          </w:tcPr>
          <w:p>
            <w:pPr>
              <w:ind w:left="140"/>
              <w:spacing w:after="0"/>
              <w:rPr>
                <w:sz w:val="20"/>
                <w:szCs w:val="20"/>
                <w:color w:val="auto"/>
              </w:rPr>
            </w:pPr>
            <w:r>
              <w:rPr>
                <w:rFonts w:ascii="Arial" w:cs="Arial" w:eastAsia="Arial" w:hAnsi="Arial"/>
                <w:sz w:val="16"/>
                <w:szCs w:val="16"/>
                <w:color w:val="0000FF"/>
                <w:w w:val="86"/>
              </w:rPr>
              <w:t>Footnotes</w:t>
            </w:r>
            <w:r>
              <w:rPr>
                <w:rFonts w:ascii="Arial" w:cs="Arial" w:eastAsia="Arial" w:hAnsi="Arial"/>
                <w:sz w:val="21"/>
                <w:szCs w:val="21"/>
                <w:color w:val="008000"/>
                <w:w w:val="86"/>
                <w:vertAlign w:val="superscript"/>
              </w:rPr>
              <w:t>(3)(12)</w:t>
            </w:r>
          </w:p>
        </w:tc>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00" w:type="dxa"/>
            <w:vAlign w:val="bottom"/>
            <w:vMerge w:val="restart"/>
          </w:tcPr>
          <w:p>
            <w:pPr>
              <w:jc w:val="center"/>
              <w:ind w:left="862"/>
              <w:spacing w:after="0"/>
              <w:rPr>
                <w:sz w:val="20"/>
                <w:szCs w:val="20"/>
                <w:color w:val="auto"/>
              </w:rPr>
            </w:pPr>
            <w:r>
              <w:rPr>
                <w:rFonts w:ascii="Arial" w:cs="Arial" w:eastAsia="Arial" w:hAnsi="Arial"/>
                <w:sz w:val="16"/>
                <w:szCs w:val="16"/>
                <w:color w:val="0000FF"/>
                <w:w w:val="94"/>
              </w:rPr>
              <w:t>02/12/2021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vMerge w:val="restart"/>
          </w:tcPr>
          <w:p>
            <w:pPr>
              <w:jc w:val="center"/>
              <w:ind w:right="282"/>
              <w:spacing w:after="0"/>
              <w:rPr>
                <w:sz w:val="20"/>
                <w:szCs w:val="20"/>
                <w:color w:val="auto"/>
              </w:rPr>
            </w:pPr>
            <w:r>
              <w:rPr>
                <w:rFonts w:ascii="Arial" w:cs="Arial" w:eastAsia="Arial" w:hAnsi="Arial"/>
                <w:sz w:val="25"/>
                <w:szCs w:val="25"/>
                <w:color w:val="0000FF"/>
                <w:w w:val="84"/>
                <w:vertAlign w:val="subscript"/>
              </w:rPr>
              <w:t>S</w:t>
            </w:r>
            <w:r>
              <w:rPr>
                <w:rFonts w:ascii="Arial" w:cs="Arial" w:eastAsia="Arial" w:hAnsi="Arial"/>
                <w:sz w:val="11"/>
                <w:szCs w:val="11"/>
                <w:color w:val="008000"/>
                <w:w w:val="84"/>
              </w:rPr>
              <w:t>(14)</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10,640</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58.0632</w:t>
            </w:r>
            <w:r>
              <w:rPr>
                <w:rFonts w:ascii="Arial" w:cs="Arial" w:eastAsia="Arial" w:hAnsi="Arial"/>
                <w:sz w:val="21"/>
                <w:szCs w:val="21"/>
                <w:color w:val="008000"/>
                <w:w w:val="87"/>
                <w:vertAlign w:val="superscript"/>
              </w:rPr>
              <w:t>(15)</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820" w:type="dxa"/>
            <w:vAlign w:val="bottom"/>
            <w:vMerge w:val="restart"/>
          </w:tcPr>
          <w:p>
            <w:pPr>
              <w:ind w:left="420"/>
              <w:spacing w:after="0"/>
              <w:rPr>
                <w:sz w:val="20"/>
                <w:szCs w:val="20"/>
                <w:color w:val="auto"/>
              </w:rPr>
            </w:pPr>
            <w:r>
              <w:rPr>
                <w:rFonts w:ascii="Arial" w:cs="Arial" w:eastAsia="Arial" w:hAnsi="Arial"/>
                <w:sz w:val="16"/>
                <w:szCs w:val="16"/>
                <w:color w:val="0000FF"/>
              </w:rPr>
              <w:t>I</w:t>
            </w:r>
          </w:p>
        </w:tc>
        <w:tc>
          <w:tcPr>
            <w:tcW w:w="1160" w:type="dxa"/>
            <w:vAlign w:val="bottom"/>
            <w:gridSpan w:val="2"/>
          </w:tcPr>
          <w:p>
            <w:pPr>
              <w:ind w:left="140"/>
              <w:spacing w:after="0"/>
              <w:rPr>
                <w:sz w:val="20"/>
                <w:szCs w:val="20"/>
                <w:color w:val="auto"/>
              </w:rPr>
            </w:pPr>
            <w:r>
              <w:rPr>
                <w:rFonts w:ascii="Arial" w:cs="Arial" w:eastAsia="Arial" w:hAnsi="Arial"/>
                <w:sz w:val="16"/>
                <w:szCs w:val="16"/>
                <w:color w:val="0000FF"/>
              </w:rPr>
              <w:t>See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1"/>
                <w:szCs w:val="21"/>
                <w:color w:val="008000"/>
                <w:w w:val="88"/>
                <w:vertAlign w:val="superscript"/>
              </w:rPr>
              <w:t>(3)(13)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808080"/>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1200" w:type="dxa"/>
            <w:vAlign w:val="bottom"/>
            <w:shd w:val="clear" w:color="auto" w:fill="808080"/>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170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1120" w:type="dxa"/>
            <w:vAlign w:val="bottom"/>
            <w:shd w:val="clear" w:color="auto" w:fill="808080"/>
          </w:tcPr>
          <w:p>
            <w:pPr>
              <w:spacing w:after="0" w:line="20" w:lineRule="exact"/>
              <w:rPr>
                <w:sz w:val="1"/>
                <w:szCs w:val="1"/>
                <w:color w:val="auto"/>
              </w:rPr>
            </w:pPr>
          </w:p>
        </w:tc>
        <w:tc>
          <w:tcPr>
            <w:tcW w:w="760" w:type="dxa"/>
            <w:vAlign w:val="bottom"/>
            <w:shd w:val="clear" w:color="auto" w:fill="808080"/>
          </w:tcPr>
          <w:p>
            <w:pPr>
              <w:spacing w:after="0" w:line="20" w:lineRule="exact"/>
              <w:rPr>
                <w:sz w:val="1"/>
                <w:szCs w:val="1"/>
                <w:color w:val="auto"/>
              </w:rPr>
            </w:pPr>
          </w:p>
        </w:tc>
        <w:tc>
          <w:tcPr>
            <w:tcW w:w="780" w:type="dxa"/>
            <w:vAlign w:val="bottom"/>
            <w:shd w:val="clear" w:color="auto" w:fill="808080"/>
          </w:tcPr>
          <w:p>
            <w:pPr>
              <w:spacing w:after="0" w:line="20" w:lineRule="exact"/>
              <w:rPr>
                <w:sz w:val="1"/>
                <w:szCs w:val="1"/>
                <w:color w:val="auto"/>
              </w:rPr>
            </w:pPr>
          </w:p>
        </w:tc>
        <w:tc>
          <w:tcPr>
            <w:tcW w:w="440" w:type="dxa"/>
            <w:vAlign w:val="bottom"/>
            <w:shd w:val="clear" w:color="auto" w:fill="808080"/>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220" w:type="dxa"/>
            <w:vAlign w:val="bottom"/>
            <w:shd w:val="clear" w:color="auto" w:fill="808080"/>
          </w:tcPr>
          <w:p>
            <w:pPr>
              <w:spacing w:after="0" w:line="20" w:lineRule="exact"/>
              <w:rPr>
                <w:sz w:val="1"/>
                <w:szCs w:val="1"/>
                <w:color w:val="auto"/>
              </w:rPr>
            </w:pPr>
          </w:p>
        </w:tc>
        <w:tc>
          <w:tcPr>
            <w:tcW w:w="1120" w:type="dxa"/>
            <w:vAlign w:val="bottom"/>
            <w:shd w:val="clear" w:color="auto" w:fill="808080"/>
          </w:tcPr>
          <w:p>
            <w:pPr>
              <w:spacing w:after="0" w:line="20" w:lineRule="exact"/>
              <w:rPr>
                <w:sz w:val="1"/>
                <w:szCs w:val="1"/>
                <w:color w:val="auto"/>
              </w:rPr>
            </w:pPr>
          </w:p>
        </w:tc>
        <w:tc>
          <w:tcPr>
            <w:tcW w:w="820" w:type="dxa"/>
            <w:vAlign w:val="bottom"/>
            <w:shd w:val="clear" w:color="auto" w:fill="808080"/>
          </w:tcPr>
          <w:p>
            <w:pPr>
              <w:spacing w:after="0" w:line="20" w:lineRule="exact"/>
              <w:rPr>
                <w:sz w:val="1"/>
                <w:szCs w:val="1"/>
                <w:color w:val="auto"/>
              </w:rPr>
            </w:pPr>
          </w:p>
        </w:tc>
        <w:tc>
          <w:tcPr>
            <w:tcW w:w="1140" w:type="dxa"/>
            <w:vAlign w:val="bottom"/>
            <w:shd w:val="clear" w:color="auto" w:fill="808080"/>
          </w:tcPr>
          <w:p>
            <w:pPr>
              <w:spacing w:after="0" w:line="20" w:lineRule="exact"/>
              <w:rPr>
                <w:sz w:val="1"/>
                <w:szCs w:val="1"/>
                <w:color w:val="auto"/>
              </w:rPr>
            </w:pPr>
          </w:p>
        </w:tc>
        <w:tc>
          <w:tcPr>
            <w:tcW w:w="20" w:type="dxa"/>
            <w:vAlign w:val="bottom"/>
            <w:shd w:val="clear" w:color="auto" w:fill="808080"/>
          </w:tcPr>
          <w:p>
            <w:pPr>
              <w:spacing w:after="0" w:line="20" w:lineRule="exact"/>
              <w:rPr>
                <w:sz w:val="1"/>
                <w:szCs w:val="1"/>
                <w:color w:val="auto"/>
              </w:rPr>
            </w:pPr>
          </w:p>
        </w:tc>
        <w:tc>
          <w:tcPr>
            <w:tcW w:w="100" w:type="dxa"/>
            <w:vAlign w:val="bottom"/>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-7621270</wp:posOffset>
            </wp:positionV>
            <wp:extent cx="7035165" cy="7694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165" cy="7694295"/>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7035165" cy="5692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5692140"/>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3"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45,336</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40"/>
              <w:spacing w:after="0" w:line="139" w:lineRule="exact"/>
              <w:rPr>
                <w:sz w:val="20"/>
                <w:szCs w:val="20"/>
                <w:color w:val="auto"/>
              </w:rPr>
            </w:pPr>
            <w:r>
              <w:rPr>
                <w:rFonts w:ascii="Arial" w:cs="Arial" w:eastAsia="Arial" w:hAnsi="Arial"/>
                <w:sz w:val="13"/>
                <w:szCs w:val="13"/>
                <w:color w:val="0000FF"/>
                <w:w w:val="85"/>
              </w:rPr>
              <w:t>45,336</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55,849,419</w:t>
            </w:r>
          </w:p>
        </w:tc>
        <w:tc>
          <w:tcPr>
            <w:tcW w:w="72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6"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(2)(3)</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3"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1,171</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60"/>
              <w:spacing w:after="0" w:line="139" w:lineRule="exact"/>
              <w:rPr>
                <w:sz w:val="20"/>
                <w:szCs w:val="20"/>
                <w:color w:val="auto"/>
              </w:rPr>
            </w:pPr>
            <w:r>
              <w:rPr>
                <w:rFonts w:ascii="Arial" w:cs="Arial" w:eastAsia="Arial" w:hAnsi="Arial"/>
                <w:sz w:val="13"/>
                <w:szCs w:val="13"/>
                <w:color w:val="0000FF"/>
                <w:w w:val="85"/>
              </w:rPr>
              <w:t>1,171</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1,441,773</w:t>
            </w:r>
          </w:p>
        </w:tc>
        <w:tc>
          <w:tcPr>
            <w:tcW w:w="72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6"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(3)(4)</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3"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7,830</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60"/>
              <w:spacing w:after="0" w:line="139" w:lineRule="exact"/>
              <w:rPr>
                <w:sz w:val="20"/>
                <w:szCs w:val="20"/>
                <w:color w:val="auto"/>
              </w:rPr>
            </w:pPr>
            <w:r>
              <w:rPr>
                <w:rFonts w:ascii="Arial" w:cs="Arial" w:eastAsia="Arial" w:hAnsi="Arial"/>
                <w:sz w:val="13"/>
                <w:szCs w:val="13"/>
                <w:color w:val="0000FF"/>
                <w:w w:val="85"/>
              </w:rPr>
              <w:t>7,830</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9,645,142</w:t>
            </w:r>
          </w:p>
        </w:tc>
        <w:tc>
          <w:tcPr>
            <w:tcW w:w="72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6"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(3)(5)</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3"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1,684</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60"/>
              <w:spacing w:after="0" w:line="139" w:lineRule="exact"/>
              <w:rPr>
                <w:sz w:val="20"/>
                <w:szCs w:val="20"/>
                <w:color w:val="auto"/>
              </w:rPr>
            </w:pPr>
            <w:r>
              <w:rPr>
                <w:rFonts w:ascii="Arial" w:cs="Arial" w:eastAsia="Arial" w:hAnsi="Arial"/>
                <w:sz w:val="13"/>
                <w:szCs w:val="13"/>
                <w:color w:val="0000FF"/>
                <w:w w:val="85"/>
              </w:rPr>
              <w:t>1,684</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2,074,223</w:t>
            </w:r>
          </w:p>
        </w:tc>
        <w:tc>
          <w:tcPr>
            <w:tcW w:w="72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6"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(3)(6)</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3"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56</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60"/>
              <w:spacing w:after="0" w:line="139" w:lineRule="exact"/>
              <w:rPr>
                <w:sz w:val="20"/>
                <w:szCs w:val="20"/>
                <w:color w:val="auto"/>
              </w:rPr>
            </w:pPr>
            <w:r>
              <w:rPr>
                <w:rFonts w:ascii="Arial" w:cs="Arial" w:eastAsia="Arial" w:hAnsi="Arial"/>
                <w:sz w:val="13"/>
                <w:szCs w:val="13"/>
                <w:color w:val="0000FF"/>
                <w:w w:val="82"/>
              </w:rPr>
              <w:t>56</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68,871</w:t>
            </w:r>
          </w:p>
        </w:tc>
        <w:tc>
          <w:tcPr>
            <w:tcW w:w="72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6"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(3)(7)</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3"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2,965</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60"/>
              <w:spacing w:after="0" w:line="139" w:lineRule="exact"/>
              <w:rPr>
                <w:sz w:val="20"/>
                <w:szCs w:val="20"/>
                <w:color w:val="auto"/>
              </w:rPr>
            </w:pPr>
            <w:r>
              <w:rPr>
                <w:rFonts w:ascii="Arial" w:cs="Arial" w:eastAsia="Arial" w:hAnsi="Arial"/>
                <w:sz w:val="13"/>
                <w:szCs w:val="13"/>
                <w:color w:val="0000FF"/>
                <w:w w:val="85"/>
              </w:rPr>
              <w:t>2,965</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3,652,257</w:t>
            </w:r>
          </w:p>
        </w:tc>
        <w:tc>
          <w:tcPr>
            <w:tcW w:w="72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6"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(3)(8)</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3"/>
        </w:trPr>
        <w:tc>
          <w:tcPr>
            <w:tcW w:w="680" w:type="dxa"/>
            <w:vAlign w:val="bottom"/>
            <w:vMerge w:val="restart"/>
          </w:tcPr>
          <w:p>
            <w:pPr>
              <w:ind w:left="60"/>
              <w:spacing w:after="0" w:line="123" w:lineRule="exact"/>
              <w:rPr>
                <w:sz w:val="20"/>
                <w:szCs w:val="20"/>
                <w:color w:val="auto"/>
              </w:rPr>
            </w:pPr>
            <w:r>
              <w:rPr>
                <w:rFonts w:ascii="Arial" w:cs="Arial" w:eastAsia="Arial" w:hAnsi="Arial"/>
                <w:sz w:val="13"/>
                <w:szCs w:val="13"/>
                <w:color w:val="0000FF"/>
              </w:rPr>
              <w:t>ZoomInfo</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(16)</w:t>
            </w:r>
          </w:p>
        </w:tc>
        <w:tc>
          <w:tcPr>
            <w:tcW w:w="66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2,660</w:t>
            </w: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5"/>
                <w:szCs w:val="5"/>
                <w:color w:val="auto"/>
              </w:rPr>
            </w:pPr>
          </w:p>
        </w:tc>
        <w:tc>
          <w:tcPr>
            <w:tcW w:w="78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60"/>
              <w:spacing w:after="0" w:line="139" w:lineRule="exact"/>
              <w:rPr>
                <w:sz w:val="20"/>
                <w:szCs w:val="20"/>
                <w:color w:val="auto"/>
              </w:rPr>
            </w:pPr>
            <w:r>
              <w:rPr>
                <w:rFonts w:ascii="Arial" w:cs="Arial" w:eastAsia="Arial" w:hAnsi="Arial"/>
                <w:sz w:val="13"/>
                <w:szCs w:val="13"/>
                <w:color w:val="0000FF"/>
                <w:w w:val="85"/>
              </w:rPr>
              <w:t>2,660</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3,276,697</w:t>
            </w:r>
          </w:p>
        </w:tc>
        <w:tc>
          <w:tcPr>
            <w:tcW w:w="72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Holdings</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restart"/>
          </w:tcPr>
          <w:p>
            <w:pPr>
              <w:ind w:left="80"/>
              <w:spacing w:after="0" w:line="156"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(3)(9)</w:t>
            </w: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C</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(17)</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(17)</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224</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4"/>
                <w:szCs w:val="4"/>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40"/>
              <w:spacing w:after="0"/>
              <w:rPr>
                <w:sz w:val="20"/>
                <w:szCs w:val="20"/>
                <w:color w:val="auto"/>
              </w:rPr>
            </w:pPr>
            <w:r>
              <w:rPr>
                <w:rFonts w:ascii="Arial" w:cs="Arial" w:eastAsia="Arial" w:hAnsi="Arial"/>
                <w:sz w:val="13"/>
                <w:szCs w:val="13"/>
                <w:color w:val="0000FF"/>
                <w:w w:val="82"/>
              </w:rPr>
              <w:t>224</w:t>
            </w: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9"/>
              </w:rPr>
              <w:t>275,491</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restart"/>
          </w:tcPr>
          <w:p>
            <w:pPr>
              <w:ind w:left="80"/>
              <w:spacing w:after="0" w:line="153"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(3)(11)</w:t>
            </w:r>
          </w:p>
        </w:tc>
        <w:tc>
          <w:tcPr>
            <w:tcW w:w="0" w:type="dxa"/>
            <w:vAlign w:val="bottom"/>
          </w:tcPr>
          <w:p>
            <w:pPr>
              <w:spacing w:after="0"/>
              <w:rPr>
                <w:sz w:val="1"/>
                <w:szCs w:val="1"/>
                <w:color w:val="auto"/>
              </w:rPr>
            </w:pPr>
          </w:p>
        </w:tc>
      </w:tr>
      <w:tr>
        <w:trPr>
          <w:trHeight w:val="71"/>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680" w:type="dxa"/>
            <w:vAlign w:val="bottom"/>
            <w:tcBorders>
              <w:bottom w:val="single" w:sz="8" w:color="2C2C2C"/>
            </w:tcBorders>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jc w:val="center"/>
              <w:spacing w:after="0" w:line="139" w:lineRule="exact"/>
              <w:rPr>
                <w:sz w:val="20"/>
                <w:szCs w:val="20"/>
                <w:color w:val="auto"/>
              </w:rPr>
            </w:pPr>
            <w:r>
              <w:rPr>
                <w:rFonts w:ascii="Arial" w:cs="Arial" w:eastAsia="Arial" w:hAnsi="Arial"/>
                <w:sz w:val="13"/>
                <w:szCs w:val="13"/>
                <w:color w:val="0000FF"/>
                <w:w w:val="92"/>
              </w:rPr>
              <w:t>Stock</w:t>
            </w: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C</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(17)</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(17)</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11,859</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4"/>
                <w:szCs w:val="4"/>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40"/>
              <w:spacing w:after="0"/>
              <w:rPr>
                <w:sz w:val="20"/>
                <w:szCs w:val="20"/>
                <w:color w:val="auto"/>
              </w:rPr>
            </w:pPr>
            <w:r>
              <w:rPr>
                <w:rFonts w:ascii="Arial" w:cs="Arial" w:eastAsia="Arial" w:hAnsi="Arial"/>
                <w:sz w:val="13"/>
                <w:szCs w:val="13"/>
                <w:color w:val="0000FF"/>
                <w:w w:val="85"/>
              </w:rPr>
              <w:t>11,859</w:t>
            </w: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9"/>
              </w:rPr>
              <w:t>14,609,029</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restart"/>
          </w:tcPr>
          <w:p>
            <w:pPr>
              <w:ind w:left="80"/>
              <w:spacing w:after="0" w:line="153"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(3)(12)</w:t>
            </w:r>
          </w:p>
        </w:tc>
        <w:tc>
          <w:tcPr>
            <w:tcW w:w="0" w:type="dxa"/>
            <w:vAlign w:val="bottom"/>
          </w:tcPr>
          <w:p>
            <w:pPr>
              <w:spacing w:after="0"/>
              <w:rPr>
                <w:sz w:val="1"/>
                <w:szCs w:val="1"/>
                <w:color w:val="auto"/>
              </w:rPr>
            </w:pPr>
          </w:p>
        </w:tc>
      </w:tr>
      <w:tr>
        <w:trPr>
          <w:trHeight w:val="71"/>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680" w:type="dxa"/>
            <w:vAlign w:val="bottom"/>
            <w:tcBorders>
              <w:bottom w:val="single" w:sz="8" w:color="2C2C2C"/>
            </w:tcBorders>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jc w:val="center"/>
              <w:spacing w:after="0" w:line="139" w:lineRule="exact"/>
              <w:rPr>
                <w:sz w:val="20"/>
                <w:szCs w:val="20"/>
                <w:color w:val="auto"/>
              </w:rPr>
            </w:pPr>
            <w:r>
              <w:rPr>
                <w:rFonts w:ascii="Arial" w:cs="Arial" w:eastAsia="Arial" w:hAnsi="Arial"/>
                <w:sz w:val="13"/>
                <w:szCs w:val="13"/>
                <w:color w:val="0000FF"/>
                <w:w w:val="92"/>
              </w:rPr>
              <w:t>Stock</w:t>
            </w: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Class C</w:t>
            </w: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vMerge w:val="restart"/>
          </w:tcPr>
          <w:p>
            <w:pPr>
              <w:jc w:val="right"/>
              <w:ind w:right="246"/>
              <w:spacing w:after="0"/>
              <w:rPr>
                <w:sz w:val="20"/>
                <w:szCs w:val="20"/>
                <w:color w:val="auto"/>
              </w:rPr>
            </w:pPr>
            <w:r>
              <w:rPr>
                <w:rFonts w:ascii="Arial" w:cs="Arial" w:eastAsia="Arial" w:hAnsi="Arial"/>
                <w:sz w:val="11"/>
                <w:szCs w:val="11"/>
                <w:color w:val="008000"/>
              </w:rPr>
              <w:t>(17)</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(17)</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0000FF"/>
                <w:w w:val="89"/>
              </w:rPr>
              <w:t>10,640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02/12/2021</w:t>
            </w:r>
          </w:p>
        </w:tc>
        <w:tc>
          <w:tcPr>
            <w:tcW w:w="1060" w:type="dxa"/>
            <w:vAlign w:val="bottom"/>
          </w:tcPr>
          <w:p>
            <w:pPr>
              <w:spacing w:after="0"/>
              <w:rPr>
                <w:sz w:val="4"/>
                <w:szCs w:val="4"/>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800" w:type="dxa"/>
            <w:vAlign w:val="bottom"/>
            <w:vMerge w:val="restart"/>
          </w:tcPr>
          <w:p>
            <w:pPr>
              <w:jc w:val="center"/>
              <w:ind w:left="240"/>
              <w:spacing w:after="0"/>
              <w:rPr>
                <w:sz w:val="20"/>
                <w:szCs w:val="20"/>
                <w:color w:val="auto"/>
              </w:rPr>
            </w:pPr>
            <w:r>
              <w:rPr>
                <w:rFonts w:ascii="Arial" w:cs="Arial" w:eastAsia="Arial" w:hAnsi="Arial"/>
                <w:sz w:val="13"/>
                <w:szCs w:val="13"/>
                <w:color w:val="0000FF"/>
                <w:w w:val="85"/>
              </w:rPr>
              <w:t>10,640</w:t>
            </w:r>
          </w:p>
        </w:tc>
        <w:tc>
          <w:tcPr>
            <w:tcW w:w="7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54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9"/>
              </w:rPr>
              <w:t>13,106,795</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restart"/>
          </w:tcPr>
          <w:p>
            <w:pPr>
              <w:ind w:left="80"/>
              <w:spacing w:after="0" w:line="153" w:lineRule="exact"/>
              <w:rPr>
                <w:sz w:val="20"/>
                <w:szCs w:val="20"/>
                <w:color w:val="auto"/>
              </w:rPr>
            </w:pPr>
            <w:r>
              <w:rPr>
                <w:rFonts w:ascii="Arial" w:cs="Arial" w:eastAsia="Arial" w:hAnsi="Arial"/>
                <w:sz w:val="11"/>
                <w:szCs w:val="11"/>
                <w:color w:val="0000FF"/>
              </w:rPr>
              <w:t>Footnotes</w:t>
            </w:r>
            <w:r>
              <w:rPr>
                <w:rFonts w:ascii="Arial" w:cs="Arial" w:eastAsia="Arial" w:hAnsi="Arial"/>
                <w:sz w:val="17"/>
                <w:szCs w:val="17"/>
                <w:color w:val="008000"/>
                <w:vertAlign w:val="superscript"/>
              </w:rPr>
              <w:t>(3)(13)</w:t>
            </w:r>
          </w:p>
        </w:tc>
        <w:tc>
          <w:tcPr>
            <w:tcW w:w="0" w:type="dxa"/>
            <w:vAlign w:val="bottom"/>
          </w:tcPr>
          <w:p>
            <w:pPr>
              <w:spacing w:after="0"/>
              <w:rPr>
                <w:sz w:val="1"/>
                <w:szCs w:val="1"/>
                <w:color w:val="auto"/>
              </w:rPr>
            </w:pPr>
          </w:p>
        </w:tc>
      </w:tr>
      <w:tr>
        <w:trPr>
          <w:trHeight w:val="71"/>
        </w:trPr>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20" w:right="200" w:hanging="1"/>
        <w:spacing w:after="0" w:line="241"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Units of ZoomInfo Holdings LLC ("Opco"), which represent limited liability company units of Opco and a corresponding number of shares of Class B Common Stock of the Issuer, were exchanged on a one-for-one basis for shares of Class A Common Stock of the Issuer pursuant to the amended and restated limited liability company agreement of Opco.</w:t>
      </w:r>
    </w:p>
    <w:p>
      <w:pPr>
        <w:spacing w:after="0" w:line="28"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L.P. ("XI DO AIV").</w:t>
      </w:r>
    </w:p>
    <w:p>
      <w:pPr>
        <w:spacing w:after="0" w:line="40" w:lineRule="exact"/>
        <w:rPr>
          <w:rFonts w:ascii="Arial" w:cs="Arial" w:eastAsia="Arial" w:hAnsi="Arial"/>
          <w:sz w:val="13"/>
          <w:szCs w:val="13"/>
          <w:color w:val="008000"/>
        </w:rPr>
      </w:pPr>
    </w:p>
    <w:p>
      <w:pPr>
        <w:ind w:left="20" w:right="160" w:hanging="1"/>
        <w:spacing w:after="0" w:line="232"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TA Associates, L.P. is the ultimate general partner of each of XI DO, SDF III Feeder, Atlantic &amp; Pacific VII-B, XI DO AIV, SDF III DO, Atlantic &amp; Pacific VII-A, Investors IV, AP VII-B, SDF III DO AIV II and XI DO AIV II (collectively, the "TA Associates Funds"). Investment and voting control of the TA Associates Funds is held by TA Associates, L.P. The Reporting Person disclaims beneficial ownership of these securities, except to the extent of his pecuniary interest in such securities, and this report shall not be deemed an admission that the Reporting Person is the beneficial owner of such securities for Section 16 or any other purpose.</w:t>
      </w:r>
    </w:p>
    <w:p>
      <w:pPr>
        <w:spacing w:after="0" w:line="29"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L.P. ("SDF III DO").</w:t>
      </w:r>
    </w:p>
    <w:p>
      <w:pPr>
        <w:spacing w:after="0" w:line="40"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VII-A, L.P. ("Atlantic &amp; Pacific VII-A").</w:t>
      </w:r>
    </w:p>
    <w:p>
      <w:pPr>
        <w:spacing w:after="0" w:line="40"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Investors IV, L.P. ("Investors IV").</w:t>
      </w:r>
    </w:p>
    <w:p>
      <w:pPr>
        <w:spacing w:after="0" w:line="40"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AIV II, L.P. ("SDF III DO AIV II").</w:t>
      </w:r>
    </w:p>
    <w:p>
      <w:pPr>
        <w:spacing w:after="0" w:line="40"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AIV II, L.P. ("XI DO AIV II").</w:t>
      </w:r>
    </w:p>
    <w:p>
      <w:pPr>
        <w:spacing w:after="0" w:line="40" w:lineRule="exact"/>
        <w:rPr>
          <w:rFonts w:ascii="Arial" w:cs="Arial" w:eastAsia="Arial" w:hAnsi="Arial"/>
          <w:sz w:val="13"/>
          <w:szCs w:val="13"/>
          <w:color w:val="008000"/>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AP VII-B DO Subsidiary Partnership, L.P. ("AP VII-B").</w:t>
      </w:r>
    </w:p>
    <w:p>
      <w:pPr>
        <w:spacing w:after="0" w:line="40" w:lineRule="exact"/>
        <w:rPr>
          <w:rFonts w:ascii="Arial" w:cs="Arial" w:eastAsia="Arial" w:hAnsi="Arial"/>
          <w:sz w:val="13"/>
          <w:szCs w:val="13"/>
          <w:color w:val="008000"/>
        </w:rPr>
      </w:pPr>
    </w:p>
    <w:p>
      <w:pPr>
        <w:ind w:left="200" w:hanging="181"/>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of the Issuer's Class C Common Stock were converted on a one-for-one basis for shares of Class A Common Stock of the Issuer.</w:t>
      </w:r>
    </w:p>
    <w:p>
      <w:pPr>
        <w:spacing w:after="0" w:line="40" w:lineRule="exact"/>
        <w:rPr>
          <w:rFonts w:ascii="Arial" w:cs="Arial" w:eastAsia="Arial" w:hAnsi="Arial"/>
          <w:sz w:val="13"/>
          <w:szCs w:val="13"/>
          <w:color w:val="008000"/>
        </w:rPr>
      </w:pPr>
    </w:p>
    <w:p>
      <w:pPr>
        <w:ind w:left="200" w:hanging="181"/>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SDF III DO Feeder, L.P. ("SDF III Feeder").</w:t>
      </w:r>
    </w:p>
    <w:p>
      <w:pPr>
        <w:spacing w:after="0" w:line="40" w:lineRule="exact"/>
        <w:rPr>
          <w:rFonts w:ascii="Arial" w:cs="Arial" w:eastAsia="Arial" w:hAnsi="Arial"/>
          <w:sz w:val="13"/>
          <w:szCs w:val="13"/>
          <w:color w:val="008000"/>
        </w:rPr>
      </w:pPr>
    </w:p>
    <w:p>
      <w:pPr>
        <w:ind w:left="200" w:hanging="181"/>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XI DO Feeder, L.P ("XI DO").</w:t>
      </w:r>
    </w:p>
    <w:p>
      <w:pPr>
        <w:spacing w:after="0" w:line="40" w:lineRule="exact"/>
        <w:rPr>
          <w:rFonts w:ascii="Arial" w:cs="Arial" w:eastAsia="Arial" w:hAnsi="Arial"/>
          <w:sz w:val="13"/>
          <w:szCs w:val="13"/>
          <w:color w:val="008000"/>
        </w:rPr>
      </w:pPr>
    </w:p>
    <w:p>
      <w:pPr>
        <w:ind w:left="200" w:hanging="181"/>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Securities are held by TA Atlantic &amp; Pacific VII-B, L.P. ("Atlantic &amp; Pacific VII-B").</w:t>
      </w:r>
    </w:p>
    <w:p>
      <w:pPr>
        <w:spacing w:after="0" w:line="40" w:lineRule="exact"/>
        <w:rPr>
          <w:rFonts w:ascii="Arial" w:cs="Arial" w:eastAsia="Arial" w:hAnsi="Arial"/>
          <w:sz w:val="13"/>
          <w:szCs w:val="13"/>
          <w:color w:val="008000"/>
        </w:rPr>
      </w:pPr>
    </w:p>
    <w:p>
      <w:pPr>
        <w:ind w:left="200" w:hanging="181"/>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Rule 10b5-1 trading plans adopted on December 6, 2020.</w:t>
      </w:r>
    </w:p>
    <w:p>
      <w:pPr>
        <w:spacing w:after="0" w:line="40" w:lineRule="exact"/>
        <w:rPr>
          <w:rFonts w:ascii="Arial" w:cs="Arial" w:eastAsia="Arial" w:hAnsi="Arial"/>
          <w:sz w:val="13"/>
          <w:szCs w:val="13"/>
          <w:color w:val="008000"/>
        </w:rPr>
      </w:pPr>
    </w:p>
    <w:p>
      <w:pPr>
        <w:ind w:left="20" w:right="340" w:hanging="1"/>
        <w:spacing w:after="0" w:line="241"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 weighted-average sale price. The shares were sold in multiple transactions at prices ranging from $58.00 to $58.36. The Reporting Persons will provide upon request to the Securities and Exchange Commission, the Company or security holder of the Company, full information regarding the number of shares sold at each separate price.</w:t>
      </w:r>
    </w:p>
    <w:p>
      <w:pPr>
        <w:spacing w:after="0" w:line="28" w:lineRule="exact"/>
        <w:rPr>
          <w:rFonts w:ascii="Arial" w:cs="Arial" w:eastAsia="Arial" w:hAnsi="Arial"/>
          <w:sz w:val="13"/>
          <w:szCs w:val="13"/>
          <w:color w:val="008000"/>
        </w:rPr>
      </w:pPr>
    </w:p>
    <w:p>
      <w:pPr>
        <w:ind w:left="20" w:right="240" w:hanging="1"/>
        <w:spacing w:after="0" w:line="232"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Units of Opco represent limited liability company units of Opco and a corresponding number of shares of Class B Common Stock of the Issuer, which together are exchangeable at the option of the holder on a one-for-one basis for shares of Class A Common Stock of the Issuer, subject to customary conversion rate adjustments for stock splits, stock dividends, and reclassifications, pursuant to the amended and restated limited liability company agreement of Opco and have no expiration date. The shares of Class B Common Stock (i) confer no incidents of economic ownership on the holders thereof and (ii) only confer ten-to-one voting rights on the holders thereof.</w:t>
      </w:r>
    </w:p>
    <w:p>
      <w:pPr>
        <w:spacing w:after="0" w:line="29" w:lineRule="exact"/>
        <w:rPr>
          <w:rFonts w:ascii="Arial" w:cs="Arial" w:eastAsia="Arial" w:hAnsi="Arial"/>
          <w:sz w:val="13"/>
          <w:szCs w:val="13"/>
          <w:color w:val="008000"/>
        </w:rPr>
      </w:pPr>
    </w:p>
    <w:p>
      <w:pPr>
        <w:ind w:left="20" w:right="140" w:hanging="1"/>
        <w:spacing w:after="0" w:line="230"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Class C Common Stock is convertible at the option of the holder on a one-for-one basis for shares of Class A Common Stock of the Issuer and has no expiration date. Upon any transfer of shares of Class C Common Stock, whether or not for value, each such transferred share will automatically convert into one share of Class A Common Stock, except for certain transfers described in the Issuer's amended and restated certificate of incorporation. The shares of Class C Common Stock will convert automatically into Class A Common Stock, on a one-for-one basis, when the aggregate number of outstanding shares of the Company's Class B Common Stock and Class C Common Stock represents less than 5% of the aggregate number of the Company's outstanding shares of Common Stock. The shares of Class C Common Stock have ten votes per share.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1"/>
              </w:rPr>
              <w:t>/s/ Todd Crockett</w:t>
            </w:r>
          </w:p>
        </w:tc>
        <w:tc>
          <w:tcPr>
            <w:tcW w:w="1060" w:type="dxa"/>
            <w:vAlign w:val="bottom"/>
          </w:tcPr>
          <w:p>
            <w:pPr>
              <w:spacing w:after="0"/>
              <w:rPr>
                <w:sz w:val="15"/>
                <w:szCs w:val="15"/>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2"/>
              </w:rPr>
              <w:t>02/17/2021</w:t>
            </w: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3720" w:hanging="1"/>
        <w:spacing w:after="0" w:line="326"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6" w:right="379" w:bottom="39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56054" TargetMode="External"/><Relationship Id="rId14"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2021-02-17T17:41:40Z</dcterms:created>
  <dcterms:modified xsi:type="dcterms:W3CDTF">2021-02-17T17:41:40Z</dcterms:modified>
</cp:coreProperties>
</file>