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186055</wp:posOffset>
            </wp:positionH>
            <wp:positionV relativeFrom="page">
              <wp:posOffset>434975</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186055</wp:posOffset>
            </wp:positionH>
            <wp:positionV relativeFrom="page">
              <wp:posOffset>452120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50800</wp:posOffset>
            </wp:positionV>
            <wp:extent cx="12338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3805" cy="5715"/>
                    </a:xfrm>
                    <a:prstGeom prst="rect">
                      <a:avLst/>
                    </a:prstGeom>
                    <a:noFill/>
                  </pic:spPr>
                </pic:pic>
              </a:graphicData>
            </a:graphic>
          </wp:anchor>
        </w:drawing>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FORM 10-Q/A</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(Amendment No. 1</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84455</wp:posOffset>
            </wp:positionV>
            <wp:extent cx="12338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3805" cy="5715"/>
                    </a:xfrm>
                    <a:prstGeom prst="rect">
                      <a:avLst/>
                    </a:prstGeom>
                    <a:noFill/>
                  </pic:spPr>
                </pic:pic>
              </a:graphicData>
            </a:graphic>
          </wp:anchor>
        </w:drawing>
      </w:r>
    </w:p>
    <w:p>
      <w:pPr>
        <w:spacing w:after="0" w:line="191" w:lineRule="exact"/>
        <w:rPr>
          <w:sz w:val="24"/>
          <w:szCs w:val="24"/>
          <w:color w:val="auto"/>
        </w:rPr>
      </w:pPr>
    </w:p>
    <w:p>
      <w:pPr>
        <w:ind w:left="220"/>
        <w:spacing w:after="0"/>
        <w:rPr>
          <w:sz w:val="20"/>
          <w:szCs w:val="20"/>
          <w:color w:val="auto"/>
        </w:rPr>
      </w:pPr>
      <w:r>
        <w:rPr>
          <w:rFonts w:ascii="Arial" w:cs="Arial" w:eastAsia="Arial" w:hAnsi="Arial"/>
          <w:sz w:val="12"/>
          <w:szCs w:val="12"/>
          <w:b w:val="1"/>
          <w:bCs w:val="1"/>
          <w:color w:val="auto"/>
        </w:rPr>
        <w:t>(Mark One)</w:t>
      </w:r>
    </w:p>
    <w:p>
      <w:pPr>
        <w:spacing w:after="0" w:line="80" w:lineRule="exact"/>
        <w:rPr>
          <w:sz w:val="24"/>
          <w:szCs w:val="24"/>
          <w:color w:val="auto"/>
        </w:rPr>
      </w:pPr>
    </w:p>
    <w:p>
      <w:pPr>
        <w:ind w:left="460" w:hanging="249"/>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For the quarterly period ended June 30, 2020</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or</w:t>
      </w:r>
    </w:p>
    <w:p>
      <w:pPr>
        <w:spacing w:after="0" w:line="67" w:lineRule="exact"/>
        <w:rPr>
          <w:sz w:val="24"/>
          <w:szCs w:val="24"/>
          <w:color w:val="auto"/>
        </w:rPr>
      </w:pPr>
    </w:p>
    <w:p>
      <w:pPr>
        <w:ind w:left="460" w:hanging="249"/>
        <w:spacing w:after="0"/>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300"/>
          </w:cols>
          <w:pgMar w:left="300" w:top="797" w:right="299" w:bottom="1440" w:gutter="0" w:footer="0" w:header="0"/>
        </w:sectPr>
      </w:pPr>
    </w:p>
    <w:p>
      <w:pPr>
        <w:spacing w:after="0" w:line="80" w:lineRule="exact"/>
        <w:rPr>
          <w:sz w:val="24"/>
          <w:szCs w:val="24"/>
          <w:color w:val="auto"/>
        </w:rPr>
      </w:pPr>
    </w:p>
    <w:p>
      <w:pPr>
        <w:ind w:left="446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p>
    <w:p>
      <w:pPr>
        <w:ind w:left="4580"/>
        <w:spacing w:after="0"/>
        <w:rPr>
          <w:sz w:val="20"/>
          <w:szCs w:val="20"/>
          <w:color w:val="auto"/>
        </w:rPr>
      </w:pPr>
      <w:r>
        <w:rPr>
          <w:rFonts w:ascii="Arial" w:cs="Arial" w:eastAsia="Arial" w:hAnsi="Arial"/>
          <w:sz w:val="10"/>
          <w:szCs w:val="10"/>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71120</wp:posOffset>
            </wp:positionV>
            <wp:extent cx="12338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3805" cy="5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351" w:lineRule="exact"/>
        <w:rPr>
          <w:sz w:val="24"/>
          <w:szCs w:val="24"/>
          <w:color w:val="auto"/>
        </w:rPr>
      </w:pPr>
    </w:p>
    <w:p>
      <w:pPr>
        <w:sectPr>
          <w:pgSz w:w="11900" w:h="16838" w:orient="portrait"/>
          <w:cols w:equalWidth="0" w:num="2">
            <w:col w:w="6460" w:space="20"/>
            <w:col w:w="4820"/>
          </w:cols>
          <w:pgMar w:left="300" w:top="797" w:right="299" w:bottom="1440" w:gutter="0" w:footer="0" w:header="0"/>
          <w:type w:val="continuous"/>
        </w:sectPr>
      </w:pPr>
    </w:p>
    <w:tbl>
      <w:tblPr>
        <w:tblLayout w:type="fixed"/>
        <w:tblInd w:w="10" w:type="dxa"/>
        <w:tblCellMar>
          <w:top w:w="0" w:type="dxa"/>
          <w:left w:w="0" w:type="dxa"/>
          <w:bottom w:w="0" w:type="dxa"/>
          <w:right w:w="0" w:type="dxa"/>
        </w:tblCellMar>
      </w:tblPr>
      <w:tr>
        <w:trPr>
          <w:trHeight w:val="258"/>
        </w:trPr>
        <w:tc>
          <w:tcPr>
            <w:tcW w:w="3780" w:type="dxa"/>
            <w:vAlign w:val="bottom"/>
          </w:tcPr>
          <w:p>
            <w:pPr>
              <w:spacing w:after="0"/>
              <w:rPr>
                <w:sz w:val="22"/>
                <w:szCs w:val="22"/>
                <w:color w:val="auto"/>
              </w:rPr>
            </w:pPr>
          </w:p>
        </w:tc>
        <w:tc>
          <w:tcPr>
            <w:tcW w:w="3760" w:type="dxa"/>
            <w:vAlign w:val="bottom"/>
            <w:gridSpan w:val="3"/>
          </w:tcPr>
          <w:p>
            <w:pPr>
              <w:jc w:val="center"/>
              <w:ind w:right="40"/>
              <w:spacing w:after="0"/>
              <w:rPr>
                <w:sz w:val="20"/>
                <w:szCs w:val="20"/>
                <w:color w:val="auto"/>
              </w:rPr>
            </w:pPr>
            <w:r>
              <w:rPr>
                <w:rFonts w:ascii="Arial" w:cs="Arial" w:eastAsia="Arial" w:hAnsi="Arial"/>
                <w:sz w:val="22"/>
                <w:szCs w:val="22"/>
                <w:b w:val="1"/>
                <w:bCs w:val="1"/>
                <w:color w:val="auto"/>
                <w:w w:val="88"/>
              </w:rPr>
              <w:t>ZoomInfo Technologies Inc.</w:t>
            </w: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3780" w:type="dxa"/>
            <w:vAlign w:val="bottom"/>
          </w:tcPr>
          <w:p>
            <w:pPr>
              <w:spacing w:after="0"/>
              <w:rPr>
                <w:sz w:val="10"/>
                <w:szCs w:val="10"/>
                <w:color w:val="auto"/>
              </w:rPr>
            </w:pPr>
          </w:p>
        </w:tc>
        <w:tc>
          <w:tcPr>
            <w:tcW w:w="376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6"/>
              </w:rPr>
              <w:t>(Exact name of registrant as specified in its charter)</w:t>
            </w: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7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0"/>
              </w:rPr>
              <w:t>Delaware</w:t>
            </w:r>
          </w:p>
        </w:tc>
        <w:tc>
          <w:tcPr>
            <w:tcW w:w="90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3780" w:type="dxa"/>
            <w:vAlign w:val="bottom"/>
            <w:vMerge w:val="restart"/>
          </w:tcPr>
          <w:p>
            <w:pPr>
              <w:jc w:val="right"/>
              <w:ind w:right="1632"/>
              <w:spacing w:after="0"/>
              <w:rPr>
                <w:sz w:val="20"/>
                <w:szCs w:val="20"/>
                <w:color w:val="auto"/>
              </w:rPr>
            </w:pPr>
            <w:r>
              <w:rPr>
                <w:rFonts w:ascii="Arial" w:cs="Arial" w:eastAsia="Arial" w:hAnsi="Arial"/>
                <w:sz w:val="10"/>
                <w:szCs w:val="10"/>
                <w:b w:val="1"/>
                <w:bCs w:val="1"/>
                <w:color w:val="auto"/>
              </w:rPr>
              <w:t>84-3721253</w:t>
            </w:r>
          </w:p>
        </w:tc>
        <w:tc>
          <w:tcPr>
            <w:tcW w:w="0" w:type="dxa"/>
            <w:vAlign w:val="bottom"/>
          </w:tcPr>
          <w:p>
            <w:pPr>
              <w:spacing w:after="0"/>
              <w:rPr>
                <w:sz w:val="1"/>
                <w:szCs w:val="1"/>
                <w:color w:val="auto"/>
              </w:rPr>
            </w:pPr>
          </w:p>
        </w:tc>
      </w:tr>
      <w:tr>
        <w:trPr>
          <w:trHeight w:val="226"/>
        </w:trPr>
        <w:tc>
          <w:tcPr>
            <w:tcW w:w="37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(State or other jurisdiction of</w:t>
            </w:r>
          </w:p>
        </w:tc>
        <w:tc>
          <w:tcPr>
            <w:tcW w:w="9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24"/>
        </w:trPr>
        <w:tc>
          <w:tcPr>
            <w:tcW w:w="3780" w:type="dxa"/>
            <w:vAlign w:val="bottom"/>
          </w:tcPr>
          <w:p>
            <w:pPr>
              <w:jc w:val="center"/>
              <w:spacing w:after="0"/>
              <w:rPr>
                <w:sz w:val="20"/>
                <w:szCs w:val="20"/>
                <w:color w:val="auto"/>
              </w:rPr>
            </w:pPr>
            <w:r>
              <w:rPr>
                <w:rFonts w:ascii="Arial" w:cs="Arial" w:eastAsia="Arial" w:hAnsi="Arial"/>
                <w:sz w:val="10"/>
                <w:szCs w:val="10"/>
                <w:b w:val="1"/>
                <w:bCs w:val="1"/>
                <w:color w:val="auto"/>
                <w:w w:val="88"/>
              </w:rPr>
              <w:t>incorporation or organization)</w:t>
            </w:r>
          </w:p>
        </w:tc>
        <w:tc>
          <w:tcPr>
            <w:tcW w:w="9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780" w:type="dxa"/>
            <w:vAlign w:val="bottom"/>
          </w:tcPr>
          <w:p>
            <w:pPr>
              <w:jc w:val="center"/>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167"/>
        </w:trPr>
        <w:tc>
          <w:tcPr>
            <w:tcW w:w="3780" w:type="dxa"/>
            <w:vAlign w:val="bottom"/>
          </w:tcPr>
          <w:p>
            <w:pPr>
              <w:jc w:val="center"/>
              <w:ind w:left="152"/>
              <w:spacing w:after="0"/>
              <w:rPr>
                <w:sz w:val="20"/>
                <w:szCs w:val="20"/>
                <w:color w:val="auto"/>
              </w:rPr>
            </w:pPr>
            <w:r>
              <w:rPr>
                <w:rFonts w:ascii="Arial" w:cs="Arial" w:eastAsia="Arial" w:hAnsi="Arial"/>
                <w:sz w:val="10"/>
                <w:szCs w:val="10"/>
                <w:b w:val="1"/>
                <w:bCs w:val="1"/>
                <w:color w:val="auto"/>
                <w:w w:val="87"/>
              </w:rPr>
              <w:t>805 Broadway Street, Suite 900</w:t>
            </w:r>
          </w:p>
        </w:tc>
        <w:tc>
          <w:tcPr>
            <w:tcW w:w="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780" w:type="dxa"/>
            <w:vAlign w:val="bottom"/>
          </w:tcPr>
          <w:p>
            <w:pPr>
              <w:jc w:val="center"/>
              <w:ind w:left="152"/>
              <w:spacing w:after="0"/>
              <w:rPr>
                <w:sz w:val="20"/>
                <w:szCs w:val="20"/>
                <w:color w:val="auto"/>
              </w:rPr>
            </w:pPr>
            <w:r>
              <w:rPr>
                <w:rFonts w:ascii="Arial" w:cs="Arial" w:eastAsia="Arial" w:hAnsi="Arial"/>
                <w:sz w:val="10"/>
                <w:szCs w:val="10"/>
                <w:b w:val="1"/>
                <w:bCs w:val="1"/>
                <w:color w:val="auto"/>
                <w:w w:val="85"/>
              </w:rPr>
              <w:t>Vancouver, Washington</w:t>
            </w:r>
          </w:p>
        </w:tc>
        <w:tc>
          <w:tcPr>
            <w:tcW w:w="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780" w:type="dxa"/>
            <w:vAlign w:val="bottom"/>
          </w:tcPr>
          <w:p>
            <w:pPr>
              <w:jc w:val="right"/>
              <w:ind w:right="1632"/>
              <w:spacing w:after="0"/>
              <w:rPr>
                <w:sz w:val="20"/>
                <w:szCs w:val="20"/>
                <w:color w:val="auto"/>
              </w:rPr>
            </w:pPr>
            <w:r>
              <w:rPr>
                <w:rFonts w:ascii="Arial" w:cs="Arial" w:eastAsia="Arial" w:hAnsi="Arial"/>
                <w:sz w:val="10"/>
                <w:szCs w:val="10"/>
                <w:b w:val="1"/>
                <w:bCs w:val="1"/>
                <w:color w:val="auto"/>
              </w:rPr>
              <w:t>98660</w:t>
            </w:r>
          </w:p>
        </w:tc>
        <w:tc>
          <w:tcPr>
            <w:tcW w:w="0" w:type="dxa"/>
            <w:vAlign w:val="bottom"/>
          </w:tcPr>
          <w:p>
            <w:pPr>
              <w:spacing w:after="0"/>
              <w:rPr>
                <w:sz w:val="1"/>
                <w:szCs w:val="1"/>
                <w:color w:val="auto"/>
              </w:rPr>
            </w:pPr>
          </w:p>
        </w:tc>
      </w:tr>
      <w:tr>
        <w:trPr>
          <w:trHeight w:val="254"/>
        </w:trPr>
        <w:tc>
          <w:tcPr>
            <w:tcW w:w="3780" w:type="dxa"/>
            <w:vAlign w:val="bottom"/>
          </w:tcPr>
          <w:p>
            <w:pPr>
              <w:jc w:val="center"/>
              <w:ind w:left="152"/>
              <w:spacing w:after="0"/>
              <w:rPr>
                <w:sz w:val="20"/>
                <w:szCs w:val="20"/>
                <w:color w:val="auto"/>
              </w:rPr>
            </w:pPr>
            <w:r>
              <w:rPr>
                <w:rFonts w:ascii="Arial" w:cs="Arial" w:eastAsia="Arial" w:hAnsi="Arial"/>
                <w:sz w:val="10"/>
                <w:szCs w:val="10"/>
                <w:color w:val="auto"/>
                <w:w w:val="89"/>
              </w:rPr>
              <w:t>(Address of principal executive offices)</w:t>
            </w:r>
          </w:p>
        </w:tc>
        <w:tc>
          <w:tcPr>
            <w:tcW w:w="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780" w:type="dxa"/>
            <w:vAlign w:val="bottom"/>
          </w:tcPr>
          <w:p>
            <w:pPr>
              <w:jc w:val="right"/>
              <w:ind w:right="1532"/>
              <w:spacing w:after="0"/>
              <w:rPr>
                <w:sz w:val="20"/>
                <w:szCs w:val="20"/>
                <w:color w:val="auto"/>
              </w:rPr>
            </w:pPr>
            <w:r>
              <w:rPr>
                <w:rFonts w:ascii="Arial" w:cs="Arial" w:eastAsia="Arial" w:hAnsi="Arial"/>
                <w:sz w:val="10"/>
                <w:szCs w:val="10"/>
                <w:color w:val="auto"/>
              </w:rPr>
              <w:t>(Zip Code)</w:t>
            </w:r>
          </w:p>
        </w:tc>
        <w:tc>
          <w:tcPr>
            <w:tcW w:w="0" w:type="dxa"/>
            <w:vAlign w:val="bottom"/>
          </w:tcPr>
          <w:p>
            <w:pPr>
              <w:spacing w:after="0"/>
              <w:rPr>
                <w:sz w:val="1"/>
                <w:szCs w:val="1"/>
                <w:color w:val="auto"/>
              </w:rPr>
            </w:pPr>
          </w:p>
        </w:tc>
      </w:tr>
      <w:tr>
        <w:trPr>
          <w:trHeight w:val="145"/>
        </w:trPr>
        <w:tc>
          <w:tcPr>
            <w:tcW w:w="3780" w:type="dxa"/>
            <w:vAlign w:val="bottom"/>
          </w:tcPr>
          <w:p>
            <w:pPr>
              <w:spacing w:after="0"/>
              <w:rPr>
                <w:sz w:val="12"/>
                <w:szCs w:val="12"/>
                <w:color w:val="auto"/>
              </w:rPr>
            </w:pPr>
          </w:p>
        </w:tc>
        <w:tc>
          <w:tcPr>
            <w:tcW w:w="2840" w:type="dxa"/>
            <w:vAlign w:val="bottom"/>
            <w:gridSpan w:val="2"/>
          </w:tcPr>
          <w:p>
            <w:pPr>
              <w:jc w:val="right"/>
              <w:ind w:right="510"/>
              <w:spacing w:after="0"/>
              <w:rPr>
                <w:sz w:val="20"/>
                <w:szCs w:val="20"/>
                <w:color w:val="auto"/>
              </w:rPr>
            </w:pPr>
            <w:r>
              <w:rPr>
                <w:rFonts w:ascii="Arial" w:cs="Arial" w:eastAsia="Arial" w:hAnsi="Arial"/>
                <w:sz w:val="10"/>
                <w:szCs w:val="10"/>
                <w:b w:val="1"/>
                <w:bCs w:val="1"/>
                <w:color w:val="auto"/>
              </w:rPr>
              <w:t>(800) 914-1220</w:t>
            </w:r>
          </w:p>
        </w:tc>
        <w:tc>
          <w:tcPr>
            <w:tcW w:w="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60" w:type="dxa"/>
            <w:vAlign w:val="bottom"/>
            <w:gridSpan w:val="2"/>
          </w:tcPr>
          <w:p>
            <w:pPr>
              <w:jc w:val="center"/>
              <w:ind w:right="720"/>
              <w:spacing w:after="0"/>
              <w:rPr>
                <w:sz w:val="20"/>
                <w:szCs w:val="20"/>
                <w:color w:val="auto"/>
              </w:rPr>
            </w:pPr>
            <w:r>
              <w:rPr>
                <w:rFonts w:ascii="Arial" w:cs="Arial" w:eastAsia="Arial" w:hAnsi="Arial"/>
                <w:sz w:val="10"/>
                <w:szCs w:val="10"/>
                <w:color w:val="auto"/>
                <w:w w:val="87"/>
              </w:rPr>
              <w:t>(Registrant’s telephone number, including area code)</w:t>
            </w: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3780" w:type="dxa"/>
            <w:vAlign w:val="bottom"/>
            <w:vMerge w:val="restart"/>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90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7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2"/>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780" w:type="dxa"/>
            <w:vAlign w:val="bottom"/>
            <w:tcBorders>
              <w:left w:val="single" w:sz="8" w:color="auto"/>
              <w:right w:val="single" w:sz="8" w:color="auto"/>
            </w:tcBorders>
          </w:tcPr>
          <w:p>
            <w:pPr>
              <w:ind w:left="1520"/>
              <w:spacing w:after="0"/>
              <w:rPr>
                <w:sz w:val="20"/>
                <w:szCs w:val="20"/>
                <w:color w:val="auto"/>
              </w:rPr>
            </w:pPr>
            <w:r>
              <w:rPr>
                <w:rFonts w:ascii="Arial" w:cs="Arial" w:eastAsia="Arial" w:hAnsi="Arial"/>
                <w:sz w:val="8"/>
                <w:szCs w:val="8"/>
                <w:b w:val="1"/>
                <w:bCs w:val="1"/>
                <w:color w:val="auto"/>
              </w:rPr>
              <w:t>Title of Each Class</w:t>
            </w:r>
          </w:p>
        </w:tc>
        <w:tc>
          <w:tcPr>
            <w:tcW w:w="900" w:type="dxa"/>
            <w:vAlign w:val="bottom"/>
          </w:tcPr>
          <w:p>
            <w:pPr>
              <w:spacing w:after="0"/>
              <w:rPr>
                <w:sz w:val="9"/>
                <w:szCs w:val="9"/>
                <w:color w:val="auto"/>
              </w:rPr>
            </w:pPr>
          </w:p>
        </w:tc>
        <w:tc>
          <w:tcPr>
            <w:tcW w:w="286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8"/>
                <w:szCs w:val="8"/>
                <w:b w:val="1"/>
                <w:bCs w:val="1"/>
                <w:color w:val="auto"/>
                <w:w w:val="93"/>
              </w:rPr>
              <w:t>Trading Symbol(s)</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3"/>
              </w:rPr>
              <w:t>Name of each exchange on which registered</w:t>
            </w:r>
          </w:p>
        </w:tc>
        <w:tc>
          <w:tcPr>
            <w:tcW w:w="0" w:type="dxa"/>
            <w:vAlign w:val="bottom"/>
          </w:tcPr>
          <w:p>
            <w:pPr>
              <w:spacing w:after="0"/>
              <w:rPr>
                <w:sz w:val="1"/>
                <w:szCs w:val="1"/>
                <w:color w:val="auto"/>
              </w:rPr>
            </w:pPr>
          </w:p>
        </w:tc>
      </w:tr>
      <w:tr>
        <w:trPr>
          <w:trHeight w:val="21"/>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gridSpan w:val="2"/>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6"/>
              </w:rPr>
              <w:t>Class A common stock, par value $0.01 per share</w:t>
            </w:r>
          </w:p>
        </w:tc>
        <w:tc>
          <w:tcPr>
            <w:tcW w:w="900" w:type="dxa"/>
            <w:vAlign w:val="bottom"/>
            <w:tcBorders>
              <w:bottom w:val="single" w:sz="8" w:color="auto"/>
            </w:tcBorders>
          </w:tcPr>
          <w:p>
            <w:pPr>
              <w:spacing w:after="0"/>
              <w:rPr>
                <w:sz w:val="14"/>
                <w:szCs w:val="14"/>
                <w:color w:val="auto"/>
              </w:rPr>
            </w:pPr>
          </w:p>
        </w:tc>
        <w:tc>
          <w:tcPr>
            <w:tcW w:w="2860" w:type="dxa"/>
            <w:vAlign w:val="bottom"/>
            <w:tcBorders>
              <w:bottom w:val="single" w:sz="8" w:color="auto"/>
              <w:right w:val="single" w:sz="8" w:color="auto"/>
            </w:tcBorders>
            <w:gridSpan w:val="2"/>
          </w:tcPr>
          <w:p>
            <w:pPr>
              <w:jc w:val="center"/>
              <w:ind w:right="920"/>
              <w:spacing w:after="0"/>
              <w:rPr>
                <w:sz w:val="20"/>
                <w:szCs w:val="20"/>
                <w:color w:val="auto"/>
              </w:rPr>
            </w:pPr>
            <w:r>
              <w:rPr>
                <w:rFonts w:ascii="Arial" w:cs="Arial" w:eastAsia="Arial" w:hAnsi="Arial"/>
                <w:sz w:val="12"/>
                <w:szCs w:val="12"/>
                <w:color w:val="auto"/>
                <w:w w:val="93"/>
              </w:rPr>
              <w:t>ZI</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The Nasdaq Stock Market LLC</w:t>
            </w:r>
          </w:p>
        </w:tc>
        <w:tc>
          <w:tcPr>
            <w:tcW w:w="0" w:type="dxa"/>
            <w:vAlign w:val="bottom"/>
          </w:tcPr>
          <w:p>
            <w:pPr>
              <w:spacing w:after="0"/>
              <w:rPr>
                <w:sz w:val="1"/>
                <w:szCs w:val="1"/>
                <w:color w:val="auto"/>
              </w:rPr>
            </w:pPr>
          </w:p>
        </w:tc>
      </w:tr>
      <w:tr>
        <w:trPr>
          <w:trHeight w:val="79"/>
        </w:trPr>
        <w:tc>
          <w:tcPr>
            <w:tcW w:w="3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ind w:right="20" w:firstLine="218"/>
        <w:spacing w:after="0" w:line="127"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4" w:lineRule="exact"/>
        <w:rPr>
          <w:sz w:val="24"/>
          <w:szCs w:val="24"/>
          <w:color w:val="auto"/>
        </w:rPr>
      </w:pPr>
    </w:p>
    <w:p>
      <w:pPr>
        <w:jc w:val="both"/>
        <w:ind w:right="20" w:firstLine="218"/>
        <w:spacing w:after="0" w:line="127"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4" w:lineRule="exact"/>
        <w:rPr>
          <w:sz w:val="24"/>
          <w:szCs w:val="24"/>
          <w:color w:val="auto"/>
        </w:rPr>
      </w:pPr>
    </w:p>
    <w:p>
      <w:pPr>
        <w:jc w:val="both"/>
        <w:ind w:firstLine="218"/>
        <w:spacing w:after="0" w:line="242"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136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4120" w:type="dxa"/>
            <w:vAlign w:val="bottom"/>
          </w:tcPr>
          <w:p>
            <w:pPr>
              <w:ind w:left="440"/>
              <w:spacing w:after="0" w:line="101" w:lineRule="exact"/>
              <w:rPr>
                <w:sz w:val="20"/>
                <w:szCs w:val="20"/>
                <w:color w:val="auto"/>
              </w:rPr>
            </w:pPr>
            <w:r>
              <w:rPr>
                <w:rFonts w:ascii="MS PGothic" w:cs="MS PGothic" w:eastAsia="MS PGothic" w:hAnsi="MS PGothic"/>
                <w:sz w:val="10"/>
                <w:szCs w:val="10"/>
                <w:color w:val="auto"/>
              </w:rPr>
              <w:t>☐</w:t>
            </w:r>
          </w:p>
        </w:tc>
        <w:tc>
          <w:tcPr>
            <w:tcW w:w="5100" w:type="dxa"/>
            <w:vAlign w:val="bottom"/>
          </w:tcPr>
          <w:p>
            <w:pPr>
              <w:ind w:left="3600"/>
              <w:spacing w:after="0"/>
              <w:rPr>
                <w:sz w:val="20"/>
                <w:szCs w:val="20"/>
                <w:color w:val="auto"/>
              </w:rPr>
            </w:pPr>
            <w:r>
              <w:rPr>
                <w:rFonts w:ascii="Arial" w:cs="Arial" w:eastAsia="Arial" w:hAnsi="Arial"/>
                <w:sz w:val="10"/>
                <w:szCs w:val="10"/>
                <w:color w:val="auto"/>
              </w:rPr>
              <w:t>Accelerated Filer</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r>
        <w:trPr>
          <w:trHeight w:val="145"/>
        </w:trPr>
        <w:tc>
          <w:tcPr>
            <w:tcW w:w="1360" w:type="dxa"/>
            <w:vAlign w:val="bottom"/>
          </w:tcPr>
          <w:p>
            <w:pPr>
              <w:spacing w:after="0"/>
              <w:rPr>
                <w:sz w:val="20"/>
                <w:szCs w:val="20"/>
                <w:color w:val="auto"/>
              </w:rPr>
            </w:pPr>
            <w:r>
              <w:rPr>
                <w:rFonts w:ascii="Arial" w:cs="Arial" w:eastAsia="Arial" w:hAnsi="Arial"/>
                <w:sz w:val="10"/>
                <w:szCs w:val="10"/>
                <w:color w:val="auto"/>
              </w:rPr>
              <w:t>Non-accelerated Filer</w:t>
            </w:r>
          </w:p>
        </w:tc>
        <w:tc>
          <w:tcPr>
            <w:tcW w:w="4120" w:type="dxa"/>
            <w:vAlign w:val="bottom"/>
          </w:tcPr>
          <w:p>
            <w:pPr>
              <w:ind w:left="440"/>
              <w:spacing w:after="0" w:line="101" w:lineRule="exact"/>
              <w:rPr>
                <w:sz w:val="20"/>
                <w:szCs w:val="20"/>
                <w:color w:val="auto"/>
              </w:rPr>
            </w:pPr>
            <w:r>
              <w:rPr>
                <w:rFonts w:ascii="MS PGothic" w:cs="MS PGothic" w:eastAsia="MS PGothic" w:hAnsi="MS PGothic"/>
                <w:sz w:val="10"/>
                <w:szCs w:val="10"/>
                <w:color w:val="auto"/>
              </w:rPr>
              <w:t>☒</w:t>
            </w:r>
          </w:p>
        </w:tc>
        <w:tc>
          <w:tcPr>
            <w:tcW w:w="5100" w:type="dxa"/>
            <w:vAlign w:val="bottom"/>
          </w:tcPr>
          <w:p>
            <w:pPr>
              <w:ind w:left="3600"/>
              <w:spacing w:after="0"/>
              <w:rPr>
                <w:sz w:val="20"/>
                <w:szCs w:val="20"/>
                <w:color w:val="auto"/>
              </w:rPr>
            </w:pPr>
            <w:r>
              <w:rPr>
                <w:rFonts w:ascii="Arial" w:cs="Arial" w:eastAsia="Arial" w:hAnsi="Arial"/>
                <w:sz w:val="10"/>
                <w:szCs w:val="10"/>
                <w:color w:val="auto"/>
              </w:rPr>
              <w:t>Smaller reporting company</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r>
        <w:trPr>
          <w:trHeight w:val="152"/>
        </w:trPr>
        <w:tc>
          <w:tcPr>
            <w:tcW w:w="13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100" w:type="dxa"/>
            <w:vAlign w:val="bottom"/>
          </w:tcPr>
          <w:p>
            <w:pPr>
              <w:ind w:left="3600"/>
              <w:spacing w:after="0"/>
              <w:rPr>
                <w:sz w:val="20"/>
                <w:szCs w:val="20"/>
                <w:color w:val="auto"/>
              </w:rPr>
            </w:pPr>
            <w:r>
              <w:rPr>
                <w:rFonts w:ascii="Arial" w:cs="Arial" w:eastAsia="Arial" w:hAnsi="Arial"/>
                <w:sz w:val="10"/>
                <w:szCs w:val="10"/>
                <w:color w:val="auto"/>
              </w:rPr>
              <w:t>Emerging growth company</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39" w:lineRule="exact"/>
        <w:rPr>
          <w:sz w:val="24"/>
          <w:szCs w:val="24"/>
          <w:color w:val="auto"/>
        </w:rPr>
      </w:pPr>
    </w:p>
    <w:p>
      <w:pPr>
        <w:ind w:left="220" w:right="1180"/>
        <w:spacing w:after="0" w:line="190"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by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43815</wp:posOffset>
            </wp:positionV>
            <wp:extent cx="12338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3805" cy="5715"/>
                    </a:xfrm>
                    <a:prstGeom prst="rect">
                      <a:avLst/>
                    </a:prstGeom>
                    <a:noFill/>
                  </pic:spPr>
                </pic:pic>
              </a:graphicData>
            </a:graphic>
          </wp:anchor>
        </w:drawing>
      </w:r>
    </w:p>
    <w:p>
      <w:pPr>
        <w:spacing w:after="0" w:line="291" w:lineRule="exact"/>
        <w:rPr>
          <w:sz w:val="24"/>
          <w:szCs w:val="24"/>
          <w:color w:val="auto"/>
        </w:rPr>
      </w:pPr>
    </w:p>
    <w:p>
      <w:pPr>
        <w:ind w:left="220"/>
        <w:spacing w:after="0"/>
        <w:rPr>
          <w:sz w:val="20"/>
          <w:szCs w:val="20"/>
          <w:color w:val="auto"/>
        </w:rPr>
      </w:pPr>
      <w:r>
        <w:rPr>
          <w:rFonts w:ascii="Arial" w:cs="Arial" w:eastAsia="Arial" w:hAnsi="Arial"/>
          <w:sz w:val="10"/>
          <w:szCs w:val="10"/>
          <w:color w:val="auto"/>
        </w:rPr>
        <w:t>As of August 7, 2020, the number of outstanding shares of the registrant's common stock was:</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0"/>
          <w:szCs w:val="10"/>
          <w:color w:val="auto"/>
        </w:rPr>
        <w:t>51,994,291 shares of Class A common stock.</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0"/>
          <w:szCs w:val="10"/>
          <w:color w:val="auto"/>
        </w:rPr>
        <w:t>239,148,743 shares of Class B common stock.</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0"/>
          <w:szCs w:val="10"/>
          <w:color w:val="auto"/>
        </w:rPr>
        <w:t>98,106,387 shares of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7177405"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11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85090</wp:posOffset>
            </wp:positionV>
            <wp:extent cx="71774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10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ZoomInfo Technologies Inc. (the “Company”) is filing this Amendment No. 1 on Form 10-Q/A (“Form 10-Q/A” or the “Amendment”) to amend its Quarterly Report on Form 10-Q for the quarterly period ended June 30, 2020, that was originally filed with the Securities and Exchange Commission (the “SEC”) on August 11, 2020 (the “Original Filing”), to restate its unaudited Condensed Consolidated Balance Sheet as of June 30, 2020, its unaudited Consolidated Statements of Operations, its unaudited Consolidated Statements of Comprehensive Loss, its unaudited Consolidated Statements of Changes in Equity (Deficit), its unaudited Consolidated Statements of Cash Flows, and related footnote disclosures for the three and six months ended June 30, 2020.</w:t>
      </w:r>
    </w:p>
    <w:p>
      <w:pPr>
        <w:spacing w:after="0" w:line="9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As further discussed in Note 1 to the Company’s unaudited condensed consolidated financial statements in Part I, Item 1, “Financial Statements” of this 10-Q/A, in connection with the preparation of the Company's unaudited condensed consolidated financial statements as of and for the periods ended September 30, 2020, the Company reviewed its determination of a tax benefit of approximately $21.6 million related to the difference between the GAAP basis of tax partnerships owned by corporations within the Company's corporate structure during the quarterly period ended June 30, 2020 in the Company's unaudited condensed consolidated financial statements as of and for the periods ended June 30, 2020. In the Company's current judgment, this tax benefit should not have been recorded. Consequently, the Company’s unaudited condensed consolidated financial statements included in the Original Filing should no longer be relied upon.</w:t>
      </w:r>
    </w:p>
    <w:p>
      <w:pPr>
        <w:spacing w:after="0" w:line="91"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As disclosed in the Original Filing, the Company’s management had previously determined that there were deficiencies in internal control over financial reporting that constituted a material weakness. For a description of the material weakness in internal control over financial reporting, see Part I, Item 4 “Controls and Procedures” included in this Form 10-Q/A.</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Items Amended in this Form 10-Q/A</w:t>
      </w:r>
    </w:p>
    <w:p>
      <w:pPr>
        <w:spacing w:after="0" w:line="12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For the convenience of the reader, this Form 10-Q/A sets forth the Original Filing in its entirety, as modified and superseded as necessary to reflect the restatement described above. Accordingly, the Amendment is presented as of the filing date of the Original Filing and does not reflect events occurring after that date or modify or update those disclosures affected by subsequent events or modify or update disclosures in any way other than as required to reflect the restatement described above and should be read in conjunction with the Original Filing and our other filings with the SEC. The following items in the Original Filing have been amended and restated in their entirety as a result of, and to reflect, the restatement:</w:t>
      </w:r>
    </w:p>
    <w:p>
      <w:pPr>
        <w:spacing w:after="0" w:line="90" w:lineRule="exact"/>
        <w:rPr>
          <w:sz w:val="20"/>
          <w:szCs w:val="20"/>
          <w:color w:val="auto"/>
        </w:rPr>
      </w:pPr>
    </w:p>
    <w:p>
      <w:pPr>
        <w:ind w:left="420" w:hanging="209"/>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Part I, Item 1. Financial Statements;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Part I, Item 2. Management’s Discussion and Analysis of Financial Condition and Results of Operations</w:t>
      </w:r>
    </w:p>
    <w:p>
      <w:pPr>
        <w:spacing w:after="0" w:line="116" w:lineRule="exact"/>
        <w:rPr>
          <w:sz w:val="20"/>
          <w:szCs w:val="20"/>
          <w:color w:val="auto"/>
        </w:rPr>
      </w:pPr>
    </w:p>
    <w:p>
      <w:pPr>
        <w:ind w:right="20" w:firstLine="218"/>
        <w:spacing w:after="0" w:line="280" w:lineRule="auto"/>
        <w:rPr>
          <w:sz w:val="20"/>
          <w:szCs w:val="20"/>
          <w:color w:val="auto"/>
        </w:rPr>
      </w:pPr>
      <w:r>
        <w:rPr>
          <w:rFonts w:ascii="Arial" w:cs="Arial" w:eastAsia="Arial" w:hAnsi="Arial"/>
          <w:sz w:val="12"/>
          <w:szCs w:val="12"/>
          <w:color w:val="auto"/>
        </w:rPr>
        <w:t>We have also updated the signature page and the certifications of our Chief Executive Officer and Chief Financial Officer in Exhibits 31.1, 31.2 and 32.1. No other sections of the Original Filing are updated or otherwise affected by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654685</wp:posOffset>
            </wp:positionV>
            <wp:extent cx="7177405"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11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5"/>
        </w:trPr>
        <w:tc>
          <w:tcPr>
            <w:tcW w:w="10520" w:type="dxa"/>
            <w:vAlign w:val="bottom"/>
          </w:tcPr>
          <w:p>
            <w:pPr>
              <w:jc w:val="center"/>
              <w:ind w:left="939"/>
              <w:spacing w:after="0"/>
              <w:rPr>
                <w:sz w:val="20"/>
                <w:szCs w:val="20"/>
                <w:color w:val="auto"/>
              </w:rPr>
            </w:pPr>
            <w:r>
              <w:rPr>
                <w:rFonts w:ascii="Arial" w:cs="Arial" w:eastAsia="Arial" w:hAnsi="Arial"/>
                <w:sz w:val="12"/>
                <w:szCs w:val="12"/>
                <w:b w:val="1"/>
                <w:bCs w:val="1"/>
                <w:color w:val="auto"/>
                <w:w w:val="90"/>
              </w:rPr>
              <w:t>ZoomInfo Technologies Inc.</w:t>
            </w:r>
          </w:p>
        </w:tc>
        <w:tc>
          <w:tcPr>
            <w:tcW w:w="780" w:type="dxa"/>
            <w:vAlign w:val="bottom"/>
          </w:tcPr>
          <w:p>
            <w:pPr>
              <w:spacing w:after="0"/>
              <w:rPr>
                <w:sz w:val="12"/>
                <w:szCs w:val="12"/>
                <w:color w:val="auto"/>
              </w:rPr>
            </w:pPr>
          </w:p>
        </w:tc>
      </w:tr>
      <w:tr>
        <w:trPr>
          <w:trHeight w:val="145"/>
        </w:trPr>
        <w:tc>
          <w:tcPr>
            <w:tcW w:w="10520" w:type="dxa"/>
            <w:vAlign w:val="bottom"/>
          </w:tcPr>
          <w:p>
            <w:pPr>
              <w:jc w:val="center"/>
              <w:ind w:left="939"/>
              <w:spacing w:after="0"/>
              <w:rPr>
                <w:sz w:val="20"/>
                <w:szCs w:val="20"/>
                <w:color w:val="auto"/>
              </w:rPr>
            </w:pPr>
            <w:r>
              <w:rPr>
                <w:rFonts w:ascii="Arial" w:cs="Arial" w:eastAsia="Arial" w:hAnsi="Arial"/>
                <w:sz w:val="12"/>
                <w:szCs w:val="12"/>
                <w:b w:val="1"/>
                <w:bCs w:val="1"/>
                <w:color w:val="auto"/>
                <w:w w:val="95"/>
              </w:rPr>
              <w:t>Quarterly Report on Form 10-Q/A</w:t>
            </w:r>
          </w:p>
        </w:tc>
        <w:tc>
          <w:tcPr>
            <w:tcW w:w="780" w:type="dxa"/>
            <w:vAlign w:val="bottom"/>
          </w:tcPr>
          <w:p>
            <w:pPr>
              <w:spacing w:after="0"/>
              <w:rPr>
                <w:sz w:val="12"/>
                <w:szCs w:val="12"/>
                <w:color w:val="auto"/>
              </w:rPr>
            </w:pPr>
          </w:p>
        </w:tc>
      </w:tr>
      <w:tr>
        <w:trPr>
          <w:trHeight w:val="145"/>
        </w:trPr>
        <w:tc>
          <w:tcPr>
            <w:tcW w:w="10520" w:type="dxa"/>
            <w:vAlign w:val="bottom"/>
          </w:tcPr>
          <w:p>
            <w:pPr>
              <w:jc w:val="center"/>
              <w:ind w:left="919"/>
              <w:spacing w:after="0"/>
              <w:rPr>
                <w:sz w:val="20"/>
                <w:szCs w:val="20"/>
                <w:color w:val="auto"/>
              </w:rPr>
            </w:pPr>
            <w:r>
              <w:rPr>
                <w:rFonts w:ascii="Arial" w:cs="Arial" w:eastAsia="Arial" w:hAnsi="Arial"/>
                <w:sz w:val="12"/>
                <w:szCs w:val="12"/>
                <w:b w:val="1"/>
                <w:bCs w:val="1"/>
                <w:color w:val="auto"/>
                <w:w w:val="92"/>
              </w:rPr>
              <w:t>(Amendment No. 1)</w:t>
            </w:r>
          </w:p>
        </w:tc>
        <w:tc>
          <w:tcPr>
            <w:tcW w:w="780" w:type="dxa"/>
            <w:vAlign w:val="bottom"/>
          </w:tcPr>
          <w:p>
            <w:pPr>
              <w:spacing w:after="0"/>
              <w:rPr>
                <w:sz w:val="12"/>
                <w:szCs w:val="12"/>
                <w:color w:val="auto"/>
              </w:rPr>
            </w:pPr>
          </w:p>
        </w:tc>
      </w:tr>
      <w:tr>
        <w:trPr>
          <w:trHeight w:val="158"/>
        </w:trPr>
        <w:tc>
          <w:tcPr>
            <w:tcW w:w="10520" w:type="dxa"/>
            <w:vAlign w:val="bottom"/>
          </w:tcPr>
          <w:p>
            <w:pPr>
              <w:jc w:val="center"/>
              <w:ind w:left="699"/>
              <w:spacing w:after="0"/>
              <w:rPr>
                <w:sz w:val="20"/>
                <w:szCs w:val="20"/>
                <w:color w:val="auto"/>
              </w:rPr>
            </w:pPr>
            <w:r>
              <w:rPr>
                <w:rFonts w:ascii="Arial" w:cs="Arial" w:eastAsia="Arial" w:hAnsi="Arial"/>
                <w:sz w:val="12"/>
                <w:szCs w:val="12"/>
                <w:b w:val="1"/>
                <w:bCs w:val="1"/>
                <w:color w:val="auto"/>
                <w:w w:val="92"/>
              </w:rPr>
              <w:t>For the Quarterly Period Ended June 30, 2020</w:t>
            </w:r>
          </w:p>
        </w:tc>
        <w:tc>
          <w:tcPr>
            <w:tcW w:w="780" w:type="dxa"/>
            <w:vAlign w:val="bottom"/>
          </w:tcPr>
          <w:p>
            <w:pPr>
              <w:spacing w:after="0"/>
              <w:rPr>
                <w:sz w:val="13"/>
                <w:szCs w:val="13"/>
                <w:color w:val="auto"/>
              </w:rPr>
            </w:pPr>
          </w:p>
        </w:tc>
      </w:tr>
      <w:tr>
        <w:trPr>
          <w:trHeight w:val="477"/>
        </w:trPr>
        <w:tc>
          <w:tcPr>
            <w:tcW w:w="10520" w:type="dxa"/>
            <w:vAlign w:val="bottom"/>
          </w:tcPr>
          <w:p>
            <w:pPr>
              <w:jc w:val="center"/>
              <w:ind w:left="719"/>
              <w:spacing w:after="0"/>
              <w:rPr>
                <w:sz w:val="20"/>
                <w:szCs w:val="20"/>
                <w:color w:val="auto"/>
              </w:rPr>
            </w:pPr>
            <w:r>
              <w:rPr>
                <w:rFonts w:ascii="Arial" w:cs="Arial" w:eastAsia="Arial" w:hAnsi="Arial"/>
                <w:sz w:val="17"/>
                <w:szCs w:val="17"/>
                <w:b w:val="1"/>
                <w:bCs w:val="1"/>
                <w:color w:val="auto"/>
                <w:w w:val="99"/>
              </w:rPr>
              <w:t>TABLE OF CONTENTS</w:t>
            </w:r>
          </w:p>
        </w:tc>
        <w:tc>
          <w:tcPr>
            <w:tcW w:w="780" w:type="dxa"/>
            <w:vAlign w:val="bottom"/>
          </w:tcPr>
          <w:p>
            <w:pPr>
              <w:spacing w:after="0"/>
              <w:rPr>
                <w:sz w:val="24"/>
                <w:szCs w:val="24"/>
                <w:color w:val="auto"/>
              </w:rPr>
            </w:pPr>
          </w:p>
        </w:tc>
      </w:tr>
      <w:tr>
        <w:trPr>
          <w:trHeight w:val="257"/>
        </w:trPr>
        <w:tc>
          <w:tcPr>
            <w:tcW w:w="1052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Page</w:t>
            </w:r>
          </w:p>
        </w:tc>
      </w:tr>
      <w:tr>
        <w:trPr>
          <w:trHeight w:val="155"/>
        </w:trPr>
        <w:tc>
          <w:tcPr>
            <w:tcW w:w="1052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Glossary</w:t>
              </w:r>
            </w:hyperlink>
          </w:p>
        </w:tc>
        <w:tc>
          <w:tcPr>
            <w:tcW w:w="780" w:type="dxa"/>
            <w:vAlign w:val="bottom"/>
          </w:tcPr>
          <w:p>
            <w:pPr>
              <w:jc w:val="center"/>
              <w:spacing w:after="0"/>
              <w:rPr>
                <w:rFonts w:ascii="Arial" w:cs="Arial" w:eastAsia="Arial" w:hAnsi="Arial"/>
                <w:sz w:val="10"/>
                <w:szCs w:val="10"/>
                <w:b w:val="1"/>
                <w:bCs w:val="1"/>
                <w:u w:val="single" w:color="auto"/>
                <w:color w:val="0000FF"/>
              </w:rPr>
            </w:pPr>
            <w:hyperlink w:anchor="page3">
              <w:r>
                <w:rPr>
                  <w:rFonts w:ascii="Arial" w:cs="Arial" w:eastAsia="Arial" w:hAnsi="Arial"/>
                  <w:sz w:val="10"/>
                  <w:szCs w:val="10"/>
                  <w:b w:val="1"/>
                  <w:bCs w:val="1"/>
                  <w:u w:val="single" w:color="auto"/>
                  <w:color w:val="0000FF"/>
                </w:rPr>
                <w:t>ii</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Cautionary Statement Regarding Forward-Looking Statements</w:t>
              </w:r>
            </w:hyperlink>
          </w:p>
        </w:tc>
        <w:tc>
          <w:tcPr>
            <w:tcW w:w="780" w:type="dxa"/>
            <w:vAlign w:val="bottom"/>
          </w:tcPr>
          <w:p>
            <w:pPr>
              <w:jc w:val="center"/>
              <w:spacing w:after="0"/>
              <w:rPr>
                <w:rFonts w:ascii="Arial" w:cs="Arial" w:eastAsia="Arial" w:hAnsi="Arial"/>
                <w:sz w:val="10"/>
                <w:szCs w:val="10"/>
                <w:b w:val="1"/>
                <w:bCs w:val="1"/>
                <w:u w:val="single" w:color="auto"/>
                <w:color w:val="0000FF"/>
                <w:w w:val="95"/>
              </w:rPr>
            </w:pPr>
            <w:hyperlink w:anchor="page5">
              <w:r>
                <w:rPr>
                  <w:rFonts w:ascii="Arial" w:cs="Arial" w:eastAsia="Arial" w:hAnsi="Arial"/>
                  <w:sz w:val="10"/>
                  <w:szCs w:val="10"/>
                  <w:b w:val="1"/>
                  <w:bCs w:val="1"/>
                  <w:u w:val="single" w:color="auto"/>
                  <w:color w:val="0000FF"/>
                  <w:w w:val="95"/>
                </w:rPr>
                <w:t>iv</w:t>
              </w:r>
            </w:hyperlink>
          </w:p>
        </w:tc>
      </w:tr>
      <w:tr>
        <w:trPr>
          <w:trHeight w:val="326"/>
        </w:trPr>
        <w:tc>
          <w:tcPr>
            <w:tcW w:w="10520" w:type="dxa"/>
            <w:vAlign w:val="bottom"/>
          </w:tcPr>
          <w:p>
            <w:pPr>
              <w:jc w:val="center"/>
              <w:ind w:left="719"/>
              <w:spacing w:after="0"/>
              <w:rPr>
                <w:rFonts w:ascii="Arial" w:cs="Arial" w:eastAsia="Arial" w:hAnsi="Arial"/>
                <w:sz w:val="12"/>
                <w:szCs w:val="12"/>
                <w:u w:val="single" w:color="auto"/>
                <w:color w:val="0000FF"/>
                <w:w w:val="99"/>
              </w:rPr>
            </w:pPr>
            <w:hyperlink w:anchor="page7">
              <w:r>
                <w:rPr>
                  <w:rFonts w:ascii="Arial" w:cs="Arial" w:eastAsia="Arial" w:hAnsi="Arial"/>
                  <w:sz w:val="12"/>
                  <w:szCs w:val="12"/>
                  <w:u w:val="single" w:color="auto"/>
                  <w:color w:val="0000FF"/>
                  <w:w w:val="99"/>
                </w:rPr>
                <w:t>PART I - FINANCIAL INFORMATION</w:t>
              </w:r>
            </w:hyperlink>
          </w:p>
        </w:tc>
        <w:tc>
          <w:tcPr>
            <w:tcW w:w="780" w:type="dxa"/>
            <w:vAlign w:val="bottom"/>
          </w:tcPr>
          <w:p>
            <w:pPr>
              <w:spacing w:after="0"/>
              <w:rPr>
                <w:sz w:val="24"/>
                <w:szCs w:val="24"/>
                <w:color w:val="auto"/>
              </w:rPr>
            </w:pPr>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8">
              <w:r>
                <w:rPr>
                  <w:rFonts w:ascii="Arial" w:cs="Arial" w:eastAsia="Arial" w:hAnsi="Arial"/>
                  <w:sz w:val="12"/>
                  <w:szCs w:val="12"/>
                  <w:u w:val="single" w:color="auto"/>
                  <w:color w:val="0000FF"/>
                </w:rPr>
                <w:t>Item 1. Financial Statements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8">
              <w:r>
                <w:rPr>
                  <w:rFonts w:ascii="Arial" w:cs="Arial" w:eastAsia="Arial" w:hAnsi="Arial"/>
                  <w:sz w:val="12"/>
                  <w:szCs w:val="12"/>
                  <w:u w:val="single" w:color="auto"/>
                  <w:color w:val="0000FF"/>
                  <w:w w:val="89"/>
                </w:rPr>
                <w:t>1</w:t>
              </w:r>
            </w:hyperlink>
          </w:p>
        </w:tc>
      </w:tr>
      <w:tr>
        <w:trPr>
          <w:trHeight w:val="182"/>
        </w:trPr>
        <w:tc>
          <w:tcPr>
            <w:tcW w:w="10520" w:type="dxa"/>
            <w:vAlign w:val="bottom"/>
          </w:tcPr>
          <w:p>
            <w:pPr>
              <w:ind w:left="460"/>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Condensed Consolidated Balance Sheets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9">
              <w:r>
                <w:rPr>
                  <w:rFonts w:ascii="Arial" w:cs="Arial" w:eastAsia="Arial" w:hAnsi="Arial"/>
                  <w:sz w:val="12"/>
                  <w:szCs w:val="12"/>
                  <w:u w:val="single" w:color="auto"/>
                  <w:color w:val="0000FF"/>
                  <w:w w:val="89"/>
                </w:rPr>
                <w:t>2</w:t>
              </w:r>
            </w:hyperlink>
          </w:p>
        </w:tc>
      </w:tr>
      <w:tr>
        <w:trPr>
          <w:trHeight w:val="182"/>
        </w:trPr>
        <w:tc>
          <w:tcPr>
            <w:tcW w:w="10520" w:type="dxa"/>
            <w:vAlign w:val="bottom"/>
          </w:tcPr>
          <w:p>
            <w:pPr>
              <w:ind w:left="460"/>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Consolidated Statements of Operations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9">
              <w:r>
                <w:rPr>
                  <w:rFonts w:ascii="Arial" w:cs="Arial" w:eastAsia="Arial" w:hAnsi="Arial"/>
                  <w:sz w:val="12"/>
                  <w:szCs w:val="12"/>
                  <w:u w:val="single" w:color="auto"/>
                  <w:color w:val="0000FF"/>
                  <w:w w:val="89"/>
                </w:rPr>
                <w:t>3</w:t>
              </w:r>
            </w:hyperlink>
          </w:p>
        </w:tc>
      </w:tr>
      <w:tr>
        <w:trPr>
          <w:trHeight w:val="182"/>
        </w:trPr>
        <w:tc>
          <w:tcPr>
            <w:tcW w:w="10520" w:type="dxa"/>
            <w:vAlign w:val="bottom"/>
          </w:tcPr>
          <w:p>
            <w:pPr>
              <w:ind w:left="460"/>
              <w:spacing w:after="0"/>
              <w:rPr>
                <w:rFonts w:ascii="Arial" w:cs="Arial" w:eastAsia="Arial" w:hAnsi="Arial"/>
                <w:sz w:val="12"/>
                <w:szCs w:val="12"/>
                <w:u w:val="single" w:color="auto"/>
                <w:color w:val="0000FF"/>
              </w:rPr>
            </w:pPr>
            <w:hyperlink w:anchor="page10">
              <w:r>
                <w:rPr>
                  <w:rFonts w:ascii="Arial" w:cs="Arial" w:eastAsia="Arial" w:hAnsi="Arial"/>
                  <w:sz w:val="12"/>
                  <w:szCs w:val="12"/>
                  <w:u w:val="single" w:color="auto"/>
                  <w:color w:val="0000FF"/>
                </w:rPr>
                <w:t>Consolidated Statements of Comprehensive Loss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0">
              <w:r>
                <w:rPr>
                  <w:rFonts w:ascii="Arial" w:cs="Arial" w:eastAsia="Arial" w:hAnsi="Arial"/>
                  <w:sz w:val="12"/>
                  <w:szCs w:val="12"/>
                  <w:u w:val="single" w:color="auto"/>
                  <w:color w:val="0000FF"/>
                  <w:w w:val="89"/>
                </w:rPr>
                <w:t>4</w:t>
              </w:r>
            </w:hyperlink>
          </w:p>
        </w:tc>
      </w:tr>
      <w:tr>
        <w:trPr>
          <w:trHeight w:val="182"/>
        </w:trPr>
        <w:tc>
          <w:tcPr>
            <w:tcW w:w="10520" w:type="dxa"/>
            <w:vAlign w:val="bottom"/>
          </w:tcPr>
          <w:p>
            <w:pPr>
              <w:ind w:left="460"/>
              <w:spacing w:after="0"/>
              <w:rPr>
                <w:rFonts w:ascii="Arial" w:cs="Arial" w:eastAsia="Arial" w:hAnsi="Arial"/>
                <w:sz w:val="12"/>
                <w:szCs w:val="12"/>
                <w:u w:val="single" w:color="auto"/>
                <w:color w:val="0000FF"/>
              </w:rPr>
            </w:pPr>
            <w:hyperlink w:anchor="page11">
              <w:r>
                <w:rPr>
                  <w:rFonts w:ascii="Arial" w:cs="Arial" w:eastAsia="Arial" w:hAnsi="Arial"/>
                  <w:sz w:val="12"/>
                  <w:szCs w:val="12"/>
                  <w:u w:val="single" w:color="auto"/>
                  <w:color w:val="0000FF"/>
                </w:rPr>
                <w:t>Consolidated Statements of Changes in Equity (Deficit)</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1">
              <w:r>
                <w:rPr>
                  <w:rFonts w:ascii="Arial" w:cs="Arial" w:eastAsia="Arial" w:hAnsi="Arial"/>
                  <w:sz w:val="12"/>
                  <w:szCs w:val="12"/>
                  <w:u w:val="single" w:color="auto"/>
                  <w:color w:val="0000FF"/>
                  <w:w w:val="89"/>
                </w:rPr>
                <w:t>5</w:t>
              </w:r>
            </w:hyperlink>
          </w:p>
        </w:tc>
      </w:tr>
      <w:tr>
        <w:trPr>
          <w:trHeight w:val="182"/>
        </w:trPr>
        <w:tc>
          <w:tcPr>
            <w:tcW w:w="10520" w:type="dxa"/>
            <w:vAlign w:val="bottom"/>
          </w:tcPr>
          <w:p>
            <w:pPr>
              <w:ind w:left="460"/>
              <w:spacing w:after="0"/>
              <w:rPr>
                <w:rFonts w:ascii="Arial" w:cs="Arial" w:eastAsia="Arial" w:hAnsi="Arial"/>
                <w:sz w:val="12"/>
                <w:szCs w:val="12"/>
                <w:u w:val="single" w:color="auto"/>
                <w:color w:val="0000FF"/>
              </w:rPr>
            </w:pPr>
            <w:hyperlink w:anchor="page13">
              <w:r>
                <w:rPr>
                  <w:rFonts w:ascii="Arial" w:cs="Arial" w:eastAsia="Arial" w:hAnsi="Arial"/>
                  <w:sz w:val="12"/>
                  <w:szCs w:val="12"/>
                  <w:u w:val="single" w:color="auto"/>
                  <w:color w:val="0000FF"/>
                </w:rPr>
                <w:t>Consolidated Statements of Cash Flows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3">
              <w:r>
                <w:rPr>
                  <w:rFonts w:ascii="Arial" w:cs="Arial" w:eastAsia="Arial" w:hAnsi="Arial"/>
                  <w:sz w:val="12"/>
                  <w:szCs w:val="12"/>
                  <w:u w:val="single" w:color="auto"/>
                  <w:color w:val="0000FF"/>
                  <w:w w:val="89"/>
                </w:rPr>
                <w:t>7</w:t>
              </w:r>
            </w:hyperlink>
          </w:p>
        </w:tc>
      </w:tr>
      <w:tr>
        <w:trPr>
          <w:trHeight w:val="182"/>
        </w:trPr>
        <w:tc>
          <w:tcPr>
            <w:tcW w:w="10520" w:type="dxa"/>
            <w:vAlign w:val="bottom"/>
          </w:tcPr>
          <w:p>
            <w:pPr>
              <w:ind w:left="460"/>
              <w:spacing w:after="0"/>
              <w:rPr>
                <w:rFonts w:ascii="Arial" w:cs="Arial" w:eastAsia="Arial" w:hAnsi="Arial"/>
                <w:sz w:val="12"/>
                <w:szCs w:val="12"/>
                <w:u w:val="single" w:color="auto"/>
                <w:color w:val="0000FF"/>
              </w:rPr>
            </w:pPr>
            <w:hyperlink w:anchor="page14">
              <w:r>
                <w:rPr>
                  <w:rFonts w:ascii="Arial" w:cs="Arial" w:eastAsia="Arial" w:hAnsi="Arial"/>
                  <w:sz w:val="12"/>
                  <w:szCs w:val="12"/>
                  <w:u w:val="single" w:color="auto"/>
                  <w:color w:val="0000FF"/>
                </w:rPr>
                <w:t>Notes to the Consolidated Financial Statements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4">
              <w:r>
                <w:rPr>
                  <w:rFonts w:ascii="Arial" w:cs="Arial" w:eastAsia="Arial" w:hAnsi="Arial"/>
                  <w:sz w:val="12"/>
                  <w:szCs w:val="12"/>
                  <w:u w:val="single" w:color="auto"/>
                  <w:color w:val="0000FF"/>
                  <w:w w:val="89"/>
                </w:rPr>
                <w:t>8</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48">
              <w:r>
                <w:rPr>
                  <w:rFonts w:ascii="Arial" w:cs="Arial" w:eastAsia="Arial" w:hAnsi="Arial"/>
                  <w:sz w:val="12"/>
                  <w:szCs w:val="12"/>
                  <w:u w:val="single" w:color="auto"/>
                  <w:color w:val="0000FF"/>
                </w:rPr>
                <w:t>Item 2. Management's Discussion and Analysis of Financial Condition and Results of Operations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48">
              <w:r>
                <w:rPr>
                  <w:rFonts w:ascii="Arial" w:cs="Arial" w:eastAsia="Arial" w:hAnsi="Arial"/>
                  <w:sz w:val="12"/>
                  <w:szCs w:val="12"/>
                  <w:u w:val="single" w:color="auto"/>
                  <w:color w:val="0000FF"/>
                  <w:w w:val="89"/>
                </w:rPr>
                <w:t>42</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72">
              <w:r>
                <w:rPr>
                  <w:rFonts w:ascii="Arial" w:cs="Arial" w:eastAsia="Arial" w:hAnsi="Arial"/>
                  <w:sz w:val="12"/>
                  <w:szCs w:val="12"/>
                  <w:u w:val="single" w:color="auto"/>
                  <w:color w:val="0000FF"/>
                </w:rPr>
                <w:t>Item 3. Quantitative and Qualitative Disclosures About Market Risk</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72">
              <w:r>
                <w:rPr>
                  <w:rFonts w:ascii="Arial" w:cs="Arial" w:eastAsia="Arial" w:hAnsi="Arial"/>
                  <w:sz w:val="12"/>
                  <w:szCs w:val="12"/>
                  <w:u w:val="single" w:color="auto"/>
                  <w:color w:val="0000FF"/>
                  <w:w w:val="89"/>
                </w:rPr>
                <w:t>65</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73">
              <w:r>
                <w:rPr>
                  <w:rFonts w:ascii="Arial" w:cs="Arial" w:eastAsia="Arial" w:hAnsi="Arial"/>
                  <w:sz w:val="12"/>
                  <w:szCs w:val="12"/>
                  <w:u w:val="single" w:color="auto"/>
                  <w:color w:val="0000FF"/>
                </w:rPr>
                <w:t>Item 4. Controls and Procedures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73">
              <w:r>
                <w:rPr>
                  <w:rFonts w:ascii="Arial" w:cs="Arial" w:eastAsia="Arial" w:hAnsi="Arial"/>
                  <w:sz w:val="12"/>
                  <w:szCs w:val="12"/>
                  <w:u w:val="single" w:color="auto"/>
                  <w:color w:val="0000FF"/>
                  <w:w w:val="89"/>
                </w:rPr>
                <w:t>66</w:t>
              </w:r>
            </w:hyperlink>
          </w:p>
        </w:tc>
      </w:tr>
      <w:tr>
        <w:trPr>
          <w:trHeight w:val="182"/>
        </w:trPr>
        <w:tc>
          <w:tcPr>
            <w:tcW w:w="10520" w:type="dxa"/>
            <w:vAlign w:val="bottom"/>
          </w:tcPr>
          <w:p>
            <w:pPr>
              <w:jc w:val="center"/>
              <w:ind w:left="699"/>
              <w:spacing w:after="0"/>
              <w:rPr>
                <w:rFonts w:ascii="Arial" w:cs="Arial" w:eastAsia="Arial" w:hAnsi="Arial"/>
                <w:sz w:val="12"/>
                <w:szCs w:val="12"/>
                <w:u w:val="single" w:color="auto"/>
                <w:color w:val="0000FF"/>
                <w:w w:val="96"/>
              </w:rPr>
            </w:pPr>
            <w:hyperlink w:anchor="page74">
              <w:r>
                <w:rPr>
                  <w:rFonts w:ascii="Arial" w:cs="Arial" w:eastAsia="Arial" w:hAnsi="Arial"/>
                  <w:sz w:val="12"/>
                  <w:szCs w:val="12"/>
                  <w:u w:val="single" w:color="auto"/>
                  <w:color w:val="0000FF"/>
                  <w:w w:val="96"/>
                </w:rPr>
                <w:t>PART II - OTHER INFORMATION</w:t>
              </w:r>
            </w:hyperlink>
          </w:p>
        </w:tc>
        <w:tc>
          <w:tcPr>
            <w:tcW w:w="780" w:type="dxa"/>
            <w:vAlign w:val="bottom"/>
          </w:tcPr>
          <w:p>
            <w:pPr>
              <w:spacing w:after="0"/>
              <w:rPr>
                <w:sz w:val="15"/>
                <w:szCs w:val="15"/>
                <w:color w:val="auto"/>
              </w:rPr>
            </w:pPr>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75">
              <w:r>
                <w:rPr>
                  <w:rFonts w:ascii="Arial" w:cs="Arial" w:eastAsia="Arial" w:hAnsi="Arial"/>
                  <w:sz w:val="12"/>
                  <w:szCs w:val="12"/>
                  <w:u w:val="single" w:color="auto"/>
                  <w:color w:val="0000FF"/>
                </w:rPr>
                <w:t>Item 1. Legal Proceedings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75">
              <w:r>
                <w:rPr>
                  <w:rFonts w:ascii="Arial" w:cs="Arial" w:eastAsia="Arial" w:hAnsi="Arial"/>
                  <w:sz w:val="12"/>
                  <w:szCs w:val="12"/>
                  <w:u w:val="single" w:color="auto"/>
                  <w:color w:val="0000FF"/>
                  <w:w w:val="89"/>
                </w:rPr>
                <w:t>68</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75">
              <w:r>
                <w:rPr>
                  <w:rFonts w:ascii="Arial" w:cs="Arial" w:eastAsia="Arial" w:hAnsi="Arial"/>
                  <w:sz w:val="12"/>
                  <w:szCs w:val="12"/>
                  <w:u w:val="single" w:color="auto"/>
                  <w:color w:val="0000FF"/>
                </w:rPr>
                <w:t>Item 1A. Risk Factors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75">
              <w:r>
                <w:rPr>
                  <w:rFonts w:ascii="Arial" w:cs="Arial" w:eastAsia="Arial" w:hAnsi="Arial"/>
                  <w:sz w:val="12"/>
                  <w:szCs w:val="12"/>
                  <w:u w:val="single" w:color="auto"/>
                  <w:color w:val="0000FF"/>
                  <w:w w:val="89"/>
                </w:rPr>
                <w:t>68</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120">
              <w:r>
                <w:rPr>
                  <w:rFonts w:ascii="Arial" w:cs="Arial" w:eastAsia="Arial" w:hAnsi="Arial"/>
                  <w:sz w:val="12"/>
                  <w:szCs w:val="12"/>
                  <w:u w:val="single" w:color="auto"/>
                  <w:color w:val="0000FF"/>
                </w:rPr>
                <w:t>Item 2. Unregistered Sales of Equity Securities and Use of Proceeds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20">
              <w:r>
                <w:rPr>
                  <w:rFonts w:ascii="Arial" w:cs="Arial" w:eastAsia="Arial" w:hAnsi="Arial"/>
                  <w:sz w:val="12"/>
                  <w:szCs w:val="12"/>
                  <w:u w:val="single" w:color="auto"/>
                  <w:color w:val="0000FF"/>
                  <w:w w:val="89"/>
                </w:rPr>
                <w:t>113</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121">
              <w:r>
                <w:rPr>
                  <w:rFonts w:ascii="Arial" w:cs="Arial" w:eastAsia="Arial" w:hAnsi="Arial"/>
                  <w:sz w:val="12"/>
                  <w:szCs w:val="12"/>
                  <w:u w:val="single" w:color="auto"/>
                  <w:color w:val="0000FF"/>
                </w:rPr>
                <w:t>Item 3. Defaults Upon Senior Securities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21">
              <w:r>
                <w:rPr>
                  <w:rFonts w:ascii="Arial" w:cs="Arial" w:eastAsia="Arial" w:hAnsi="Arial"/>
                  <w:sz w:val="12"/>
                  <w:szCs w:val="12"/>
                  <w:u w:val="single" w:color="auto"/>
                  <w:color w:val="0000FF"/>
                  <w:w w:val="89"/>
                </w:rPr>
                <w:t>114</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121">
              <w:r>
                <w:rPr>
                  <w:rFonts w:ascii="Arial" w:cs="Arial" w:eastAsia="Arial" w:hAnsi="Arial"/>
                  <w:sz w:val="12"/>
                  <w:szCs w:val="12"/>
                  <w:u w:val="single" w:color="auto"/>
                  <w:color w:val="0000FF"/>
                </w:rPr>
                <w:t>Item 4. Mine Safety Disclosures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21">
              <w:r>
                <w:rPr>
                  <w:rFonts w:ascii="Arial" w:cs="Arial" w:eastAsia="Arial" w:hAnsi="Arial"/>
                  <w:sz w:val="12"/>
                  <w:szCs w:val="12"/>
                  <w:u w:val="single" w:color="auto"/>
                  <w:color w:val="0000FF"/>
                  <w:w w:val="89"/>
                </w:rPr>
                <w:t>114</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121">
              <w:r>
                <w:rPr>
                  <w:rFonts w:ascii="Arial" w:cs="Arial" w:eastAsia="Arial" w:hAnsi="Arial"/>
                  <w:sz w:val="12"/>
                  <w:szCs w:val="12"/>
                  <w:u w:val="single" w:color="auto"/>
                  <w:color w:val="0000FF"/>
                </w:rPr>
                <w:t>Item 5. Other Information</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21">
              <w:r>
                <w:rPr>
                  <w:rFonts w:ascii="Arial" w:cs="Arial" w:eastAsia="Arial" w:hAnsi="Arial"/>
                  <w:sz w:val="12"/>
                  <w:szCs w:val="12"/>
                  <w:u w:val="single" w:color="auto"/>
                  <w:color w:val="0000FF"/>
                  <w:w w:val="89"/>
                </w:rPr>
                <w:t>114</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122">
              <w:r>
                <w:rPr>
                  <w:rFonts w:ascii="Arial" w:cs="Arial" w:eastAsia="Arial" w:hAnsi="Arial"/>
                  <w:sz w:val="12"/>
                  <w:szCs w:val="12"/>
                  <w:u w:val="single" w:color="auto"/>
                  <w:color w:val="0000FF"/>
                </w:rPr>
                <w:t>Item 6. Exhibits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22">
              <w:r>
                <w:rPr>
                  <w:rFonts w:ascii="Arial" w:cs="Arial" w:eastAsia="Arial" w:hAnsi="Arial"/>
                  <w:sz w:val="12"/>
                  <w:szCs w:val="12"/>
                  <w:u w:val="single" w:color="auto"/>
                  <w:color w:val="0000FF"/>
                  <w:w w:val="89"/>
                </w:rPr>
                <w:t>116</w:t>
              </w:r>
            </w:hyperlink>
          </w:p>
        </w:tc>
      </w:tr>
      <w:tr>
        <w:trPr>
          <w:trHeight w:val="182"/>
        </w:trPr>
        <w:tc>
          <w:tcPr>
            <w:tcW w:w="10520" w:type="dxa"/>
            <w:vAlign w:val="bottom"/>
          </w:tcPr>
          <w:p>
            <w:pPr>
              <w:spacing w:after="0"/>
              <w:rPr>
                <w:rFonts w:ascii="Arial" w:cs="Arial" w:eastAsia="Arial" w:hAnsi="Arial"/>
                <w:sz w:val="12"/>
                <w:szCs w:val="12"/>
                <w:u w:val="single" w:color="auto"/>
                <w:color w:val="0000FF"/>
              </w:rPr>
            </w:pPr>
            <w:hyperlink w:anchor="page124">
              <w:r>
                <w:rPr>
                  <w:rFonts w:ascii="Arial" w:cs="Arial" w:eastAsia="Arial" w:hAnsi="Arial"/>
                  <w:sz w:val="12"/>
                  <w:szCs w:val="12"/>
                  <w:u w:val="single" w:color="auto"/>
                  <w:color w:val="0000FF"/>
                </w:rPr>
                <w:t>Signatures</w:t>
              </w:r>
            </w:hyperlink>
          </w:p>
        </w:tc>
        <w:tc>
          <w:tcPr>
            <w:tcW w:w="780" w:type="dxa"/>
            <w:vAlign w:val="bottom"/>
          </w:tcPr>
          <w:p>
            <w:pPr>
              <w:jc w:val="center"/>
              <w:spacing w:after="0"/>
              <w:rPr>
                <w:rFonts w:ascii="Arial" w:cs="Arial" w:eastAsia="Arial" w:hAnsi="Arial"/>
                <w:sz w:val="12"/>
                <w:szCs w:val="12"/>
                <w:u w:val="single" w:color="auto"/>
                <w:color w:val="0000FF"/>
                <w:w w:val="89"/>
              </w:rPr>
            </w:pPr>
            <w:hyperlink w:anchor="page124">
              <w:r>
                <w:rPr>
                  <w:rFonts w:ascii="Arial" w:cs="Arial" w:eastAsia="Arial" w:hAnsi="Arial"/>
                  <w:sz w:val="12"/>
                  <w:szCs w:val="12"/>
                  <w:u w:val="single" w:color="auto"/>
                  <w:color w:val="0000FF"/>
                  <w:w w:val="89"/>
                </w:rPr>
                <w:t>118</w:t>
              </w:r>
            </w:hyperlink>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107" w:right="299" w:bottom="1440" w:gutter="0" w:footer="0" w:header="0"/>
        </w:sectPr>
      </w:pPr>
    </w:p>
    <w:bookmarkStart w:id="3" w:name="page4"/>
    <w:bookmarkEnd w:id="3"/>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6"/>
        <w:spacing w:after="0"/>
        <w:rPr>
          <w:sz w:val="20"/>
          <w:szCs w:val="20"/>
          <w:color w:val="auto"/>
        </w:rPr>
      </w:pPr>
      <w:r>
        <w:rPr>
          <w:rFonts w:ascii="Arial" w:cs="Arial" w:eastAsia="Arial" w:hAnsi="Arial"/>
          <w:sz w:val="12"/>
          <w:szCs w:val="12"/>
          <w:b w:val="1"/>
          <w:bCs w:val="1"/>
          <w:color w:val="auto"/>
        </w:rPr>
        <w:t>GLOSSARY</w:t>
      </w:r>
    </w:p>
    <w:p>
      <w:pPr>
        <w:spacing w:after="0" w:line="120" w:lineRule="exact"/>
        <w:rPr>
          <w:sz w:val="20"/>
          <w:szCs w:val="20"/>
          <w:color w:val="auto"/>
        </w:rPr>
      </w:pPr>
    </w:p>
    <w:p>
      <w:pPr>
        <w:ind w:left="7" w:firstLine="218"/>
        <w:spacing w:after="0" w:line="283" w:lineRule="auto"/>
        <w:rPr>
          <w:sz w:val="20"/>
          <w:szCs w:val="20"/>
          <w:color w:val="auto"/>
        </w:rPr>
      </w:pPr>
      <w:r>
        <w:rPr>
          <w:rFonts w:ascii="Arial" w:cs="Arial" w:eastAsia="Arial" w:hAnsi="Arial"/>
          <w:sz w:val="11"/>
          <w:szCs w:val="11"/>
          <w:color w:val="auto"/>
        </w:rPr>
        <w:t>As used in this quarterly report on Form 10-Q/A (this “</w:t>
      </w:r>
      <w:r>
        <w:rPr>
          <w:rFonts w:ascii="Arial" w:cs="Arial" w:eastAsia="Arial" w:hAnsi="Arial"/>
          <w:sz w:val="11"/>
          <w:szCs w:val="11"/>
          <w:u w:val="single" w:color="auto"/>
          <w:color w:val="auto"/>
        </w:rPr>
        <w:t>Form 10-Q/A</w:t>
      </w:r>
      <w:r>
        <w:rPr>
          <w:rFonts w:ascii="Arial" w:cs="Arial" w:eastAsia="Arial" w:hAnsi="Arial"/>
          <w:sz w:val="11"/>
          <w:szCs w:val="11"/>
          <w:color w:val="auto"/>
        </w:rPr>
        <w:t>”), the terms identified below have the meanings specified below unless otherwise noted or the context indicates otherwise. References in this Form 10-Q/A to “ZoomInfo Technologies Inc.” refer to ZoomInfo Technologies Inc. and not to any of its subsidiaries unless the context indicates otherwise. References in this Form 10-Q/A to “ZoomInfo,” the “Company,” “we,” “us,” and “our” refer</w:t>
      </w:r>
    </w:p>
    <w:p>
      <w:pPr>
        <w:spacing w:after="0" w:line="1" w:lineRule="exact"/>
        <w:rPr>
          <w:sz w:val="20"/>
          <w:szCs w:val="20"/>
          <w:color w:val="auto"/>
        </w:rPr>
      </w:pPr>
    </w:p>
    <w:p>
      <w:pPr>
        <w:ind w:left="7" w:hanging="7"/>
        <w:spacing w:after="0" w:line="265" w:lineRule="auto"/>
        <w:tabs>
          <w:tab w:leader="none" w:pos="19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86"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2020 Plan</w:t>
      </w:r>
      <w:r>
        <w:rPr>
          <w:rFonts w:ascii="Arial" w:cs="Arial" w:eastAsia="Arial" w:hAnsi="Arial"/>
          <w:sz w:val="12"/>
          <w:szCs w:val="12"/>
          <w:color w:val="auto"/>
        </w:rPr>
        <w:t>” refers to ZoomInfo Technologies Inc.’s 2020 Omnibus Incentive Plan.</w:t>
      </w:r>
    </w:p>
    <w:p>
      <w:pPr>
        <w:spacing w:after="0" w:line="15"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22C Capital</w:t>
      </w:r>
      <w:r>
        <w:rPr>
          <w:rFonts w:ascii="Arial" w:cs="Arial" w:eastAsia="Arial" w:hAnsi="Arial"/>
          <w:sz w:val="12"/>
          <w:szCs w:val="12"/>
          <w:color w:val="auto"/>
        </w:rPr>
        <w:t>” refers to investment funds associated with 22C Capital LLC and its predecessor.</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ACV</w:t>
      </w:r>
      <w:r>
        <w:rPr>
          <w:rFonts w:ascii="Arial" w:cs="Arial" w:eastAsia="Arial" w:hAnsi="Arial"/>
          <w:sz w:val="11"/>
          <w:szCs w:val="11"/>
          <w:color w:val="auto"/>
        </w:rPr>
        <w:t>” refers to annual contract value, or the total annualized value that a customer has agreed to pay for subscription services at any particular point in time under contract(s) that are or were enforceable at that point in time.</w:t>
      </w:r>
    </w:p>
    <w:p>
      <w:pPr>
        <w:spacing w:after="0" w:line="18" w:lineRule="exact"/>
        <w:rPr>
          <w:rFonts w:ascii="Arial" w:cs="Arial" w:eastAsia="Arial" w:hAnsi="Arial"/>
          <w:sz w:val="11"/>
          <w:szCs w:val="11"/>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Blocker Companies</w:t>
      </w:r>
      <w:r>
        <w:rPr>
          <w:rFonts w:ascii="Arial" w:cs="Arial" w:eastAsia="Arial" w:hAnsi="Arial"/>
          <w:sz w:val="12"/>
          <w:szCs w:val="12"/>
          <w:color w:val="auto"/>
        </w:rPr>
        <w:t>” refers to certain of our Pre-IPO OpCo Unitholders that are taxable as corporations for U.S. federal income tax purposes.</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Blocker Mergers</w:t>
      </w:r>
      <w:r>
        <w:rPr>
          <w:rFonts w:ascii="Arial" w:cs="Arial" w:eastAsia="Arial" w:hAnsi="Arial"/>
          <w:sz w:val="12"/>
          <w:szCs w:val="12"/>
          <w:color w:val="auto"/>
        </w:rPr>
        <w:t>” refers to the mergers described under “Reorganization Transactions” in Note 1 to our unaudited consolidated financial statements included in Part I, Item 1 of this Form 10-Q/A.</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Carlyle</w:t>
      </w:r>
      <w:r>
        <w:rPr>
          <w:rFonts w:ascii="Arial" w:cs="Arial" w:eastAsia="Arial" w:hAnsi="Arial"/>
          <w:sz w:val="12"/>
          <w:szCs w:val="12"/>
          <w:color w:val="auto"/>
        </w:rPr>
        <w:t>” refers to investment funds associated with The Carlyle Group.</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P Units</w:t>
      </w:r>
      <w:r>
        <w:rPr>
          <w:rFonts w:ascii="Arial" w:cs="Arial" w:eastAsia="Arial" w:hAnsi="Arial"/>
          <w:sz w:val="12"/>
          <w:szCs w:val="12"/>
          <w:color w:val="auto"/>
        </w:rPr>
        <w:t>” refers to Class P Units (including, without limitation, any indirectly held Class P Units) of ZoomInfo OpCo.</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Continuing Class P Unitholders</w:t>
      </w:r>
      <w:r>
        <w:rPr>
          <w:rFonts w:ascii="Arial" w:cs="Arial" w:eastAsia="Arial" w:hAnsi="Arial"/>
          <w:sz w:val="12"/>
          <w:szCs w:val="12"/>
          <w:color w:val="auto"/>
        </w:rPr>
        <w:t>” refers to certain pre-IPO owners who continued to hold Class P Units following the consummation of the Reorganization Transactions and the IPO.</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Continuing members</w:t>
      </w:r>
      <w:r>
        <w:rPr>
          <w:rFonts w:ascii="Arial" w:cs="Arial" w:eastAsia="Arial" w:hAnsi="Arial"/>
          <w:sz w:val="12"/>
          <w:szCs w:val="12"/>
          <w:color w:val="auto"/>
        </w:rPr>
        <w:t>” refers to pre-IPO owners who continue to hold HoldCo Units or OpCo Units following the Reorganization Transactions and the IPO.</w:t>
      </w:r>
    </w:p>
    <w:p>
      <w:pPr>
        <w:spacing w:after="0" w:line="7" w:lineRule="exact"/>
        <w:rPr>
          <w:rFonts w:ascii="Arial" w:cs="Arial" w:eastAsia="Arial" w:hAnsi="Arial"/>
          <w:sz w:val="12"/>
          <w:szCs w:val="12"/>
          <w:color w:val="auto"/>
        </w:rPr>
      </w:pPr>
    </w:p>
    <w:p>
      <w:pPr>
        <w:ind w:left="427" w:right="20" w:hanging="209"/>
        <w:spacing w:after="0" w:line="252" w:lineRule="auto"/>
        <w:tabs>
          <w:tab w:leader="none" w:pos="424"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Customers</w:t>
      </w:r>
      <w:r>
        <w:rPr>
          <w:rFonts w:ascii="Arial" w:cs="Arial" w:eastAsia="Arial" w:hAnsi="Arial"/>
          <w:sz w:val="12"/>
          <w:szCs w:val="12"/>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Datanyze</w:t>
      </w:r>
      <w:r>
        <w:rPr>
          <w:rFonts w:ascii="Arial" w:cs="Arial" w:eastAsia="Arial" w:hAnsi="Arial"/>
          <w:sz w:val="12"/>
          <w:szCs w:val="12"/>
          <w:color w:val="auto"/>
        </w:rPr>
        <w:t>” refers collectively to Datanyze, Inc. and Datanyze Rus, LLC.</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Tax Receivable Agreement</w:t>
      </w:r>
      <w:r>
        <w:rPr>
          <w:rFonts w:ascii="Arial" w:cs="Arial" w:eastAsia="Arial" w:hAnsi="Arial"/>
          <w:sz w:val="12"/>
          <w:szCs w:val="12"/>
          <w:color w:val="auto"/>
        </w:rPr>
        <w:t>” refers to the tax receivable agreement entered into with certain Pre-IPO OpCo Unitholders.</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Founders</w:t>
      </w:r>
      <w:r>
        <w:rPr>
          <w:rFonts w:ascii="Arial" w:cs="Arial" w:eastAsia="Arial" w:hAnsi="Arial"/>
          <w:sz w:val="12"/>
          <w:szCs w:val="12"/>
          <w:color w:val="auto"/>
        </w:rPr>
        <w:t>” refers to Henry Schuck, our Chief Executive Officer, and Kirk Brown.</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HoldCo Units</w:t>
      </w:r>
      <w:r>
        <w:rPr>
          <w:rFonts w:ascii="Arial" w:cs="Arial" w:eastAsia="Arial" w:hAnsi="Arial"/>
          <w:sz w:val="12"/>
          <w:szCs w:val="12"/>
          <w:color w:val="auto"/>
        </w:rPr>
        <w:t>” refers to the class of units of ZoomInfo HoldCo.</w:t>
      </w:r>
    </w:p>
    <w:p>
      <w:pPr>
        <w:spacing w:after="0" w:line="7" w:lineRule="exact"/>
        <w:rPr>
          <w:rFonts w:ascii="Arial" w:cs="Arial" w:eastAsia="Arial" w:hAnsi="Arial"/>
          <w:sz w:val="12"/>
          <w:szCs w:val="12"/>
          <w:color w:val="auto"/>
        </w:rPr>
      </w:pPr>
    </w:p>
    <w:p>
      <w:pPr>
        <w:ind w:left="427" w:right="20" w:hanging="209"/>
        <w:spacing w:after="0" w:line="252" w:lineRule="auto"/>
        <w:tabs>
          <w:tab w:leader="none" w:pos="424"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HSKB</w:t>
      </w:r>
      <w:r>
        <w:rPr>
          <w:rFonts w:ascii="Arial" w:cs="Arial" w:eastAsia="Arial" w:hAnsi="Arial"/>
          <w:sz w:val="12"/>
          <w:szCs w:val="12"/>
          <w:color w:val="auto"/>
        </w:rPr>
        <w:t>” and “</w:t>
      </w:r>
      <w:r>
        <w:rPr>
          <w:rFonts w:ascii="Arial" w:cs="Arial" w:eastAsia="Arial" w:hAnsi="Arial"/>
          <w:sz w:val="12"/>
          <w:szCs w:val="12"/>
          <w:u w:val="single" w:color="auto"/>
          <w:color w:val="auto"/>
        </w:rPr>
        <w:t>HSKB I</w:t>
      </w:r>
      <w:r>
        <w:rPr>
          <w:rFonts w:ascii="Arial" w:cs="Arial" w:eastAsia="Arial" w:hAnsi="Arial"/>
          <w:sz w:val="12"/>
          <w:szCs w:val="12"/>
          <w:color w:val="auto"/>
        </w:rPr>
        <w:t>” refers to HSKB Funds, LLC, a privately held limited liability company formed on February 9, 2016 for the purpose of issuing equity to certain persons who had performed and would continue to perform services for ZoomInfo OpCo.</w:t>
      </w:r>
    </w:p>
    <w:p>
      <w:pPr>
        <w:ind w:left="427" w:right="20" w:hanging="209"/>
        <w:spacing w:after="0" w:line="252" w:lineRule="auto"/>
        <w:tabs>
          <w:tab w:leader="none" w:pos="424"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HSKB II</w:t>
      </w:r>
      <w:r>
        <w:rPr>
          <w:rFonts w:ascii="Arial" w:cs="Arial" w:eastAsia="Arial" w:hAnsi="Arial"/>
          <w:sz w:val="12"/>
          <w:szCs w:val="12"/>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IPO</w:t>
      </w:r>
      <w:r>
        <w:rPr>
          <w:rFonts w:ascii="Arial" w:cs="Arial" w:eastAsia="Arial" w:hAnsi="Arial"/>
          <w:sz w:val="12"/>
          <w:szCs w:val="12"/>
          <w:color w:val="auto"/>
        </w:rPr>
        <w:t>” refers to the initial public offering of Class A common stock of ZoomInfo Technologies Inc.</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IPO Prospectus</w:t>
      </w:r>
      <w:r>
        <w:rPr>
          <w:rFonts w:ascii="Arial" w:cs="Arial" w:eastAsia="Arial" w:hAnsi="Arial"/>
          <w:sz w:val="12"/>
          <w:szCs w:val="12"/>
          <w:color w:val="auto"/>
        </w:rPr>
        <w:t>” refers to ZoomInfo Technologies Inc.’s prospectus dated June 3, 2020 filed with the SEC pursuant to Rule 424(b) of the Securities Act on June 5, 2020.</w:t>
      </w:r>
    </w:p>
    <w:p>
      <w:pPr>
        <w:spacing w:after="0" w:line="7" w:lineRule="exact"/>
        <w:rPr>
          <w:rFonts w:ascii="Arial" w:cs="Arial" w:eastAsia="Arial" w:hAnsi="Arial"/>
          <w:sz w:val="12"/>
          <w:szCs w:val="12"/>
          <w:color w:val="auto"/>
        </w:rPr>
      </w:pPr>
    </w:p>
    <w:p>
      <w:pPr>
        <w:ind w:left="427" w:right="20" w:hanging="209"/>
        <w:spacing w:after="0" w:line="252" w:lineRule="auto"/>
        <w:tabs>
          <w:tab w:leader="none" w:pos="424"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LTIP Units</w:t>
      </w:r>
      <w:r>
        <w:rPr>
          <w:rFonts w:ascii="Arial" w:cs="Arial" w:eastAsia="Arial" w:hAnsi="Arial"/>
          <w:sz w:val="12"/>
          <w:szCs w:val="12"/>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NeverBounce</w:t>
      </w:r>
      <w:r>
        <w:rPr>
          <w:rFonts w:ascii="Arial" w:cs="Arial" w:eastAsia="Arial" w:hAnsi="Arial"/>
          <w:sz w:val="12"/>
          <w:szCs w:val="12"/>
          <w:color w:val="auto"/>
        </w:rPr>
        <w:t>” refers to Metrics Delivered LLC.</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OpCo Units</w:t>
      </w:r>
      <w:r>
        <w:rPr>
          <w:rFonts w:ascii="Arial" w:cs="Arial" w:eastAsia="Arial" w:hAnsi="Arial"/>
          <w:sz w:val="12"/>
          <w:szCs w:val="12"/>
          <w:color w:val="auto"/>
        </w:rPr>
        <w:t>” refers to the class of units of ZoomInfo OpCo, and does not include Class P Units.</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Pre-Acquisition ZI</w:t>
      </w:r>
      <w:r>
        <w:rPr>
          <w:rFonts w:ascii="Arial" w:cs="Arial" w:eastAsia="Arial" w:hAnsi="Arial"/>
          <w:sz w:val="12"/>
          <w:szCs w:val="12"/>
          <w:color w:val="auto"/>
        </w:rPr>
        <w:t>” refers to Zoom Information Inc.</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Pre-IPO Blocker Holders</w:t>
      </w:r>
      <w:r>
        <w:rPr>
          <w:rFonts w:ascii="Arial" w:cs="Arial" w:eastAsia="Arial" w:hAnsi="Arial"/>
          <w:sz w:val="12"/>
          <w:szCs w:val="12"/>
          <w:color w:val="auto"/>
        </w:rPr>
        <w:t>” refers to the pre-IPO owners that held their interests in us through the Blocker Companies immediately prior to the IPO.</w:t>
      </w:r>
    </w:p>
    <w:p>
      <w:pPr>
        <w:spacing w:after="0" w:line="7" w:lineRule="exact"/>
        <w:rPr>
          <w:rFonts w:ascii="Arial" w:cs="Arial" w:eastAsia="Arial" w:hAnsi="Arial"/>
          <w:sz w:val="12"/>
          <w:szCs w:val="12"/>
          <w:color w:val="auto"/>
        </w:rPr>
      </w:pPr>
    </w:p>
    <w:p>
      <w:pPr>
        <w:ind w:left="427" w:hanging="209"/>
        <w:spacing w:after="0"/>
        <w:tabs>
          <w:tab w:leader="none" w:pos="427" w:val="left"/>
        </w:tabs>
        <w:numPr>
          <w:ilvl w:val="1"/>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Pre-IPO HoldCo Unitholders</w:t>
      </w:r>
      <w:r>
        <w:rPr>
          <w:rFonts w:ascii="Arial" w:cs="Arial" w:eastAsia="Arial" w:hAnsi="Arial"/>
          <w:sz w:val="12"/>
          <w:szCs w:val="12"/>
          <w:color w:val="auto"/>
        </w:rPr>
        <w:t>” refers to the pre-IPO owners that held HoldCo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26"/>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4" w:name="page5"/>
    <w:bookmarkEnd w:id="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Pre-IPO OpCo Unitholders</w:t>
      </w:r>
      <w:r>
        <w:rPr>
          <w:rFonts w:ascii="Arial" w:cs="Arial" w:eastAsia="Arial" w:hAnsi="Arial"/>
          <w:sz w:val="12"/>
          <w:szCs w:val="12"/>
          <w:color w:val="auto"/>
        </w:rPr>
        <w:t>” refers to the pre-IPO owners that held OpCo Units immediately prior to the IPO.</w:t>
      </w:r>
    </w:p>
    <w:p>
      <w:pPr>
        <w:spacing w:after="0" w:line="15"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Pre-IPO owners</w:t>
      </w:r>
      <w:r>
        <w:rPr>
          <w:rFonts w:ascii="Arial" w:cs="Arial" w:eastAsia="Arial" w:hAnsi="Arial"/>
          <w:sz w:val="11"/>
          <w:szCs w:val="11"/>
          <w:color w:val="auto"/>
        </w:rPr>
        <w:t>” refers collectively to the Sponsors, the Founders, and the management and other equity holders who were the owners of ZoomInfo OpCo immediately prior to the Reorganization Transactions.</w:t>
      </w:r>
    </w:p>
    <w:p>
      <w:pPr>
        <w:spacing w:after="0" w:line="18" w:lineRule="exact"/>
        <w:rPr>
          <w:rFonts w:ascii="Arial" w:cs="Arial" w:eastAsia="Arial" w:hAnsi="Arial"/>
          <w:sz w:val="11"/>
          <w:szCs w:val="11"/>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RainKing</w:t>
      </w:r>
      <w:r>
        <w:rPr>
          <w:rFonts w:ascii="Arial" w:cs="Arial" w:eastAsia="Arial" w:hAnsi="Arial"/>
          <w:sz w:val="12"/>
          <w:szCs w:val="12"/>
          <w:color w:val="auto"/>
        </w:rPr>
        <w:t>” refers to Rain King Software, Inc.</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Reorganization Tax Receivable Agreement</w:t>
      </w:r>
      <w:r>
        <w:rPr>
          <w:rFonts w:ascii="Arial" w:cs="Arial" w:eastAsia="Arial" w:hAnsi="Arial"/>
          <w:sz w:val="12"/>
          <w:szCs w:val="12"/>
          <w:color w:val="auto"/>
        </w:rPr>
        <w:t>” refers to the tax receivable agreement entered into with the Pre-IPO Blocker Holders.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Reorganization Transactions</w:t>
      </w:r>
      <w:r>
        <w:rPr>
          <w:rFonts w:ascii="Arial" w:cs="Arial" w:eastAsia="Arial" w:hAnsi="Arial"/>
          <w:sz w:val="11"/>
          <w:szCs w:val="11"/>
          <w:color w:val="auto"/>
        </w:rPr>
        <w:t>” refers to the transactions described under “Reorganization Transactions” in Note 1 to our unaudited consolidated financial statements included in Part I, Item 1 of this Form 10-Q/A.</w:t>
      </w:r>
    </w:p>
    <w:p>
      <w:pPr>
        <w:spacing w:after="0" w:line="18" w:lineRule="exact"/>
        <w:rPr>
          <w:rFonts w:ascii="Arial" w:cs="Arial" w:eastAsia="Arial" w:hAnsi="Arial"/>
          <w:sz w:val="11"/>
          <w:szCs w:val="11"/>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w:t>
      </w:r>
      <w:r>
        <w:rPr>
          <w:rFonts w:ascii="Arial" w:cs="Arial" w:eastAsia="Arial" w:hAnsi="Arial"/>
          <w:sz w:val="12"/>
          <w:szCs w:val="12"/>
          <w:color w:val="auto"/>
        </w:rPr>
        <w:t>” refers to the Securities and Exchange Commission.</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refers to the Securities Act of 1933, as amended.</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A Preferred Units</w:t>
      </w:r>
      <w:r>
        <w:rPr>
          <w:rFonts w:ascii="Arial" w:cs="Arial" w:eastAsia="Arial" w:hAnsi="Arial"/>
          <w:sz w:val="12"/>
          <w:szCs w:val="12"/>
          <w:color w:val="auto"/>
        </w:rPr>
        <w:t>” refers to the Series A preferred units of ZoomInfo OpCo outstanding immediately prior to the IPO.</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Sponsors</w:t>
      </w:r>
      <w:r>
        <w:rPr>
          <w:rFonts w:ascii="Arial" w:cs="Arial" w:eastAsia="Arial" w:hAnsi="Arial"/>
          <w:sz w:val="12"/>
          <w:szCs w:val="12"/>
          <w:color w:val="auto"/>
        </w:rPr>
        <w:t>” refers collectively to TA Associates, Carlyle, and 22C Capital.</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 Associates</w:t>
      </w:r>
      <w:r>
        <w:rPr>
          <w:rFonts w:ascii="Arial" w:cs="Arial" w:eastAsia="Arial" w:hAnsi="Arial"/>
          <w:sz w:val="12"/>
          <w:szCs w:val="12"/>
          <w:color w:val="auto"/>
        </w:rPr>
        <w:t>” refers to investment funds associated with TA Associates.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 Receivable Agreements</w:t>
      </w:r>
      <w:r>
        <w:rPr>
          <w:rFonts w:ascii="Arial" w:cs="Arial" w:eastAsia="Arial" w:hAnsi="Arial"/>
          <w:sz w:val="12"/>
          <w:szCs w:val="12"/>
          <w:color w:val="auto"/>
        </w:rPr>
        <w:t>” refers collectively to the Exchange Tax Receivable Agreement and the Reorganization Tax Receivable Agreement.</w:t>
      </w:r>
    </w:p>
    <w:p>
      <w:pPr>
        <w:spacing w:after="0" w:line="7"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Topic 606</w:t>
      </w:r>
      <w:r>
        <w:rPr>
          <w:rFonts w:ascii="Arial" w:cs="Arial" w:eastAsia="Arial" w:hAnsi="Arial"/>
          <w:sz w:val="12"/>
          <w:szCs w:val="12"/>
          <w:color w:val="auto"/>
        </w:rPr>
        <w:t>” refers to Accounting Standard Update (“</w:t>
      </w:r>
      <w:r>
        <w:rPr>
          <w:rFonts w:ascii="Arial" w:cs="Arial" w:eastAsia="Arial" w:hAnsi="Arial"/>
          <w:sz w:val="12"/>
          <w:szCs w:val="12"/>
          <w:u w:val="single" w:color="auto"/>
          <w:color w:val="auto"/>
        </w:rPr>
        <w:t>ASU</w:t>
      </w:r>
      <w:r>
        <w:rPr>
          <w:rFonts w:ascii="Arial" w:cs="Arial" w:eastAsia="Arial" w:hAnsi="Arial"/>
          <w:sz w:val="12"/>
          <w:szCs w:val="12"/>
          <w:color w:val="auto"/>
        </w:rPr>
        <w:t xml:space="preserve">”)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later codified as Accounting Standards Codification (“</w:t>
      </w:r>
      <w:r>
        <w:rPr>
          <w:rFonts w:ascii="Arial" w:cs="Arial" w:eastAsia="Arial" w:hAnsi="Arial"/>
          <w:sz w:val="12"/>
          <w:szCs w:val="12"/>
          <w:u w:val="single" w:color="auto"/>
          <w:color w:val="auto"/>
        </w:rPr>
        <w:t>ASC</w:t>
      </w:r>
      <w:r>
        <w:rPr>
          <w:rFonts w:ascii="Arial" w:cs="Arial" w:eastAsia="Arial" w:hAnsi="Arial"/>
          <w:sz w:val="12"/>
          <w:szCs w:val="12"/>
          <w:color w:val="auto"/>
        </w:rPr>
        <w:t>”) Topic 606.</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Addressable Market</w:t>
      </w:r>
      <w:r>
        <w:rPr>
          <w:rFonts w:ascii="Arial" w:cs="Arial" w:eastAsia="Arial" w:hAnsi="Arial"/>
          <w:sz w:val="12"/>
          <w:szCs w:val="12"/>
          <w:color w:val="auto"/>
        </w:rPr>
        <w:t>” refers to the revenue opportunity that we believe is available to go-to-market intelligence solutions, such as ours.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ZoomInfo HoldCo</w:t>
      </w:r>
      <w:r>
        <w:rPr>
          <w:rFonts w:ascii="Arial" w:cs="Arial" w:eastAsia="Arial" w:hAnsi="Arial"/>
          <w:sz w:val="12"/>
          <w:szCs w:val="12"/>
          <w:color w:val="auto"/>
        </w:rPr>
        <w:t>” refers to ZoomInfo Intermediate Holdings LLC, a Delaware limited liability company, and a direct subsidiary of ZoomInfo Technologies Inc.</w:t>
      </w:r>
    </w:p>
    <w:p>
      <w:pPr>
        <w:spacing w:after="0" w:line="7" w:lineRule="exact"/>
        <w:rPr>
          <w:rFonts w:ascii="Arial" w:cs="Arial" w:eastAsia="Arial" w:hAnsi="Arial"/>
          <w:sz w:val="12"/>
          <w:szCs w:val="12"/>
          <w:color w:val="auto"/>
        </w:rPr>
      </w:pPr>
    </w:p>
    <w:p>
      <w:pPr>
        <w:ind w:left="420" w:hanging="209"/>
        <w:spacing w:after="0" w:line="265"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ZoomInfo OpCo</w:t>
      </w:r>
      <w:r>
        <w:rPr>
          <w:rFonts w:ascii="Arial" w:cs="Arial" w:eastAsia="Arial" w:hAnsi="Arial"/>
          <w:sz w:val="12"/>
          <w:szCs w:val="12"/>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 w:name="page6"/>
    <w:bookmarkEnd w:id="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20" w:lineRule="exact"/>
        <w:rPr>
          <w:sz w:val="20"/>
          <w:szCs w:val="20"/>
          <w:color w:val="auto"/>
        </w:rPr>
      </w:pPr>
    </w:p>
    <w:p>
      <w:pPr>
        <w:jc w:val="both"/>
        <w:ind w:right="20" w:firstLine="436"/>
        <w:spacing w:after="0" w:line="261" w:lineRule="auto"/>
        <w:rPr>
          <w:sz w:val="20"/>
          <w:szCs w:val="20"/>
          <w:color w:val="auto"/>
        </w:rPr>
      </w:pPr>
      <w:r>
        <w:rPr>
          <w:rFonts w:ascii="Arial" w:cs="Arial" w:eastAsia="Arial" w:hAnsi="Arial"/>
          <w:sz w:val="12"/>
          <w:szCs w:val="12"/>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90"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are some of the factors that could cause actual results to differ from those expressed or implied by our forward-looking statements, including forward-looking statements contained in this Quarterly Report 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Form 10-Q/A:</w:t>
      </w:r>
    </w:p>
    <w:p>
      <w:pPr>
        <w:spacing w:after="0" w:line="108" w:lineRule="exact"/>
        <w:rPr>
          <w:sz w:val="20"/>
          <w:szCs w:val="20"/>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COVID-19 pandemic, including the global economic uncertainty and measures taken in response, could materially impact our business and future results of operations;</w:t>
      </w:r>
    </w:p>
    <w:p>
      <w:pPr>
        <w:spacing w:after="0" w:line="15"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larger well-funded companies shifting their existing business models to become more competitive with us;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provide or adapt our platform for changes in laws and regulations or public perception, or changes in the enforcement of such laws, relating to data privacy;</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effects of companies more effectively catering to our customers by offering more tailored products or platforms at lower costs;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adverse general economic and market conditions reducing spending on sales and marketing;</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effects of declining demand for sales and marketing subscription platforms;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improve our technology and keep up with new processes for data collection, organization, and cleansing;</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provide a highly accurate, reliable, and comprehensive platform moving forward;</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reliance on third-party systems that we do not control to integrate with our system and our potential inability to continue to support integration;</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adequately fund research and development potentially limiting introduction of new features, integrations, and enhancements;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attract new customers and expand existing subscriptions;</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decrease in participation in our contributory network or increased opt-out rates impacting the depth, breadth, and accuracy of our platform;</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failure to protect and maintain our brand and our ability to attract and retain customers; and</w:t>
      </w:r>
    </w:p>
    <w:p>
      <w:pPr>
        <w:spacing w:after="0" w:line="7" w:lineRule="exact"/>
        <w:rPr>
          <w:rFonts w:ascii="Arial" w:cs="Arial" w:eastAsia="Arial" w:hAnsi="Arial"/>
          <w:sz w:val="12"/>
          <w:szCs w:val="12"/>
          <w:color w:val="auto"/>
        </w:rPr>
      </w:pPr>
    </w:p>
    <w:p>
      <w:pPr>
        <w:ind w:left="420" w:hanging="209"/>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other factors described under “Risk Factors” in Item 1A of Part II of this Form 10-Q/A, and in other reports we file from time to time with the SEC.</w:t>
      </w:r>
    </w:p>
    <w:p>
      <w:pPr>
        <w:spacing w:after="0" w:line="9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These factors should not be construed as exhaustive and should be read in conjunction with the other cautionary statements that are included in this Form 10-Q/A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You should not place undue reliance on our forward-looking statements. Each forward-looking statement speaks only as of the date of the particular statement, and we undertake no obligation to update or revise 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 w:name="page7"/>
    <w:bookmarkEnd w:id="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forward-looking statements whether as a result of new information, future developments or otherwise, except as required by law.</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 w:name="page8"/>
    <w:bookmarkEnd w:id="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00" w:type="dxa"/>
            <w:vAlign w:val="bottom"/>
          </w:tcPr>
          <w:p>
            <w:pPr>
              <w:ind w:left="4600"/>
              <w:spacing w:after="0"/>
              <w:rPr>
                <w:sz w:val="20"/>
                <w:szCs w:val="20"/>
                <w:color w:val="auto"/>
              </w:rPr>
            </w:pPr>
            <w:r>
              <w:rPr>
                <w:rFonts w:ascii="Arial" w:cs="Arial" w:eastAsia="Arial" w:hAnsi="Arial"/>
                <w:sz w:val="12"/>
                <w:szCs w:val="12"/>
                <w:b w:val="1"/>
                <w:bCs w:val="1"/>
                <w:color w:val="auto"/>
              </w:rPr>
              <w:t>PART I - FINANCIAL INFORMATION</w:t>
            </w:r>
          </w:p>
        </w:tc>
        <w:tc>
          <w:tcPr>
            <w:tcW w:w="2500" w:type="dxa"/>
            <w:vAlign w:val="bottom"/>
          </w:tcPr>
          <w:p>
            <w:pPr>
              <w:spacing w:after="0"/>
              <w:rPr>
                <w:sz w:val="13"/>
                <w:szCs w:val="13"/>
                <w:color w:val="auto"/>
              </w:rPr>
            </w:pPr>
          </w:p>
        </w:tc>
      </w:tr>
      <w:tr>
        <w:trPr>
          <w:trHeight w:val="254"/>
        </w:trPr>
        <w:tc>
          <w:tcPr>
            <w:tcW w:w="8800" w:type="dxa"/>
            <w:vAlign w:val="bottom"/>
          </w:tcPr>
          <w:p>
            <w:pPr>
              <w:spacing w:after="0"/>
              <w:rPr>
                <w:sz w:val="20"/>
                <w:szCs w:val="20"/>
                <w:color w:val="auto"/>
              </w:rPr>
            </w:pPr>
            <w:r>
              <w:rPr>
                <w:rFonts w:ascii="Arial" w:cs="Arial" w:eastAsia="Arial" w:hAnsi="Arial"/>
                <w:sz w:val="12"/>
                <w:szCs w:val="12"/>
                <w:b w:val="1"/>
                <w:bCs w:val="1"/>
                <w:color w:val="auto"/>
              </w:rPr>
              <w:t>ITEM 1. FINANCIAL STATEMENTS</w:t>
            </w:r>
          </w:p>
        </w:tc>
        <w:tc>
          <w:tcPr>
            <w:tcW w:w="2500" w:type="dxa"/>
            <w:vAlign w:val="bottom"/>
          </w:tcPr>
          <w:p>
            <w:pPr>
              <w:spacing w:after="0"/>
              <w:rPr>
                <w:sz w:val="22"/>
                <w:szCs w:val="22"/>
                <w:color w:val="auto"/>
              </w:rPr>
            </w:pPr>
          </w:p>
        </w:tc>
      </w:tr>
      <w:tr>
        <w:trPr>
          <w:trHeight w:val="527"/>
        </w:trPr>
        <w:tc>
          <w:tcPr>
            <w:tcW w:w="8800" w:type="dxa"/>
            <w:vAlign w:val="bottom"/>
          </w:tcPr>
          <w:p>
            <w:pPr>
              <w:ind w:left="4560"/>
              <w:spacing w:after="0"/>
              <w:rPr>
                <w:sz w:val="20"/>
                <w:szCs w:val="20"/>
                <w:color w:val="auto"/>
              </w:rPr>
            </w:pPr>
            <w:r>
              <w:rPr>
                <w:rFonts w:ascii="Arial" w:cs="Arial" w:eastAsia="Arial" w:hAnsi="Arial"/>
                <w:sz w:val="12"/>
                <w:szCs w:val="12"/>
                <w:b w:val="1"/>
                <w:bCs w:val="1"/>
                <w:color w:val="auto"/>
              </w:rPr>
              <w:t>INDEX TO FINANCIAL STATEMENTS</w:t>
            </w:r>
          </w:p>
        </w:tc>
        <w:tc>
          <w:tcPr>
            <w:tcW w:w="2500" w:type="dxa"/>
            <w:vAlign w:val="bottom"/>
          </w:tcPr>
          <w:p>
            <w:pPr>
              <w:spacing w:after="0"/>
              <w:rPr>
                <w:sz w:val="24"/>
                <w:szCs w:val="24"/>
                <w:color w:val="auto"/>
              </w:rPr>
            </w:pPr>
          </w:p>
        </w:tc>
      </w:tr>
      <w:tr>
        <w:trPr>
          <w:trHeight w:val="463"/>
        </w:trPr>
        <w:tc>
          <w:tcPr>
            <w:tcW w:w="8800" w:type="dxa"/>
            <w:vAlign w:val="bottom"/>
          </w:tcPr>
          <w:p>
            <w:pPr>
              <w:ind w:left="40"/>
              <w:spacing w:after="0"/>
              <w:rPr>
                <w:sz w:val="20"/>
                <w:szCs w:val="20"/>
                <w:color w:val="auto"/>
              </w:rPr>
            </w:pPr>
            <w:r>
              <w:rPr>
                <w:rFonts w:ascii="Arial" w:cs="Arial" w:eastAsia="Arial" w:hAnsi="Arial"/>
                <w:sz w:val="12"/>
                <w:szCs w:val="12"/>
                <w:b w:val="1"/>
                <w:bCs w:val="1"/>
                <w:color w:val="auto"/>
              </w:rPr>
              <w:t>Unaudited Consolidated Financial Statements of ZoomInfo Technologies Inc. and Subsidiaries</w:t>
            </w:r>
          </w:p>
        </w:tc>
        <w:tc>
          <w:tcPr>
            <w:tcW w:w="2500" w:type="dxa"/>
            <w:vAlign w:val="bottom"/>
          </w:tcPr>
          <w:p>
            <w:pPr>
              <w:spacing w:after="0"/>
              <w:rPr>
                <w:sz w:val="24"/>
                <w:szCs w:val="24"/>
                <w:color w:val="auto"/>
              </w:rPr>
            </w:pPr>
          </w:p>
        </w:tc>
      </w:tr>
      <w:tr>
        <w:trPr>
          <w:trHeight w:val="363"/>
        </w:trPr>
        <w:tc>
          <w:tcPr>
            <w:tcW w:w="8800" w:type="dxa"/>
            <w:vAlign w:val="bottom"/>
          </w:tcPr>
          <w:p>
            <w:pPr>
              <w:ind w:left="160"/>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Condensed Consolidated Balance Sheets</w:t>
              </w:r>
            </w:hyperlink>
          </w:p>
        </w:tc>
        <w:tc>
          <w:tcPr>
            <w:tcW w:w="2500" w:type="dxa"/>
            <w:vAlign w:val="bottom"/>
          </w:tcPr>
          <w:p>
            <w:pPr>
              <w:jc w:val="right"/>
              <w:ind w:right="299"/>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2</w:t>
              </w:r>
            </w:hyperlink>
          </w:p>
        </w:tc>
      </w:tr>
      <w:tr>
        <w:trPr>
          <w:trHeight w:val="182"/>
        </w:trPr>
        <w:tc>
          <w:tcPr>
            <w:tcW w:w="8800" w:type="dxa"/>
            <w:vAlign w:val="bottom"/>
          </w:tcPr>
          <w:p>
            <w:pPr>
              <w:ind w:left="160"/>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Consolidated Statements of Operations</w:t>
              </w:r>
            </w:hyperlink>
          </w:p>
        </w:tc>
        <w:tc>
          <w:tcPr>
            <w:tcW w:w="2500" w:type="dxa"/>
            <w:vAlign w:val="bottom"/>
          </w:tcPr>
          <w:p>
            <w:pPr>
              <w:jc w:val="right"/>
              <w:ind w:right="299"/>
              <w:spacing w:after="0"/>
              <w:rPr>
                <w:rFonts w:ascii="Arial" w:cs="Arial" w:eastAsia="Arial" w:hAnsi="Arial"/>
                <w:sz w:val="12"/>
                <w:szCs w:val="12"/>
                <w:u w:val="single" w:color="auto"/>
                <w:color w:val="0000FF"/>
              </w:rPr>
            </w:pPr>
            <w:hyperlink w:anchor="page9">
              <w:r>
                <w:rPr>
                  <w:rFonts w:ascii="Arial" w:cs="Arial" w:eastAsia="Arial" w:hAnsi="Arial"/>
                  <w:sz w:val="12"/>
                  <w:szCs w:val="12"/>
                  <w:u w:val="single" w:color="auto"/>
                  <w:color w:val="0000FF"/>
                </w:rPr>
                <w:t>3</w:t>
              </w:r>
            </w:hyperlink>
          </w:p>
        </w:tc>
      </w:tr>
      <w:tr>
        <w:trPr>
          <w:trHeight w:val="182"/>
        </w:trPr>
        <w:tc>
          <w:tcPr>
            <w:tcW w:w="8800" w:type="dxa"/>
            <w:vAlign w:val="bottom"/>
          </w:tcPr>
          <w:p>
            <w:pPr>
              <w:ind w:left="160"/>
              <w:spacing w:after="0"/>
              <w:rPr>
                <w:rFonts w:ascii="Arial" w:cs="Arial" w:eastAsia="Arial" w:hAnsi="Arial"/>
                <w:sz w:val="12"/>
                <w:szCs w:val="12"/>
                <w:u w:val="single" w:color="auto"/>
                <w:color w:val="0000FF"/>
              </w:rPr>
            </w:pPr>
            <w:hyperlink w:anchor="page10">
              <w:r>
                <w:rPr>
                  <w:rFonts w:ascii="Arial" w:cs="Arial" w:eastAsia="Arial" w:hAnsi="Arial"/>
                  <w:sz w:val="12"/>
                  <w:szCs w:val="12"/>
                  <w:u w:val="single" w:color="auto"/>
                  <w:color w:val="0000FF"/>
                </w:rPr>
                <w:t>Consolidated Statements of Comprehensive Loss</w:t>
              </w:r>
            </w:hyperlink>
          </w:p>
        </w:tc>
        <w:tc>
          <w:tcPr>
            <w:tcW w:w="2500" w:type="dxa"/>
            <w:vAlign w:val="bottom"/>
          </w:tcPr>
          <w:p>
            <w:pPr>
              <w:jc w:val="right"/>
              <w:ind w:right="299"/>
              <w:spacing w:after="0"/>
              <w:rPr>
                <w:rFonts w:ascii="Arial" w:cs="Arial" w:eastAsia="Arial" w:hAnsi="Arial"/>
                <w:sz w:val="12"/>
                <w:szCs w:val="12"/>
                <w:u w:val="single" w:color="auto"/>
                <w:color w:val="0000FF"/>
              </w:rPr>
            </w:pPr>
            <w:hyperlink w:anchor="page10">
              <w:r>
                <w:rPr>
                  <w:rFonts w:ascii="Arial" w:cs="Arial" w:eastAsia="Arial" w:hAnsi="Arial"/>
                  <w:sz w:val="12"/>
                  <w:szCs w:val="12"/>
                  <w:u w:val="single" w:color="auto"/>
                  <w:color w:val="0000FF"/>
                </w:rPr>
                <w:t>4</w:t>
              </w:r>
            </w:hyperlink>
          </w:p>
        </w:tc>
      </w:tr>
      <w:tr>
        <w:trPr>
          <w:trHeight w:val="182"/>
        </w:trPr>
        <w:tc>
          <w:tcPr>
            <w:tcW w:w="8800" w:type="dxa"/>
            <w:vAlign w:val="bottom"/>
          </w:tcPr>
          <w:p>
            <w:pPr>
              <w:ind w:left="160"/>
              <w:spacing w:after="0"/>
              <w:rPr>
                <w:rFonts w:ascii="Arial" w:cs="Arial" w:eastAsia="Arial" w:hAnsi="Arial"/>
                <w:sz w:val="12"/>
                <w:szCs w:val="12"/>
                <w:u w:val="single" w:color="auto"/>
                <w:color w:val="0000FF"/>
              </w:rPr>
            </w:pPr>
            <w:hyperlink w:anchor="page11">
              <w:r>
                <w:rPr>
                  <w:rFonts w:ascii="Arial" w:cs="Arial" w:eastAsia="Arial" w:hAnsi="Arial"/>
                  <w:sz w:val="12"/>
                  <w:szCs w:val="12"/>
                  <w:u w:val="single" w:color="auto"/>
                  <w:color w:val="0000FF"/>
                </w:rPr>
                <w:t>Consolidated Statements of Changes in Equity (Deficit)</w:t>
              </w:r>
            </w:hyperlink>
          </w:p>
        </w:tc>
        <w:tc>
          <w:tcPr>
            <w:tcW w:w="2500" w:type="dxa"/>
            <w:vAlign w:val="bottom"/>
          </w:tcPr>
          <w:p>
            <w:pPr>
              <w:jc w:val="right"/>
              <w:ind w:right="299"/>
              <w:spacing w:after="0"/>
              <w:rPr>
                <w:rFonts w:ascii="Arial" w:cs="Arial" w:eastAsia="Arial" w:hAnsi="Arial"/>
                <w:sz w:val="12"/>
                <w:szCs w:val="12"/>
                <w:u w:val="single" w:color="auto"/>
                <w:color w:val="0000FF"/>
              </w:rPr>
            </w:pPr>
            <w:hyperlink w:anchor="page11">
              <w:r>
                <w:rPr>
                  <w:rFonts w:ascii="Arial" w:cs="Arial" w:eastAsia="Arial" w:hAnsi="Arial"/>
                  <w:sz w:val="12"/>
                  <w:szCs w:val="12"/>
                  <w:u w:val="single" w:color="auto"/>
                  <w:color w:val="0000FF"/>
                </w:rPr>
                <w:t>5</w:t>
              </w:r>
            </w:hyperlink>
          </w:p>
        </w:tc>
      </w:tr>
      <w:tr>
        <w:trPr>
          <w:trHeight w:val="182"/>
        </w:trPr>
        <w:tc>
          <w:tcPr>
            <w:tcW w:w="8800" w:type="dxa"/>
            <w:vAlign w:val="bottom"/>
          </w:tcPr>
          <w:p>
            <w:pPr>
              <w:ind w:left="160"/>
              <w:spacing w:after="0"/>
              <w:rPr>
                <w:rFonts w:ascii="Arial" w:cs="Arial" w:eastAsia="Arial" w:hAnsi="Arial"/>
                <w:sz w:val="12"/>
                <w:szCs w:val="12"/>
                <w:u w:val="single" w:color="auto"/>
                <w:color w:val="0000FF"/>
              </w:rPr>
            </w:pPr>
            <w:hyperlink w:anchor="page13">
              <w:r>
                <w:rPr>
                  <w:rFonts w:ascii="Arial" w:cs="Arial" w:eastAsia="Arial" w:hAnsi="Arial"/>
                  <w:sz w:val="12"/>
                  <w:szCs w:val="12"/>
                  <w:u w:val="single" w:color="auto"/>
                  <w:color w:val="0000FF"/>
                </w:rPr>
                <w:t>Consolidated Statements of Cash Flows</w:t>
              </w:r>
            </w:hyperlink>
          </w:p>
        </w:tc>
        <w:tc>
          <w:tcPr>
            <w:tcW w:w="2500" w:type="dxa"/>
            <w:vAlign w:val="bottom"/>
          </w:tcPr>
          <w:p>
            <w:pPr>
              <w:jc w:val="right"/>
              <w:ind w:right="299"/>
              <w:spacing w:after="0"/>
              <w:rPr>
                <w:rFonts w:ascii="Arial" w:cs="Arial" w:eastAsia="Arial" w:hAnsi="Arial"/>
                <w:sz w:val="12"/>
                <w:szCs w:val="12"/>
                <w:u w:val="single" w:color="auto"/>
                <w:color w:val="0000FF"/>
              </w:rPr>
            </w:pPr>
            <w:hyperlink w:anchor="page13">
              <w:r>
                <w:rPr>
                  <w:rFonts w:ascii="Arial" w:cs="Arial" w:eastAsia="Arial" w:hAnsi="Arial"/>
                  <w:sz w:val="12"/>
                  <w:szCs w:val="12"/>
                  <w:u w:val="single" w:color="auto"/>
                  <w:color w:val="0000FF"/>
                </w:rPr>
                <w:t>7</w:t>
              </w:r>
            </w:hyperlink>
          </w:p>
        </w:tc>
      </w:tr>
      <w:tr>
        <w:trPr>
          <w:trHeight w:val="182"/>
        </w:trPr>
        <w:tc>
          <w:tcPr>
            <w:tcW w:w="8800" w:type="dxa"/>
            <w:vAlign w:val="bottom"/>
          </w:tcPr>
          <w:p>
            <w:pPr>
              <w:ind w:left="160"/>
              <w:spacing w:after="0"/>
              <w:rPr>
                <w:rFonts w:ascii="Arial" w:cs="Arial" w:eastAsia="Arial" w:hAnsi="Arial"/>
                <w:sz w:val="12"/>
                <w:szCs w:val="12"/>
                <w:u w:val="single" w:color="auto"/>
                <w:color w:val="0000FF"/>
              </w:rPr>
            </w:pPr>
            <w:hyperlink w:anchor="page14">
              <w:r>
                <w:rPr>
                  <w:rFonts w:ascii="Arial" w:cs="Arial" w:eastAsia="Arial" w:hAnsi="Arial"/>
                  <w:sz w:val="12"/>
                  <w:szCs w:val="12"/>
                  <w:u w:val="single" w:color="auto"/>
                  <w:color w:val="0000FF"/>
                </w:rPr>
                <w:t>Notes to the Consolidated Financial Statements</w:t>
              </w:r>
            </w:hyperlink>
          </w:p>
        </w:tc>
        <w:tc>
          <w:tcPr>
            <w:tcW w:w="2500" w:type="dxa"/>
            <w:vAlign w:val="bottom"/>
          </w:tcPr>
          <w:p>
            <w:pPr>
              <w:jc w:val="right"/>
              <w:ind w:right="299"/>
              <w:spacing w:after="0"/>
              <w:rPr>
                <w:rFonts w:ascii="Arial" w:cs="Arial" w:eastAsia="Arial" w:hAnsi="Arial"/>
                <w:sz w:val="12"/>
                <w:szCs w:val="12"/>
                <w:u w:val="single" w:color="auto"/>
                <w:color w:val="0000FF"/>
              </w:rPr>
            </w:pPr>
            <w:hyperlink w:anchor="page14">
              <w:r>
                <w:rPr>
                  <w:rFonts w:ascii="Arial" w:cs="Arial" w:eastAsia="Arial" w:hAnsi="Arial"/>
                  <w:sz w:val="12"/>
                  <w:szCs w:val="12"/>
                  <w:u w:val="single" w:color="auto"/>
                  <w:color w:val="0000FF"/>
                </w:rPr>
                <w:t>8</w:t>
              </w:r>
            </w:hyperlink>
          </w:p>
        </w:tc>
      </w:tr>
      <w:tr>
        <w:trPr>
          <w:trHeight w:val="890"/>
        </w:trPr>
        <w:tc>
          <w:tcPr>
            <w:tcW w:w="8800" w:type="dxa"/>
            <w:vAlign w:val="bottom"/>
          </w:tcPr>
          <w:p>
            <w:pPr>
              <w:ind w:left="5720"/>
              <w:spacing w:after="0"/>
              <w:rPr>
                <w:sz w:val="20"/>
                <w:szCs w:val="20"/>
                <w:color w:val="auto"/>
              </w:rPr>
            </w:pPr>
            <w:r>
              <w:rPr>
                <w:rFonts w:ascii="Arial" w:cs="Arial" w:eastAsia="Arial" w:hAnsi="Arial"/>
                <w:sz w:val="12"/>
                <w:szCs w:val="12"/>
                <w:color w:val="auto"/>
              </w:rPr>
              <w:t>1</w:t>
            </w:r>
          </w:p>
        </w:tc>
        <w:tc>
          <w:tcPr>
            <w:tcW w:w="2500" w:type="dxa"/>
            <w:vAlign w:val="bottom"/>
          </w:tcPr>
          <w:p>
            <w:pPr>
              <w:spacing w:after="0"/>
              <w:rPr>
                <w:sz w:val="24"/>
                <w:szCs w:val="24"/>
                <w:color w:val="auto"/>
              </w:rPr>
            </w:pPr>
          </w:p>
        </w:tc>
      </w:tr>
      <w:tr>
        <w:trPr>
          <w:trHeight w:val="182"/>
        </w:trPr>
        <w:tc>
          <w:tcPr>
            <w:tcW w:w="8800" w:type="dxa"/>
            <w:vAlign w:val="bottom"/>
            <w:tcBorders>
              <w:bottom w:val="single" w:sz="8" w:color="9A9A9A"/>
            </w:tcBorders>
          </w:tcPr>
          <w:p>
            <w:pPr>
              <w:spacing w:after="0"/>
              <w:rPr>
                <w:sz w:val="15"/>
                <w:szCs w:val="15"/>
                <w:color w:val="auto"/>
              </w:rPr>
            </w:pPr>
          </w:p>
        </w:tc>
        <w:tc>
          <w:tcPr>
            <w:tcW w:w="25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 w:name="page9"/>
    <w:bookmarkEnd w:id="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ZoomInfo Technologies Inc.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060" w:type="dxa"/>
            <w:vAlign w:val="bottom"/>
          </w:tcPr>
          <w:p>
            <w:pPr>
              <w:spacing w:after="0"/>
              <w:rPr>
                <w:sz w:val="10"/>
                <w:szCs w:val="10"/>
                <w:color w:val="auto"/>
              </w:rPr>
            </w:pPr>
          </w:p>
        </w:tc>
        <w:tc>
          <w:tcPr>
            <w:tcW w:w="5100" w:type="dxa"/>
            <w:vAlign w:val="bottom"/>
            <w:gridSpan w:val="2"/>
          </w:tcPr>
          <w:p>
            <w:pPr>
              <w:jc w:val="center"/>
              <w:ind w:right="1892"/>
              <w:spacing w:after="0"/>
              <w:rPr>
                <w:sz w:val="20"/>
                <w:szCs w:val="20"/>
                <w:color w:val="auto"/>
              </w:rPr>
            </w:pPr>
            <w:r>
              <w:rPr>
                <w:rFonts w:ascii="Arial" w:cs="Arial" w:eastAsia="Arial" w:hAnsi="Arial"/>
                <w:sz w:val="10"/>
                <w:szCs w:val="10"/>
                <w:b w:val="1"/>
                <w:bCs w:val="1"/>
                <w:i w:val="1"/>
                <w:iCs w:val="1"/>
                <w:color w:val="auto"/>
                <w:w w:val="84"/>
              </w:rPr>
              <w:t>(in millions, except share data)</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00" w:type="dxa"/>
            <w:vAlign w:val="bottom"/>
            <w:tcBorders>
              <w:bottom w:val="single" w:sz="8" w:color="auto"/>
            </w:tcBorders>
          </w:tcPr>
          <w:p>
            <w:pPr>
              <w:jc w:val="center"/>
              <w:ind w:left="412"/>
              <w:spacing w:after="0"/>
              <w:rPr>
                <w:sz w:val="20"/>
                <w:szCs w:val="20"/>
                <w:color w:val="auto"/>
              </w:rPr>
            </w:pPr>
            <w:r>
              <w:rPr>
                <w:rFonts w:ascii="Arial" w:cs="Arial" w:eastAsia="Arial" w:hAnsi="Arial"/>
                <w:sz w:val="10"/>
                <w:szCs w:val="10"/>
                <w:b w:val="1"/>
                <w:bCs w:val="1"/>
                <w:color w:val="auto"/>
                <w:w w:val="89"/>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5100" w:type="dxa"/>
            <w:vAlign w:val="bottom"/>
            <w:gridSpan w:val="2"/>
          </w:tcPr>
          <w:p>
            <w:pPr>
              <w:jc w:val="center"/>
              <w:ind w:left="4404"/>
              <w:spacing w:after="0"/>
              <w:rPr>
                <w:sz w:val="20"/>
                <w:szCs w:val="20"/>
                <w:color w:val="auto"/>
              </w:rPr>
            </w:pPr>
            <w:r>
              <w:rPr>
                <w:rFonts w:ascii="Arial" w:cs="Arial" w:eastAsia="Arial" w:hAnsi="Arial"/>
                <w:sz w:val="10"/>
                <w:szCs w:val="10"/>
                <w:b w:val="1"/>
                <w:bCs w:val="1"/>
                <w:color w:val="auto"/>
                <w:w w:val="89"/>
              </w:rPr>
              <w:t>2020</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ind w:right="640"/>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26"/>
        </w:trPr>
        <w:tc>
          <w:tcPr>
            <w:tcW w:w="40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100" w:type="dxa"/>
            <w:vAlign w:val="bottom"/>
            <w:tcBorders>
              <w:top w:val="single" w:sz="8" w:color="auto"/>
            </w:tcBorders>
          </w:tcPr>
          <w:p>
            <w:pPr>
              <w:jc w:val="center"/>
              <w:ind w:left="412"/>
              <w:spacing w:after="0"/>
              <w:rPr>
                <w:sz w:val="20"/>
                <w:szCs w:val="20"/>
                <w:color w:val="auto"/>
              </w:rPr>
            </w:pPr>
            <w:r>
              <w:rPr>
                <w:rFonts w:ascii="Arial" w:cs="Arial" w:eastAsia="Arial" w:hAnsi="Arial"/>
                <w:sz w:val="10"/>
                <w:szCs w:val="10"/>
                <w:b w:val="1"/>
                <w:bCs w:val="1"/>
                <w:color w:val="auto"/>
                <w:w w:val="88"/>
              </w:rPr>
              <w:t>(unaudited)</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00" w:type="dxa"/>
            <w:vAlign w:val="bottom"/>
          </w:tcPr>
          <w:p>
            <w:pPr>
              <w:jc w:val="center"/>
              <w:ind w:left="412"/>
              <w:spacing w:after="0"/>
              <w:rPr>
                <w:sz w:val="20"/>
                <w:szCs w:val="20"/>
                <w:color w:val="auto"/>
              </w:rPr>
            </w:pPr>
            <w:r>
              <w:rPr>
                <w:rFonts w:ascii="Arial" w:cs="Arial" w:eastAsia="Arial" w:hAnsi="Arial"/>
                <w:sz w:val="10"/>
                <w:szCs w:val="10"/>
                <w:b w:val="1"/>
                <w:bCs w:val="1"/>
                <w:color w:val="auto"/>
                <w:w w:val="84"/>
              </w:rPr>
              <w:t>(As restated)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Current assets: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5100" w:type="dxa"/>
            <w:vAlign w:val="bottom"/>
            <w:gridSpan w:val="2"/>
            <w:shd w:val="clear" w:color="auto" w:fill="CCEEFF"/>
          </w:tcPr>
          <w:p>
            <w:pPr>
              <w:jc w:val="right"/>
              <w:ind w:right="992"/>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receivable</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costs</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72"/>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Income tax receivable</w:t>
            </w:r>
          </w:p>
        </w:tc>
        <w:tc>
          <w:tcPr>
            <w:tcW w:w="40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current assets</w:t>
            </w:r>
          </w:p>
        </w:tc>
        <w:tc>
          <w:tcPr>
            <w:tcW w:w="40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148.2</w:t>
            </w:r>
          </w:p>
        </w:tc>
        <w:tc>
          <w:tcPr>
            <w:tcW w:w="0" w:type="dxa"/>
            <w:vAlign w:val="bottom"/>
          </w:tcPr>
          <w:p>
            <w:pPr>
              <w:spacing w:after="0"/>
              <w:rPr>
                <w:sz w:val="1"/>
                <w:szCs w:val="1"/>
                <w:color w:val="auto"/>
              </w:rPr>
            </w:pPr>
          </w:p>
        </w:tc>
      </w:tr>
      <w:tr>
        <w:trPr>
          <w:trHeight w:val="89"/>
        </w:trPr>
        <w:tc>
          <w:tcPr>
            <w:tcW w:w="406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4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109"/>
        </w:trPr>
        <w:tc>
          <w:tcPr>
            <w:tcW w:w="4060" w:type="dxa"/>
            <w:vAlign w:val="bottom"/>
            <w:shd w:val="clear" w:color="auto" w:fill="CCEEFF"/>
          </w:tcPr>
          <w:p>
            <w:pPr>
              <w:spacing w:after="0"/>
              <w:rPr>
                <w:sz w:val="9"/>
                <w:szCs w:val="9"/>
                <w:color w:val="auto"/>
              </w:rPr>
            </w:pPr>
          </w:p>
        </w:tc>
        <w:tc>
          <w:tcPr>
            <w:tcW w:w="40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Other assets: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Intangible assets, net</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370.6</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Goodwill</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966.8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966.8</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tax assets</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Deferred costs, net of current portion</w:t>
            </w:r>
          </w:p>
        </w:tc>
        <w:tc>
          <w:tcPr>
            <w:tcW w:w="40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assets</w:t>
            </w:r>
          </w:p>
        </w:tc>
        <w:tc>
          <w:tcPr>
            <w:tcW w:w="5100" w:type="dxa"/>
            <w:vAlign w:val="bottom"/>
            <w:gridSpan w:val="2"/>
            <w:shd w:val="clear" w:color="auto" w:fill="CCEEFF"/>
          </w:tcPr>
          <w:p>
            <w:pPr>
              <w:jc w:val="right"/>
              <w:ind w:right="992"/>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1,919.3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1,561.9</w:t>
            </w:r>
          </w:p>
        </w:tc>
        <w:tc>
          <w:tcPr>
            <w:tcW w:w="0" w:type="dxa"/>
            <w:vAlign w:val="bottom"/>
          </w:tcPr>
          <w:p>
            <w:pPr>
              <w:spacing w:after="0"/>
              <w:rPr>
                <w:sz w:val="1"/>
                <w:szCs w:val="1"/>
                <w:color w:val="auto"/>
              </w:rPr>
            </w:pPr>
          </w:p>
        </w:tc>
      </w:tr>
      <w:tr>
        <w:trPr>
          <w:trHeight w:val="82"/>
        </w:trPr>
        <w:tc>
          <w:tcPr>
            <w:tcW w:w="4060" w:type="dxa"/>
            <w:vAlign w:val="bottom"/>
            <w:tcBorders>
              <w:top w:val="single" w:sz="8" w:color="CCEEFF"/>
            </w:tcBorders>
          </w:tcPr>
          <w:p>
            <w:pPr>
              <w:spacing w:after="0"/>
              <w:rPr>
                <w:sz w:val="7"/>
                <w:szCs w:val="7"/>
                <w:color w:val="auto"/>
              </w:rPr>
            </w:pPr>
          </w:p>
        </w:tc>
        <w:tc>
          <w:tcPr>
            <w:tcW w:w="4000" w:type="dxa"/>
            <w:vAlign w:val="bottom"/>
            <w:tcBorders>
              <w:top w:val="single" w:sz="8" w:color="CCEEFF"/>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Temporary, and Permanent Equity (Deficit)</w:t>
            </w:r>
          </w:p>
        </w:tc>
        <w:tc>
          <w:tcPr>
            <w:tcW w:w="4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Current liabilities: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Accrued expenses and other current liabilities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Unearned revenue, current portion</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157.7</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Income taxes payable</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Related party payable</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Current portion of operating lease liabilities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Current portion of long-term debt</w:t>
            </w:r>
          </w:p>
        </w:tc>
        <w:tc>
          <w:tcPr>
            <w:tcW w:w="4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current liabilities</w:t>
            </w:r>
          </w:p>
        </w:tc>
        <w:tc>
          <w:tcPr>
            <w:tcW w:w="40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237.7</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241.7</w:t>
            </w:r>
          </w:p>
        </w:tc>
        <w:tc>
          <w:tcPr>
            <w:tcW w:w="0" w:type="dxa"/>
            <w:vAlign w:val="bottom"/>
          </w:tcPr>
          <w:p>
            <w:pPr>
              <w:spacing w:after="0"/>
              <w:rPr>
                <w:sz w:val="1"/>
                <w:szCs w:val="1"/>
                <w:color w:val="auto"/>
              </w:rPr>
            </w:pPr>
          </w:p>
        </w:tc>
      </w:tr>
      <w:tr>
        <w:trPr>
          <w:trHeight w:val="89"/>
        </w:trPr>
        <w:tc>
          <w:tcPr>
            <w:tcW w:w="406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Unearned revenue, net of current portion</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Tax receivable agreements liability, net of current portion</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Operating lease liabilities, net of current portion</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Long-term debt, net of current portion</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1,194.6</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82.8</w:t>
            </w: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40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liabilities</w:t>
            </w:r>
          </w:p>
        </w:tc>
        <w:tc>
          <w:tcPr>
            <w:tcW w:w="40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1,136.0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1,575.5</w:t>
            </w:r>
          </w:p>
        </w:tc>
        <w:tc>
          <w:tcPr>
            <w:tcW w:w="0" w:type="dxa"/>
            <w:vAlign w:val="bottom"/>
          </w:tcPr>
          <w:p>
            <w:pPr>
              <w:spacing w:after="0"/>
              <w:rPr>
                <w:sz w:val="1"/>
                <w:szCs w:val="1"/>
                <w:color w:val="auto"/>
              </w:rPr>
            </w:pPr>
          </w:p>
        </w:tc>
      </w:tr>
      <w:tr>
        <w:trPr>
          <w:trHeight w:val="89"/>
        </w:trPr>
        <w:tc>
          <w:tcPr>
            <w:tcW w:w="406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2"/>
                <w:szCs w:val="12"/>
                <w:color w:val="auto"/>
              </w:rPr>
              <w:t>Series A Preferred Units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200.2</w:t>
            </w:r>
          </w:p>
        </w:tc>
        <w:tc>
          <w:tcPr>
            <w:tcW w:w="0" w:type="dxa"/>
            <w:vAlign w:val="bottom"/>
          </w:tcPr>
          <w:p>
            <w:pPr>
              <w:spacing w:after="0"/>
              <w:rPr>
                <w:sz w:val="1"/>
                <w:szCs w:val="1"/>
                <w:color w:val="auto"/>
              </w:rPr>
            </w:pPr>
          </w:p>
        </w:tc>
      </w:tr>
      <w:tr>
        <w:trPr>
          <w:trHeight w:val="171"/>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Commitments, Contingencies, and Guarantees (Note 10)</w:t>
            </w:r>
          </w:p>
        </w:tc>
        <w:tc>
          <w:tcPr>
            <w:tcW w:w="40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0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Permanent Equity (Deficit)</w:t>
            </w:r>
          </w:p>
        </w:tc>
        <w:tc>
          <w:tcPr>
            <w:tcW w:w="4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Members' equity (deficit)</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(207.8)</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Class A common stock, par value $0.01</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Class B common stock, par value $0.01</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Class C common stock, par value $0.01</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4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72"/>
        </w:trPr>
        <w:tc>
          <w:tcPr>
            <w:tcW w:w="4060" w:type="dxa"/>
            <w:vAlign w:val="bottom"/>
          </w:tcPr>
          <w:p>
            <w:pPr>
              <w:ind w:left="140"/>
              <w:spacing w:after="0"/>
              <w:rPr>
                <w:sz w:val="20"/>
                <w:szCs w:val="20"/>
                <w:color w:val="auto"/>
              </w:rPr>
            </w:pPr>
            <w:r>
              <w:rPr>
                <w:rFonts w:ascii="Arial" w:cs="Arial" w:eastAsia="Arial" w:hAnsi="Arial"/>
                <w:sz w:val="12"/>
                <w:szCs w:val="12"/>
                <w:color w:val="auto"/>
              </w:rPr>
              <w:t>Retained Earnings</w:t>
            </w: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Noncontrolling interests</w:t>
            </w:r>
          </w:p>
        </w:tc>
        <w:tc>
          <w:tcPr>
            <w:tcW w:w="40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450.2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equity (deficit)</w:t>
            </w:r>
          </w:p>
        </w:tc>
        <w:tc>
          <w:tcPr>
            <w:tcW w:w="40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(213.8)</w:t>
            </w:r>
          </w:p>
        </w:tc>
        <w:tc>
          <w:tcPr>
            <w:tcW w:w="0" w:type="dxa"/>
            <w:vAlign w:val="bottom"/>
          </w:tcPr>
          <w:p>
            <w:pPr>
              <w:spacing w:after="0"/>
              <w:rPr>
                <w:sz w:val="1"/>
                <w:szCs w:val="1"/>
                <w:color w:val="auto"/>
              </w:rPr>
            </w:pPr>
          </w:p>
        </w:tc>
      </w:tr>
      <w:tr>
        <w:trPr>
          <w:trHeight w:val="89"/>
        </w:trPr>
        <w:tc>
          <w:tcPr>
            <w:tcW w:w="406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060" w:type="dxa"/>
            <w:vAlign w:val="bottom"/>
          </w:tcPr>
          <w:p>
            <w:pPr>
              <w:ind w:left="300"/>
              <w:spacing w:after="0"/>
              <w:rPr>
                <w:sz w:val="20"/>
                <w:szCs w:val="20"/>
                <w:color w:val="auto"/>
              </w:rPr>
            </w:pPr>
            <w:r>
              <w:rPr>
                <w:rFonts w:ascii="Arial" w:cs="Arial" w:eastAsia="Arial" w:hAnsi="Arial"/>
                <w:sz w:val="12"/>
                <w:szCs w:val="12"/>
                <w:color w:val="auto"/>
              </w:rPr>
              <w:t>Total liabilities, temporary, and permanent equity (deficit)</w:t>
            </w:r>
          </w:p>
        </w:tc>
        <w:tc>
          <w:tcPr>
            <w:tcW w:w="5100" w:type="dxa"/>
            <w:vAlign w:val="bottom"/>
            <w:gridSpan w:val="2"/>
          </w:tcPr>
          <w:p>
            <w:pPr>
              <w:jc w:val="right"/>
              <w:ind w:right="99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9"/>
              </w:rPr>
              <w:t>1,919.3</w:t>
            </w:r>
          </w:p>
        </w:tc>
        <w:tc>
          <w:tcPr>
            <w:tcW w:w="100" w:type="dxa"/>
            <w:vAlign w:val="bottom"/>
          </w:tcPr>
          <w:p>
            <w:pPr>
              <w:spacing w:after="0"/>
              <w:rPr>
                <w:sz w:val="15"/>
                <w:szCs w:val="15"/>
                <w:color w:val="auto"/>
              </w:rPr>
            </w:pP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1,561.9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000" w:type="dxa"/>
            <w:vAlign w:val="bottom"/>
            <w:vMerge w:val="restart"/>
          </w:tcPr>
          <w:p>
            <w:pPr>
              <w:jc w:val="right"/>
              <w:ind w:right="2324"/>
              <w:spacing w:after="0"/>
              <w:rPr>
                <w:sz w:val="20"/>
                <w:szCs w:val="20"/>
                <w:color w:val="auto"/>
              </w:rPr>
            </w:pPr>
            <w:r>
              <w:rPr>
                <w:rFonts w:ascii="Arial" w:cs="Arial" w:eastAsia="Arial" w:hAnsi="Arial"/>
                <w:sz w:val="12"/>
                <w:szCs w:val="12"/>
                <w:color w:val="auto"/>
              </w:rPr>
              <w:t>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0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60" w:type="dxa"/>
            <w:vAlign w:val="bottom"/>
            <w:tcBorders>
              <w:bottom w:val="single" w:sz="8" w:color="9A9A9A"/>
            </w:tcBorders>
          </w:tcPr>
          <w:p>
            <w:pPr>
              <w:spacing w:after="0"/>
              <w:rPr>
                <w:sz w:val="15"/>
                <w:szCs w:val="15"/>
                <w:color w:val="auto"/>
              </w:rPr>
            </w:pPr>
          </w:p>
        </w:tc>
        <w:tc>
          <w:tcPr>
            <w:tcW w:w="40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 w:name="page10"/>
    <w:bookmarkEnd w:id="9"/>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6"/>
        <w:spacing w:after="0"/>
        <w:rPr>
          <w:sz w:val="20"/>
          <w:szCs w:val="20"/>
          <w:color w:val="auto"/>
        </w:rPr>
      </w:pPr>
      <w:r>
        <w:rPr>
          <w:rFonts w:ascii="Arial" w:cs="Arial" w:eastAsia="Arial" w:hAnsi="Arial"/>
          <w:sz w:val="12"/>
          <w:szCs w:val="12"/>
          <w:b w:val="1"/>
          <w:bCs w:val="1"/>
          <w:color w:val="auto"/>
        </w:rPr>
        <w:t>ZoomInfo Technologies Inc.</w:t>
      </w:r>
    </w:p>
    <w:p>
      <w:pPr>
        <w:spacing w:after="0" w:line="35" w:lineRule="exact"/>
        <w:rPr>
          <w:sz w:val="20"/>
          <w:szCs w:val="20"/>
          <w:color w:val="auto"/>
        </w:rPr>
      </w:pPr>
    </w:p>
    <w:p>
      <w:pPr>
        <w:jc w:val="center"/>
        <w:ind w:right="-206"/>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35" w:lineRule="exact"/>
        <w:rPr>
          <w:sz w:val="20"/>
          <w:szCs w:val="20"/>
          <w:color w:val="auto"/>
        </w:rPr>
      </w:pPr>
    </w:p>
    <w:tbl>
      <w:tblPr>
        <w:tblLayout w:type="fixed"/>
        <w:tblInd w:w="227" w:type="dxa"/>
        <w:tblCellMar>
          <w:top w:w="0" w:type="dxa"/>
          <w:left w:w="0" w:type="dxa"/>
          <w:bottom w:w="0" w:type="dxa"/>
          <w:right w:w="0" w:type="dxa"/>
        </w:tblCellMar>
      </w:tblPr>
      <w:tr>
        <w:trPr>
          <w:trHeight w:val="122"/>
        </w:trPr>
        <w:tc>
          <w:tcPr>
            <w:tcW w:w="3940" w:type="dxa"/>
            <w:vAlign w:val="bottom"/>
          </w:tcPr>
          <w:p>
            <w:pPr>
              <w:spacing w:after="0"/>
              <w:rPr>
                <w:sz w:val="10"/>
                <w:szCs w:val="10"/>
                <w:color w:val="auto"/>
              </w:rPr>
            </w:pPr>
          </w:p>
        </w:tc>
        <w:tc>
          <w:tcPr>
            <w:tcW w:w="2660" w:type="dxa"/>
            <w:vAlign w:val="bottom"/>
            <w:gridSpan w:val="4"/>
          </w:tcPr>
          <w:p>
            <w:pPr>
              <w:ind w:left="580"/>
              <w:spacing w:after="0"/>
              <w:rPr>
                <w:sz w:val="20"/>
                <w:szCs w:val="20"/>
                <w:color w:val="auto"/>
              </w:rPr>
            </w:pPr>
            <w:r>
              <w:rPr>
                <w:rFonts w:ascii="Arial" w:cs="Arial" w:eastAsia="Arial" w:hAnsi="Arial"/>
                <w:sz w:val="10"/>
                <w:szCs w:val="10"/>
                <w:b w:val="1"/>
                <w:bCs w:val="1"/>
                <w:i w:val="1"/>
                <w:iCs w:val="1"/>
                <w:color w:val="auto"/>
                <w:w w:val="85"/>
              </w:rPr>
              <w:t>(in millions, except per share amounts; unaudited)</w:t>
            </w: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18"/>
        </w:trPr>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0"/>
                <w:szCs w:val="10"/>
                <w:b w:val="1"/>
                <w:bCs w:val="1"/>
                <w:color w:val="auto"/>
                <w:w w:val="88"/>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8"/>
                <w:szCs w:val="18"/>
                <w:color w:val="auto"/>
              </w:rPr>
            </w:pPr>
          </w:p>
        </w:tc>
      </w:tr>
      <w:tr>
        <w:trPr>
          <w:trHeight w:val="134"/>
        </w:trPr>
        <w:tc>
          <w:tcPr>
            <w:tcW w:w="3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w w:val="98"/>
              </w:rPr>
              <w:t>2019</w:t>
            </w:r>
          </w:p>
        </w:tc>
      </w:tr>
      <w:tr>
        <w:trPr>
          <w:trHeight w:val="126"/>
        </w:trPr>
        <w:tc>
          <w:tcPr>
            <w:tcW w:w="3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gridSpan w:val="3"/>
          </w:tcPr>
          <w:p>
            <w:pPr>
              <w:ind w:left="440"/>
              <w:spacing w:after="0"/>
              <w:rPr>
                <w:sz w:val="20"/>
                <w:szCs w:val="20"/>
                <w:color w:val="auto"/>
              </w:rPr>
            </w:pPr>
            <w:r>
              <w:rPr>
                <w:rFonts w:ascii="Arial" w:cs="Arial" w:eastAsia="Arial" w:hAnsi="Arial"/>
                <w:sz w:val="10"/>
                <w:szCs w:val="10"/>
                <w:b w:val="1"/>
                <w:bCs w:val="1"/>
                <w:color w:val="auto"/>
              </w:rPr>
              <w:t>(As restated)</w:t>
            </w: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200"/>
              <w:spacing w:after="0"/>
              <w:rPr>
                <w:sz w:val="20"/>
                <w:szCs w:val="20"/>
                <w:color w:val="auto"/>
              </w:rPr>
            </w:pPr>
            <w:r>
              <w:rPr>
                <w:rFonts w:ascii="Arial" w:cs="Arial" w:eastAsia="Arial" w:hAnsi="Arial"/>
                <w:sz w:val="10"/>
                <w:szCs w:val="10"/>
                <w:b w:val="1"/>
                <w:bCs w:val="1"/>
                <w:color w:val="auto"/>
              </w:rPr>
              <w:t>(As restated)</w:t>
            </w: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6"/>
        </w:trPr>
        <w:tc>
          <w:tcPr>
            <w:tcW w:w="3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82"/>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960" w:type="dxa"/>
            <w:vAlign w:val="bottom"/>
            <w:gridSpan w:val="2"/>
            <w:shd w:val="clear" w:color="auto" w:fill="CCEEFF"/>
          </w:tcPr>
          <w:p>
            <w:pPr>
              <w:jc w:val="right"/>
              <w:ind w:right="692"/>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213.1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w:t>
            </w:r>
          </w:p>
        </w:tc>
      </w:tr>
      <w:tr>
        <w:trPr>
          <w:trHeight w:val="172"/>
        </w:trPr>
        <w:tc>
          <w:tcPr>
            <w:tcW w:w="3940" w:type="dxa"/>
            <w:vAlign w:val="bottom"/>
          </w:tcPr>
          <w:p>
            <w:pPr>
              <w:spacing w:after="0"/>
              <w:rPr>
                <w:sz w:val="20"/>
                <w:szCs w:val="20"/>
                <w:color w:val="auto"/>
              </w:rPr>
            </w:pPr>
            <w:r>
              <w:rPr>
                <w:rFonts w:ascii="Arial" w:cs="Arial" w:eastAsia="Arial" w:hAnsi="Arial"/>
                <w:sz w:val="12"/>
                <w:szCs w:val="12"/>
                <w:color w:val="auto"/>
              </w:rPr>
              <w:t>Cost of service:</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1"/>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of service</w:t>
            </w:r>
            <w:r>
              <w:rPr>
                <w:rFonts w:ascii="Arial" w:cs="Arial" w:eastAsia="Arial" w:hAnsi="Arial"/>
                <w:sz w:val="15"/>
                <w:szCs w:val="15"/>
                <w:color w:val="auto"/>
                <w:vertAlign w:val="superscript"/>
              </w:rPr>
              <w:t>(2)</w:t>
            </w:r>
          </w:p>
        </w:tc>
        <w:tc>
          <w:tcPr>
            <w:tcW w:w="1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r>
      <w:tr>
        <w:trPr>
          <w:trHeight w:val="172"/>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Amortization of acquired technology</w:t>
            </w:r>
          </w:p>
        </w:tc>
        <w:tc>
          <w:tcPr>
            <w:tcW w:w="1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r>
      <w:tr>
        <w:trPr>
          <w:trHeight w:val="18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1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158.9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90.8</w:t>
            </w:r>
          </w:p>
        </w:tc>
      </w:tr>
      <w:tr>
        <w:trPr>
          <w:trHeight w:val="172"/>
        </w:trPr>
        <w:tc>
          <w:tcPr>
            <w:tcW w:w="3940" w:type="dxa"/>
            <w:vAlign w:val="bottom"/>
          </w:tcPr>
          <w:p>
            <w:pPr>
              <w:spacing w:after="0"/>
              <w:rPr>
                <w:sz w:val="20"/>
                <w:szCs w:val="20"/>
                <w:color w:val="auto"/>
              </w:rPr>
            </w:pPr>
            <w:r>
              <w:rPr>
                <w:rFonts w:ascii="Arial" w:cs="Arial" w:eastAsia="Arial" w:hAnsi="Arial"/>
                <w:sz w:val="12"/>
                <w:szCs w:val="12"/>
                <w:color w:val="auto"/>
              </w:rPr>
              <w:t>Operating expenses:</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1"/>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w:t>
            </w:r>
            <w:r>
              <w:rPr>
                <w:rFonts w:ascii="Arial" w:cs="Arial" w:eastAsia="Arial" w:hAnsi="Arial"/>
                <w:sz w:val="15"/>
                <w:szCs w:val="15"/>
                <w:color w:val="auto"/>
                <w:vertAlign w:val="superscript"/>
              </w:rPr>
              <w:t>(2)</w:t>
            </w:r>
          </w:p>
        </w:tc>
        <w:tc>
          <w:tcPr>
            <w:tcW w:w="1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w:t>
            </w:r>
          </w:p>
        </w:tc>
      </w:tr>
      <w:tr>
        <w:trPr>
          <w:trHeight w:val="182"/>
        </w:trPr>
        <w:tc>
          <w:tcPr>
            <w:tcW w:w="3940" w:type="dxa"/>
            <w:vAlign w:val="bottom"/>
          </w:tcPr>
          <w:p>
            <w:pPr>
              <w:ind w:left="140"/>
              <w:spacing w:after="0"/>
              <w:rPr>
                <w:sz w:val="20"/>
                <w:szCs w:val="20"/>
                <w:color w:val="auto"/>
              </w:rPr>
            </w:pPr>
            <w:r>
              <w:rPr>
                <w:rFonts w:ascii="Arial" w:cs="Arial" w:eastAsia="Arial" w:hAnsi="Arial"/>
                <w:sz w:val="12"/>
                <w:szCs w:val="12"/>
                <w:color w:val="auto"/>
              </w:rPr>
              <w:t>Research and development</w:t>
            </w:r>
            <w:r>
              <w:rPr>
                <w:rFonts w:ascii="Arial" w:cs="Arial" w:eastAsia="Arial" w:hAnsi="Arial"/>
                <w:sz w:val="15"/>
                <w:szCs w:val="15"/>
                <w:color w:val="auto"/>
                <w:vertAlign w:val="superscript"/>
              </w:rPr>
              <w:t>(2)</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26.3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14.1</w:t>
            </w:r>
          </w:p>
        </w:tc>
      </w:tr>
      <w:tr>
        <w:trPr>
          <w:trHeight w:val="182"/>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w:t>
            </w:r>
            <w:r>
              <w:rPr>
                <w:rFonts w:ascii="Arial" w:cs="Arial" w:eastAsia="Arial" w:hAnsi="Arial"/>
                <w:sz w:val="15"/>
                <w:szCs w:val="15"/>
                <w:color w:val="auto"/>
                <w:vertAlign w:val="superscript"/>
              </w:rPr>
              <w:t>(2)</w:t>
            </w:r>
          </w:p>
        </w:tc>
        <w:tc>
          <w:tcPr>
            <w:tcW w:w="1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r>
      <w:tr>
        <w:trPr>
          <w:trHeight w:val="172"/>
        </w:trPr>
        <w:tc>
          <w:tcPr>
            <w:tcW w:w="3940" w:type="dxa"/>
            <w:vAlign w:val="bottom"/>
          </w:tcPr>
          <w:p>
            <w:pPr>
              <w:ind w:left="140"/>
              <w:spacing w:after="0"/>
              <w:rPr>
                <w:sz w:val="20"/>
                <w:szCs w:val="20"/>
                <w:color w:val="auto"/>
              </w:rPr>
            </w:pPr>
            <w:r>
              <w:rPr>
                <w:rFonts w:ascii="Arial" w:cs="Arial" w:eastAsia="Arial" w:hAnsi="Arial"/>
                <w:sz w:val="12"/>
                <w:szCs w:val="12"/>
                <w:color w:val="auto"/>
              </w:rPr>
              <w:t>Amortization of other acquired intangibles</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82"/>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Restructuring and transaction related expenses</w:t>
            </w:r>
          </w:p>
        </w:tc>
        <w:tc>
          <w:tcPr>
            <w:tcW w:w="11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r>
      <w:tr>
        <w:trPr>
          <w:trHeight w:val="171"/>
        </w:trPr>
        <w:tc>
          <w:tcPr>
            <w:tcW w:w="394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operating expenses</w:t>
            </w:r>
          </w:p>
        </w:tc>
        <w:tc>
          <w:tcPr>
            <w:tcW w:w="1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108.3</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169.8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w:t>
            </w:r>
          </w:p>
        </w:tc>
      </w:tr>
      <w:tr>
        <w:trPr>
          <w:trHeight w:val="18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1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r>
      <w:tr>
        <w:trPr>
          <w:trHeight w:val="172"/>
        </w:trPr>
        <w:tc>
          <w:tcPr>
            <w:tcW w:w="3940" w:type="dxa"/>
            <w:vAlign w:val="bottom"/>
          </w:tcPr>
          <w:p>
            <w:pPr>
              <w:ind w:left="140"/>
              <w:spacing w:after="0"/>
              <w:rPr>
                <w:sz w:val="20"/>
                <w:szCs w:val="20"/>
                <w:color w:val="auto"/>
              </w:rPr>
            </w:pPr>
            <w:r>
              <w:rPr>
                <w:rFonts w:ascii="Arial" w:cs="Arial" w:eastAsia="Arial" w:hAnsi="Arial"/>
                <w:sz w:val="12"/>
                <w:szCs w:val="12"/>
                <w:color w:val="auto"/>
              </w:rPr>
              <w:t>Interest expense, net</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50.4</w:t>
            </w:r>
          </w:p>
        </w:tc>
      </w:tr>
      <w:tr>
        <w:trPr>
          <w:trHeight w:val="191"/>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on debt extinguishment</w:t>
            </w:r>
          </w:p>
        </w:tc>
        <w:tc>
          <w:tcPr>
            <w:tcW w:w="1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w:t>
            </w:r>
          </w:p>
        </w:tc>
      </w:tr>
      <w:tr>
        <w:trPr>
          <w:trHeight w:val="172"/>
        </w:trPr>
        <w:tc>
          <w:tcPr>
            <w:tcW w:w="3940" w:type="dxa"/>
            <w:vAlign w:val="bottom"/>
          </w:tcPr>
          <w:p>
            <w:pPr>
              <w:ind w:left="140"/>
              <w:spacing w:after="0"/>
              <w:rPr>
                <w:sz w:val="20"/>
                <w:szCs w:val="20"/>
                <w:color w:val="auto"/>
              </w:rPr>
            </w:pPr>
            <w:r>
              <w:rPr>
                <w:rFonts w:ascii="Arial" w:cs="Arial" w:eastAsia="Arial" w:hAnsi="Arial"/>
                <w:sz w:val="12"/>
                <w:szCs w:val="12"/>
                <w:color w:val="auto"/>
              </w:rPr>
              <w:t>Other (income) expense, net</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1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w:t>
            </w:r>
          </w:p>
        </w:tc>
      </w:tr>
      <w:tr>
        <w:trPr>
          <w:trHeight w:val="172"/>
        </w:trPr>
        <w:tc>
          <w:tcPr>
            <w:tcW w:w="3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Benefit (expense) from income taxes</w:t>
            </w:r>
          </w:p>
        </w:tc>
        <w:tc>
          <w:tcPr>
            <w:tcW w:w="1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r>
      <w:tr>
        <w:trPr>
          <w:trHeight w:val="171"/>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Net income (loss)</w:t>
            </w:r>
          </w:p>
        </w:tc>
        <w:tc>
          <w:tcPr>
            <w:tcW w:w="11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w:t>
            </w:r>
          </w:p>
        </w:tc>
      </w:tr>
      <w:tr>
        <w:trPr>
          <w:trHeight w:val="171"/>
        </w:trPr>
        <w:tc>
          <w:tcPr>
            <w:tcW w:w="5900" w:type="dxa"/>
            <w:vAlign w:val="bottom"/>
            <w:gridSpan w:val="3"/>
          </w:tcPr>
          <w:p>
            <w:pPr>
              <w:spacing w:after="0"/>
              <w:rPr>
                <w:sz w:val="20"/>
                <w:szCs w:val="20"/>
                <w:color w:val="auto"/>
              </w:rPr>
            </w:pPr>
            <w:r>
              <w:rPr>
                <w:rFonts w:ascii="Arial" w:cs="Arial" w:eastAsia="Arial" w:hAnsi="Arial"/>
                <w:sz w:val="12"/>
                <w:szCs w:val="12"/>
                <w:color w:val="auto"/>
              </w:rPr>
              <w:t>Less: Net income (loss) attributable to ZoomInfo OpCo prior to the Reorganization Transactions</w:t>
            </w:r>
          </w:p>
        </w:tc>
        <w:tc>
          <w:tcPr>
            <w:tcW w:w="60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(60.1)</w:t>
            </w:r>
          </w:p>
        </w:tc>
      </w:tr>
      <w:tr>
        <w:trPr>
          <w:trHeight w:val="182"/>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noncontrolling interests</w:t>
            </w:r>
          </w:p>
        </w:tc>
        <w:tc>
          <w:tcPr>
            <w:tcW w:w="11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3940" w:type="dxa"/>
            <w:vAlign w:val="bottom"/>
          </w:tcPr>
          <w:p>
            <w:pPr>
              <w:ind w:left="140"/>
              <w:spacing w:after="0"/>
              <w:rPr>
                <w:sz w:val="20"/>
                <w:szCs w:val="20"/>
                <w:color w:val="auto"/>
              </w:rPr>
            </w:pPr>
            <w:r>
              <w:rPr>
                <w:rFonts w:ascii="Arial" w:cs="Arial" w:eastAsia="Arial" w:hAnsi="Arial"/>
                <w:sz w:val="12"/>
                <w:szCs w:val="12"/>
                <w:b w:val="1"/>
                <w:bCs w:val="1"/>
                <w:color w:val="auto"/>
              </w:rPr>
              <w:t>Net income (loss) attributable to ZoomInfo Technologies Inc.</w:t>
            </w:r>
          </w:p>
        </w:tc>
        <w:tc>
          <w:tcPr>
            <w:tcW w:w="196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7"/>
                <w:szCs w:val="17"/>
                <w:color w:val="auto"/>
              </w:rPr>
            </w:pPr>
          </w:p>
        </w:tc>
        <w:tc>
          <w:tcPr>
            <w:tcW w:w="960" w:type="dxa"/>
            <w:vAlign w:val="bottom"/>
          </w:tcPr>
          <w:p>
            <w:pPr>
              <w:jc w:val="right"/>
              <w:ind w:right="824"/>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7"/>
                <w:szCs w:val="17"/>
                <w:color w:val="auto"/>
              </w:rPr>
            </w:pPr>
          </w:p>
        </w:tc>
        <w:tc>
          <w:tcPr>
            <w:tcW w:w="560" w:type="dxa"/>
            <w:vAlign w:val="bottom"/>
          </w:tcPr>
          <w:p>
            <w:pPr>
              <w:jc w:val="right"/>
              <w:ind w:right="4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9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2"/>
        </w:trPr>
        <w:tc>
          <w:tcPr>
            <w:tcW w:w="3940" w:type="dxa"/>
            <w:vAlign w:val="bottom"/>
          </w:tcPr>
          <w:p>
            <w:pPr>
              <w:spacing w:after="0"/>
              <w:rPr>
                <w:sz w:val="20"/>
                <w:szCs w:val="20"/>
                <w:color w:val="auto"/>
              </w:rPr>
            </w:pPr>
            <w:r>
              <w:rPr>
                <w:rFonts w:ascii="Arial" w:cs="Arial" w:eastAsia="Arial" w:hAnsi="Arial"/>
                <w:sz w:val="12"/>
                <w:szCs w:val="12"/>
                <w:color w:val="auto"/>
              </w:rPr>
              <w:t>Net income (loss) per share of Class A and Class C common stock:</w:t>
            </w:r>
            <w:r>
              <w:rPr>
                <w:rFonts w:ascii="Arial" w:cs="Arial" w:eastAsia="Arial" w:hAnsi="Arial"/>
                <w:sz w:val="15"/>
                <w:szCs w:val="15"/>
                <w:color w:val="auto"/>
                <w:vertAlign w:val="superscript"/>
              </w:rPr>
              <w:t>(1)</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w:t>
            </w:r>
          </w:p>
        </w:tc>
        <w:tc>
          <w:tcPr>
            <w:tcW w:w="1960" w:type="dxa"/>
            <w:vAlign w:val="bottom"/>
            <w:gridSpan w:val="2"/>
            <w:shd w:val="clear" w:color="auto" w:fill="CCEEFF"/>
          </w:tcPr>
          <w:p>
            <w:pPr>
              <w:jc w:val="right"/>
              <w:ind w:right="692"/>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63"/>
        </w:trPr>
        <w:tc>
          <w:tcPr>
            <w:tcW w:w="3940" w:type="dxa"/>
            <w:vAlign w:val="bottom"/>
          </w:tcPr>
          <w:p>
            <w:pPr>
              <w:ind w:left="160"/>
              <w:spacing w:after="0"/>
              <w:rPr>
                <w:sz w:val="20"/>
                <w:szCs w:val="20"/>
                <w:color w:val="auto"/>
              </w:rPr>
            </w:pPr>
            <w:r>
              <w:rPr>
                <w:rFonts w:ascii="Arial" w:cs="Arial" w:eastAsia="Arial" w:hAnsi="Arial"/>
                <w:sz w:val="12"/>
                <w:szCs w:val="12"/>
                <w:color w:val="auto"/>
              </w:rPr>
              <w:t>Diluted</w:t>
            </w:r>
          </w:p>
        </w:tc>
        <w:tc>
          <w:tcPr>
            <w:tcW w:w="196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N/A</w:t>
            </w:r>
          </w:p>
        </w:tc>
      </w:tr>
    </w:tbl>
    <w:p>
      <w:pPr>
        <w:spacing w:after="0" w:line="64"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w:t>
      </w:r>
    </w:p>
    <w:p>
      <w:pPr>
        <w:spacing w:after="0" w:line="113" w:lineRule="exact"/>
        <w:rPr>
          <w:sz w:val="20"/>
          <w:szCs w:val="20"/>
          <w:color w:val="auto"/>
        </w:rPr>
      </w:pPr>
    </w:p>
    <w:p>
      <w:pPr>
        <w:ind w:left="227" w:hanging="227"/>
        <w:spacing w:after="0" w:line="294" w:lineRule="auto"/>
        <w:tabs>
          <w:tab w:leader="none" w:pos="222" w:val="left"/>
        </w:tabs>
        <w:numPr>
          <w:ilvl w:val="0"/>
          <w:numId w:val="7"/>
        </w:numPr>
        <w:rPr>
          <w:rFonts w:ascii="Arial" w:cs="Arial" w:eastAsia="Arial" w:hAnsi="Arial"/>
          <w:sz w:val="8"/>
          <w:szCs w:val="8"/>
          <w:color w:val="auto"/>
        </w:rPr>
      </w:pPr>
      <w:r>
        <w:rPr>
          <w:rFonts w:ascii="Arial" w:cs="Arial" w:eastAsia="Arial" w:hAnsi="Arial"/>
          <w:sz w:val="8"/>
          <w:szCs w:val="8"/>
          <w:color w:val="auto"/>
        </w:rPr>
        <w:t>Basic and diluted net income (loss) per share of Class A and Class C common stock is applicable only for the period from June 4, 2020 through June 30, 2020, which is the period following the initial public offering ("IPO") and related Reorganization Transactions (as defined in Note 1 to the Unaudited Consolidated Financial Statements). See Note 12 for the number of shares used in the computation of net income (loss) per share of Class A and Class C common stock and the basis for the computation of net income (loss) per share.</w:t>
      </w:r>
    </w:p>
    <w:p>
      <w:pPr>
        <w:ind w:left="207" w:hanging="207"/>
        <w:spacing w:after="0"/>
        <w:tabs>
          <w:tab w:leader="none" w:pos="207" w:val="left"/>
        </w:tabs>
        <w:numPr>
          <w:ilvl w:val="0"/>
          <w:numId w:val="7"/>
        </w:numPr>
        <w:rPr>
          <w:rFonts w:ascii="Arial" w:cs="Arial" w:eastAsia="Arial" w:hAnsi="Arial"/>
          <w:sz w:val="10"/>
          <w:szCs w:val="10"/>
          <w:color w:val="auto"/>
        </w:rPr>
      </w:pPr>
      <w:r>
        <w:rPr>
          <w:rFonts w:ascii="Arial" w:cs="Arial" w:eastAsia="Arial" w:hAnsi="Arial"/>
          <w:sz w:val="10"/>
          <w:szCs w:val="10"/>
          <w:color w:val="auto"/>
        </w:rPr>
        <w:t>Amounts include equity-based compensation expense, as follows:</w:t>
      </w:r>
    </w:p>
    <w:p>
      <w:pPr>
        <w:spacing w:after="0" w:line="80" w:lineRule="exact"/>
        <w:rPr>
          <w:sz w:val="20"/>
          <w:szCs w:val="20"/>
          <w:color w:val="auto"/>
        </w:rPr>
      </w:pPr>
    </w:p>
    <w:tbl>
      <w:tblPr>
        <w:tblLayout w:type="fixed"/>
        <w:tblInd w:w="227" w:type="dxa"/>
        <w:tblCellMar>
          <w:top w:w="0" w:type="dxa"/>
          <w:left w:w="0" w:type="dxa"/>
          <w:bottom w:w="0" w:type="dxa"/>
          <w:right w:w="0" w:type="dxa"/>
        </w:tblCellMar>
      </w:tblPr>
      <w:tr>
        <w:trPr>
          <w:trHeight w:val="145"/>
        </w:trPr>
        <w:tc>
          <w:tcPr>
            <w:tcW w:w="508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17.0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r>
      <w:tr>
        <w:trPr>
          <w:trHeight w:val="137"/>
        </w:trPr>
        <w:tc>
          <w:tcPr>
            <w:tcW w:w="5080" w:type="dxa"/>
            <w:vAlign w:val="bottom"/>
          </w:tcPr>
          <w:p>
            <w:pPr>
              <w:spacing w:after="0"/>
              <w:rPr>
                <w:sz w:val="20"/>
                <w:szCs w:val="20"/>
                <w:color w:val="auto"/>
              </w:rPr>
            </w:pPr>
            <w:r>
              <w:rPr>
                <w:rFonts w:ascii="Arial" w:cs="Arial" w:eastAsia="Arial" w:hAnsi="Arial"/>
                <w:sz w:val="10"/>
                <w:szCs w:val="10"/>
                <w:color w:val="auto"/>
              </w:rPr>
              <w:t>Sales and marketing</w:t>
            </w:r>
          </w:p>
        </w:tc>
        <w:tc>
          <w:tcPr>
            <w:tcW w:w="6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38.4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4.1</w:t>
            </w:r>
          </w:p>
        </w:tc>
      </w:tr>
      <w:tr>
        <w:trPr>
          <w:trHeight w:val="154"/>
        </w:trPr>
        <w:tc>
          <w:tcPr>
            <w:tcW w:w="508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10.1</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r>
      <w:tr>
        <w:trPr>
          <w:trHeight w:val="137"/>
        </w:trPr>
        <w:tc>
          <w:tcPr>
            <w:tcW w:w="50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General and administrative</w:t>
            </w:r>
          </w:p>
        </w:tc>
        <w:tc>
          <w:tcPr>
            <w:tcW w:w="6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10.3</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r>
      <w:tr>
        <w:trPr>
          <w:trHeight w:val="159"/>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equity-based compensation expense</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64.5</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75.8</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w:t>
            </w:r>
          </w:p>
        </w:tc>
      </w:tr>
    </w:tbl>
    <w:p>
      <w:pPr>
        <w:spacing w:after="0" w:line="200" w:lineRule="exact"/>
        <w:rPr>
          <w:sz w:val="20"/>
          <w:szCs w:val="20"/>
          <w:color w:val="auto"/>
        </w:rPr>
      </w:pPr>
    </w:p>
    <w:p>
      <w:pPr>
        <w:spacing w:after="0" w:line="30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0" w:name="page11"/>
    <w:bookmarkEnd w:id="1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ZoomInfo Technologies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0"/>
          <w:szCs w:val="10"/>
          <w:b w:val="1"/>
          <w:bCs w:val="1"/>
          <w:i w:val="1"/>
          <w:iCs w:val="1"/>
          <w:color w:val="auto"/>
        </w:rPr>
        <w:t>(in millions;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880" w:type="dxa"/>
            <w:vAlign w:val="bottom"/>
          </w:tcPr>
          <w:p>
            <w:pPr>
              <w:spacing w:after="0"/>
              <w:rPr>
                <w:sz w:val="11"/>
                <w:szCs w:val="11"/>
                <w:color w:val="auto"/>
              </w:rPr>
            </w:pPr>
          </w:p>
        </w:tc>
        <w:tc>
          <w:tcPr>
            <w:tcW w:w="22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0"/>
                <w:szCs w:val="10"/>
                <w:b w:val="1"/>
                <w:bCs w:val="1"/>
                <w:color w:val="auto"/>
              </w:rPr>
              <w:t>Three Months Ended June 30,</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60" w:type="dxa"/>
            <w:vAlign w:val="bottom"/>
            <w:tcBorders>
              <w:bottom w:val="single" w:sz="8" w:color="auto"/>
            </w:tcBorders>
          </w:tcPr>
          <w:p>
            <w:pPr>
              <w:spacing w:after="0"/>
              <w:rPr>
                <w:sz w:val="11"/>
                <w:szCs w:val="11"/>
                <w:color w:val="auto"/>
              </w:rPr>
            </w:pPr>
          </w:p>
        </w:tc>
      </w:tr>
      <w:tr>
        <w:trPr>
          <w:trHeight w:val="134"/>
        </w:trPr>
        <w:tc>
          <w:tcPr>
            <w:tcW w:w="5880" w:type="dxa"/>
            <w:vAlign w:val="bottom"/>
          </w:tcPr>
          <w:p>
            <w:pPr>
              <w:spacing w:after="0"/>
              <w:rPr>
                <w:sz w:val="11"/>
                <w:szCs w:val="11"/>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w w:val="89"/>
              </w:rPr>
              <w:t>2019</w:t>
            </w:r>
          </w:p>
        </w:tc>
      </w:tr>
      <w:tr>
        <w:trPr>
          <w:trHeight w:val="126"/>
        </w:trPr>
        <w:tc>
          <w:tcPr>
            <w:tcW w:w="58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(As restated)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10"/>
                <w:szCs w:val="10"/>
                <w:b w:val="1"/>
                <w:bCs w:val="1"/>
                <w:color w:val="auto"/>
              </w:rPr>
              <w:t>(As restated)</w:t>
            </w: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6"/>
        </w:trPr>
        <w:tc>
          <w:tcPr>
            <w:tcW w:w="5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82"/>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940" w:type="dxa"/>
            <w:vAlign w:val="bottom"/>
            <w:shd w:val="clear" w:color="auto" w:fill="CCEEFF"/>
          </w:tcPr>
          <w:p>
            <w:pPr>
              <w:jc w:val="right"/>
              <w:ind w:right="831"/>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(77.9)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w:t>
            </w:r>
          </w:p>
        </w:tc>
      </w:tr>
      <w:tr>
        <w:trPr>
          <w:trHeight w:val="172"/>
        </w:trPr>
        <w:tc>
          <w:tcPr>
            <w:tcW w:w="5880" w:type="dxa"/>
            <w:vAlign w:val="bottom"/>
          </w:tcPr>
          <w:p>
            <w:pPr>
              <w:spacing w:after="0"/>
              <w:rPr>
                <w:sz w:val="20"/>
                <w:szCs w:val="20"/>
                <w:color w:val="auto"/>
              </w:rPr>
            </w:pPr>
            <w:r>
              <w:rPr>
                <w:rFonts w:ascii="Arial" w:cs="Arial" w:eastAsia="Arial" w:hAnsi="Arial"/>
                <w:sz w:val="12"/>
                <w:szCs w:val="12"/>
                <w:b w:val="1"/>
                <w:bCs w:val="1"/>
                <w:color w:val="auto"/>
              </w:rPr>
              <w:t>Other comprehensive income (loss), net of tax</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1"/>
        </w:trPr>
        <w:tc>
          <w:tcPr>
            <w:tcW w:w="58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Unrealized gain (loss) on cash flow hedges</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r>
      <w:tr>
        <w:trPr>
          <w:trHeight w:val="172"/>
        </w:trPr>
        <w:tc>
          <w:tcPr>
            <w:tcW w:w="5880" w:type="dxa"/>
            <w:vAlign w:val="bottom"/>
          </w:tcPr>
          <w:p>
            <w:pPr>
              <w:ind w:left="140"/>
              <w:spacing w:after="0"/>
              <w:rPr>
                <w:sz w:val="20"/>
                <w:szCs w:val="20"/>
                <w:color w:val="auto"/>
              </w:rPr>
            </w:pPr>
            <w:r>
              <w:rPr>
                <w:rFonts w:ascii="Arial" w:cs="Arial" w:eastAsia="Arial" w:hAnsi="Arial"/>
                <w:sz w:val="12"/>
                <w:szCs w:val="12"/>
                <w:color w:val="auto"/>
              </w:rPr>
              <w:t>Realized loss (gain) on settlement of cash flow hedges</w:t>
            </w:r>
          </w:p>
        </w:tc>
        <w:tc>
          <w:tcPr>
            <w:tcW w:w="9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82"/>
        </w:trPr>
        <w:tc>
          <w:tcPr>
            <w:tcW w:w="58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deferred losses related to the dedesignated Interest Rate Swap</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71"/>
        </w:trPr>
        <w:tc>
          <w:tcPr>
            <w:tcW w:w="58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Other comprehensive income (loss)</w:t>
            </w:r>
          </w:p>
        </w:tc>
        <w:tc>
          <w:tcPr>
            <w:tcW w:w="9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w:t>
            </w:r>
          </w:p>
        </w:tc>
      </w:tr>
      <w:tr>
        <w:trPr>
          <w:trHeight w:val="180"/>
        </w:trPr>
        <w:tc>
          <w:tcPr>
            <w:tcW w:w="58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Comprehensive income (loss)</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(75.5)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w:t>
            </w:r>
          </w:p>
        </w:tc>
      </w:tr>
      <w:tr>
        <w:trPr>
          <w:trHeight w:val="172"/>
        </w:trPr>
        <w:tc>
          <w:tcPr>
            <w:tcW w:w="5880" w:type="dxa"/>
            <w:vAlign w:val="bottom"/>
          </w:tcPr>
          <w:p>
            <w:pPr>
              <w:ind w:left="160"/>
              <w:spacing w:after="0"/>
              <w:rPr>
                <w:sz w:val="20"/>
                <w:szCs w:val="20"/>
                <w:color w:val="auto"/>
              </w:rPr>
            </w:pPr>
            <w:r>
              <w:rPr>
                <w:rFonts w:ascii="Arial" w:cs="Arial" w:eastAsia="Arial" w:hAnsi="Arial"/>
                <w:sz w:val="12"/>
                <w:szCs w:val="12"/>
                <w:color w:val="auto"/>
              </w:rPr>
              <w:t>Less: Net income attributable to ZoomInfo OpCo prior to the Reorganization Transactions</w:t>
            </w:r>
          </w:p>
        </w:tc>
        <w:tc>
          <w:tcPr>
            <w:tcW w:w="9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(66.0)</w:t>
            </w:r>
          </w:p>
        </w:tc>
      </w:tr>
      <w:tr>
        <w:trPr>
          <w:trHeight w:val="182"/>
        </w:trPr>
        <w:tc>
          <w:tcPr>
            <w:tcW w:w="5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Less: Comprehensive income (loss) attributable to noncontrolling interests</w:t>
            </w:r>
          </w:p>
        </w:tc>
        <w:tc>
          <w:tcPr>
            <w:tcW w:w="9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(42.0)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80"/>
        </w:trPr>
        <w:tc>
          <w:tcPr>
            <w:tcW w:w="5880" w:type="dxa"/>
            <w:vAlign w:val="bottom"/>
          </w:tcPr>
          <w:p>
            <w:pPr>
              <w:spacing w:after="0"/>
              <w:rPr>
                <w:sz w:val="20"/>
                <w:szCs w:val="20"/>
                <w:color w:val="auto"/>
              </w:rPr>
            </w:pPr>
            <w:r>
              <w:rPr>
                <w:rFonts w:ascii="Arial" w:cs="Arial" w:eastAsia="Arial" w:hAnsi="Arial"/>
                <w:sz w:val="12"/>
                <w:szCs w:val="12"/>
                <w:b w:val="1"/>
                <w:bCs w:val="1"/>
                <w:color w:val="auto"/>
              </w:rPr>
              <w:t>Comprehensive income (loss) attributable to ZoomInfo Technologies Inc.</w:t>
            </w:r>
          </w:p>
        </w:tc>
        <w:tc>
          <w:tcPr>
            <w:tcW w:w="940" w:type="dxa"/>
            <w:vAlign w:val="bottom"/>
          </w:tcPr>
          <w:p>
            <w:pPr>
              <w:jc w:val="right"/>
              <w:ind w:right="831"/>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5"/>
              </w:rPr>
              <w:t>(33.3)</w:t>
            </w:r>
          </w:p>
        </w:tc>
        <w:tc>
          <w:tcPr>
            <w:tcW w:w="100" w:type="dxa"/>
            <w:vAlign w:val="bottom"/>
          </w:tcPr>
          <w:p>
            <w:pPr>
              <w:spacing w:after="0"/>
              <w:rPr>
                <w:sz w:val="15"/>
                <w:szCs w:val="15"/>
                <w:color w:val="auto"/>
              </w:rPr>
            </w:pP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5"/>
                <w:szCs w:val="15"/>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0"/>
        </w:trPr>
        <w:tc>
          <w:tcPr>
            <w:tcW w:w="5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 w:name="page12"/>
    <w:bookmarkEnd w:id="1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1380"/>
        <w:spacing w:after="0"/>
        <w:rPr>
          <w:sz w:val="20"/>
          <w:szCs w:val="20"/>
          <w:color w:val="auto"/>
        </w:rPr>
      </w:pPr>
      <w:r>
        <w:rPr>
          <w:rFonts w:ascii="Arial" w:cs="Arial" w:eastAsia="Arial" w:hAnsi="Arial"/>
          <w:sz w:val="7"/>
          <w:szCs w:val="7"/>
          <w:b w:val="1"/>
          <w:bCs w:val="1"/>
          <w:color w:val="auto"/>
        </w:rPr>
        <w:t>ZoomInfo Holdings</w:t>
      </w:r>
    </w:p>
    <w:p>
      <w:pPr>
        <w:spacing w:after="0" w:line="27" w:lineRule="exact"/>
        <w:rPr>
          <w:sz w:val="20"/>
          <w:szCs w:val="20"/>
          <w:color w:val="auto"/>
        </w:rPr>
      </w:pPr>
    </w:p>
    <w:p>
      <w:pPr>
        <w:jc w:val="center"/>
        <w:ind w:left="1380"/>
        <w:spacing w:after="0"/>
        <w:rPr>
          <w:sz w:val="20"/>
          <w:szCs w:val="20"/>
          <w:color w:val="auto"/>
        </w:rPr>
      </w:pPr>
      <w:r>
        <w:rPr>
          <w:rFonts w:ascii="Arial" w:cs="Arial" w:eastAsia="Arial" w:hAnsi="Arial"/>
          <w:sz w:val="8"/>
          <w:szCs w:val="8"/>
          <w:b w:val="1"/>
          <w:bCs w:val="1"/>
          <w:color w:val="auto"/>
        </w:rPr>
        <w:t>LLC (Prior to</w:t>
      </w:r>
    </w:p>
    <w:p>
      <w:pPr>
        <w:spacing w:after="0" w:line="8" w:lineRule="exact"/>
        <w:rPr>
          <w:sz w:val="20"/>
          <w:szCs w:val="20"/>
          <w:color w:val="auto"/>
        </w:rPr>
      </w:pPr>
    </w:p>
    <w:p>
      <w:pPr>
        <w:jc w:val="center"/>
        <w:ind w:left="1380"/>
        <w:spacing w:after="0"/>
        <w:rPr>
          <w:sz w:val="20"/>
          <w:szCs w:val="20"/>
          <w:color w:val="auto"/>
        </w:rPr>
      </w:pPr>
      <w:r>
        <w:rPr>
          <w:rFonts w:ascii="Arial" w:cs="Arial" w:eastAsia="Arial" w:hAnsi="Arial"/>
          <w:sz w:val="8"/>
          <w:szCs w:val="8"/>
          <w:b w:val="1"/>
          <w:bCs w:val="1"/>
          <w:color w:val="auto"/>
        </w:rPr>
        <w:t>Reorganization</w:t>
      </w:r>
    </w:p>
    <w:p>
      <w:pPr>
        <w:spacing w:after="0" w:line="8" w:lineRule="exact"/>
        <w:rPr>
          <w:sz w:val="20"/>
          <w:szCs w:val="20"/>
          <w:color w:val="auto"/>
        </w:rPr>
      </w:pPr>
    </w:p>
    <w:p>
      <w:pPr>
        <w:jc w:val="center"/>
        <w:ind w:left="1380"/>
        <w:spacing w:after="0"/>
        <w:rPr>
          <w:sz w:val="20"/>
          <w:szCs w:val="20"/>
          <w:color w:val="auto"/>
        </w:rPr>
      </w:pPr>
      <w:r>
        <w:rPr>
          <w:rFonts w:ascii="Arial" w:cs="Arial" w:eastAsia="Arial" w:hAnsi="Arial"/>
          <w:sz w:val="8"/>
          <w:szCs w:val="8"/>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18415</wp:posOffset>
            </wp:positionV>
            <wp:extent cx="565150" cy="3147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150" cy="3147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4200"/>
        <w:spacing w:after="0"/>
        <w:rPr>
          <w:sz w:val="20"/>
          <w:szCs w:val="20"/>
          <w:color w:val="auto"/>
        </w:rPr>
      </w:pPr>
      <w:r>
        <w:rPr>
          <w:rFonts w:ascii="Arial" w:cs="Arial" w:eastAsia="Arial" w:hAnsi="Arial"/>
          <w:sz w:val="12"/>
          <w:szCs w:val="12"/>
          <w:b w:val="1"/>
          <w:bCs w:val="1"/>
          <w:color w:val="auto"/>
        </w:rPr>
        <w:t>ZoomInfo Technologies Inc.</w:t>
      </w:r>
    </w:p>
    <w:p>
      <w:pPr>
        <w:spacing w:after="0" w:line="35" w:lineRule="exact"/>
        <w:rPr>
          <w:sz w:val="20"/>
          <w:szCs w:val="20"/>
          <w:color w:val="auto"/>
        </w:rPr>
      </w:pPr>
    </w:p>
    <w:p>
      <w:pPr>
        <w:jc w:val="center"/>
        <w:ind w:right="4200"/>
        <w:spacing w:after="0"/>
        <w:rPr>
          <w:sz w:val="20"/>
          <w:szCs w:val="20"/>
          <w:color w:val="auto"/>
        </w:rPr>
      </w:pPr>
      <w:r>
        <w:rPr>
          <w:rFonts w:ascii="Arial" w:cs="Arial" w:eastAsia="Arial" w:hAnsi="Arial"/>
          <w:sz w:val="10"/>
          <w:szCs w:val="10"/>
          <w:b w:val="1"/>
          <w:bCs w:val="1"/>
          <w:color w:val="auto"/>
        </w:rPr>
        <w:t>Consolidated Statements of Changes in Equity (Deficit)</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0"/>
          <w:szCs w:val="10"/>
          <w:b w:val="1"/>
          <w:bCs w:val="1"/>
          <w:i w:val="1"/>
          <w:iCs w:val="1"/>
          <w:color w:val="auto"/>
        </w:rPr>
        <w:t>(in millions, except share data; unaudited)</w:t>
      </w:r>
    </w:p>
    <w:p>
      <w:pPr>
        <w:spacing w:after="0" w:line="355" w:lineRule="exact"/>
        <w:rPr>
          <w:sz w:val="20"/>
          <w:szCs w:val="20"/>
          <w:color w:val="auto"/>
        </w:rPr>
      </w:pPr>
    </w:p>
    <w:p>
      <w:pPr>
        <w:ind w:left="1160"/>
        <w:spacing w:after="0"/>
        <w:rPr>
          <w:sz w:val="20"/>
          <w:szCs w:val="20"/>
          <w:color w:val="auto"/>
        </w:rPr>
      </w:pPr>
      <w:r>
        <w:rPr>
          <w:rFonts w:ascii="Arial" w:cs="Arial" w:eastAsia="Arial" w:hAnsi="Arial"/>
          <w:sz w:val="10"/>
          <w:szCs w:val="10"/>
          <w:b w:val="1"/>
          <w:bCs w:val="1"/>
          <w:color w:val="auto"/>
        </w:rPr>
        <w:t>ZoomInfo Technologies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17145</wp:posOffset>
            </wp:positionV>
            <wp:extent cx="433514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35145" cy="5715"/>
                    </a:xfrm>
                    <a:prstGeom prst="rect">
                      <a:avLst/>
                    </a:prstGeom>
                    <a:noFill/>
                  </pic:spPr>
                </pic:pic>
              </a:graphicData>
            </a:graphic>
          </wp:anchor>
        </w:drawing>
      </w:r>
    </w:p>
    <w:p>
      <w:pPr>
        <w:spacing w:after="0" w:line="19" w:lineRule="exact"/>
        <w:rPr>
          <w:sz w:val="20"/>
          <w:szCs w:val="20"/>
          <w:color w:val="auto"/>
        </w:rPr>
      </w:pPr>
    </w:p>
    <w:p>
      <w:pPr>
        <w:jc w:val="right"/>
        <w:ind w:right="780"/>
        <w:spacing w:after="0"/>
        <w:tabs>
          <w:tab w:leader="none" w:pos="4240" w:val="left"/>
          <w:tab w:leader="none" w:pos="3500" w:val="left"/>
          <w:tab w:leader="none" w:pos="2920" w:val="left"/>
          <w:tab w:leader="none" w:pos="2000" w:val="left"/>
          <w:tab w:leader="none" w:pos="620" w:val="left"/>
        </w:tabs>
        <w:rPr>
          <w:sz w:val="20"/>
          <w:szCs w:val="20"/>
          <w:color w:val="auto"/>
        </w:rPr>
      </w:pPr>
      <w:r>
        <w:rPr>
          <w:rFonts w:ascii="Arial" w:cs="Arial" w:eastAsia="Arial" w:hAnsi="Arial"/>
          <w:sz w:val="10"/>
          <w:szCs w:val="10"/>
          <w:b w:val="1"/>
          <w:bCs w:val="1"/>
          <w:color w:val="auto"/>
        </w:rPr>
        <w:t>Class A</w:t>
      </w:r>
      <w:r>
        <w:rPr>
          <w:sz w:val="20"/>
          <w:szCs w:val="20"/>
          <w:color w:val="auto"/>
        </w:rPr>
        <w:tab/>
      </w:r>
      <w:r>
        <w:rPr>
          <w:rFonts w:ascii="Arial" w:cs="Arial" w:eastAsia="Arial" w:hAnsi="Arial"/>
          <w:sz w:val="10"/>
          <w:szCs w:val="10"/>
          <w:b w:val="1"/>
          <w:bCs w:val="1"/>
          <w:color w:val="auto"/>
        </w:rPr>
        <w:t>Class B</w:t>
      </w:r>
      <w:r>
        <w:rPr>
          <w:sz w:val="20"/>
          <w:szCs w:val="20"/>
          <w:color w:val="auto"/>
        </w:rPr>
        <w:tab/>
      </w:r>
      <w:r>
        <w:rPr>
          <w:rFonts w:ascii="Arial" w:cs="Arial" w:eastAsia="Arial" w:hAnsi="Arial"/>
          <w:sz w:val="10"/>
          <w:szCs w:val="10"/>
          <w:b w:val="1"/>
          <w:bCs w:val="1"/>
          <w:color w:val="auto"/>
        </w:rPr>
        <w:t>Class C</w:t>
      </w:r>
      <w:r>
        <w:rPr>
          <w:sz w:val="20"/>
          <w:szCs w:val="20"/>
          <w:color w:val="auto"/>
        </w:rPr>
        <w:tab/>
      </w:r>
      <w:r>
        <w:rPr>
          <w:rFonts w:ascii="Arial" w:cs="Arial" w:eastAsia="Arial" w:hAnsi="Arial"/>
          <w:sz w:val="10"/>
          <w:szCs w:val="10"/>
          <w:b w:val="1"/>
          <w:bCs w:val="1"/>
          <w:color w:val="auto"/>
        </w:rPr>
        <w:t>Additional paid-</w:t>
      </w:r>
      <w:r>
        <w:rPr>
          <w:sz w:val="20"/>
          <w:szCs w:val="20"/>
          <w:color w:val="auto"/>
        </w:rPr>
        <w:tab/>
      </w:r>
      <w:r>
        <w:rPr>
          <w:rFonts w:ascii="Arial" w:cs="Arial" w:eastAsia="Arial" w:hAnsi="Arial"/>
          <w:sz w:val="10"/>
          <w:szCs w:val="10"/>
          <w:b w:val="1"/>
          <w:bCs w:val="1"/>
          <w:color w:val="auto"/>
        </w:rPr>
        <w:t>Retained</w:t>
      </w:r>
      <w:r>
        <w:rPr>
          <w:sz w:val="20"/>
          <w:szCs w:val="20"/>
          <w:color w:val="auto"/>
        </w:rPr>
        <w:tab/>
      </w:r>
      <w:r>
        <w:rPr>
          <w:rFonts w:ascii="Arial" w:cs="Arial" w:eastAsia="Arial" w:hAnsi="Arial"/>
          <w:sz w:val="8"/>
          <w:szCs w:val="8"/>
          <w:b w:val="1"/>
          <w:bCs w:val="1"/>
          <w:color w:val="auto"/>
        </w:rPr>
        <w:t>Noncontrolling</w:t>
      </w:r>
    </w:p>
    <w:p>
      <w:pPr>
        <w:spacing w:after="0" w:line="4" w:lineRule="exact"/>
        <w:rPr>
          <w:sz w:val="20"/>
          <w:szCs w:val="20"/>
          <w:color w:val="auto"/>
        </w:rPr>
      </w:pPr>
    </w:p>
    <w:p>
      <w:pPr>
        <w:sectPr>
          <w:pgSz w:w="11900" w:h="16838" w:orient="portrait"/>
          <w:cols w:equalWidth="0" w:num="2">
            <w:col w:w="3480" w:space="720"/>
            <w:col w:w="7060"/>
          </w:cols>
          <w:pgMar w:left="300" w:top="128"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1833245" cy="97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3245" cy="977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833245" cy="92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33245" cy="920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Member distributions</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833245" cy="92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3245" cy="920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Equity-based compensation</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auto"/>
        </w:rPr>
        <w:t>Balance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833245" cy="161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3245" cy="161290"/>
                    </a:xfrm>
                    <a:prstGeom prst="rect">
                      <a:avLst/>
                    </a:prstGeom>
                    <a:noFill/>
                  </pic:spPr>
                </pic:pic>
              </a:graphicData>
            </a:graphic>
          </wp:anchor>
        </w:drawing>
      </w:r>
    </w:p>
    <w:p>
      <w:pPr>
        <w:spacing w:after="0" w:line="12" w:lineRule="exact"/>
        <w:rPr>
          <w:sz w:val="20"/>
          <w:szCs w:val="20"/>
          <w:color w:val="auto"/>
        </w:rPr>
      </w:pPr>
    </w:p>
    <w:p>
      <w:pPr>
        <w:ind w:right="400"/>
        <w:spacing w:after="0" w:line="242" w:lineRule="auto"/>
        <w:rPr>
          <w:sz w:val="20"/>
          <w:szCs w:val="20"/>
          <w:color w:val="auto"/>
        </w:rPr>
      </w:pPr>
      <w:r>
        <w:rPr>
          <w:rFonts w:ascii="Arial" w:cs="Arial" w:eastAsia="Arial" w:hAnsi="Arial"/>
          <w:sz w:val="10"/>
          <w:szCs w:val="10"/>
          <w:color w:val="auto"/>
        </w:rPr>
        <w:t>Net income (loss) prior to Reorganization Transactions</w:t>
      </w:r>
    </w:p>
    <w:p>
      <w:pPr>
        <w:spacing w:after="0" w:line="22" w:lineRule="exact"/>
        <w:rPr>
          <w:sz w:val="20"/>
          <w:szCs w:val="20"/>
          <w:color w:val="auto"/>
        </w:rPr>
      </w:pPr>
    </w:p>
    <w:p>
      <w:pPr>
        <w:ind w:right="80"/>
        <w:spacing w:after="0" w:line="242" w:lineRule="auto"/>
        <w:rPr>
          <w:sz w:val="20"/>
          <w:szCs w:val="20"/>
          <w:color w:val="auto"/>
        </w:rPr>
      </w:pPr>
      <w:r>
        <w:rPr>
          <w:rFonts w:ascii="Arial" w:cs="Arial" w:eastAsia="Arial" w:hAnsi="Arial"/>
          <w:sz w:val="10"/>
          <w:szCs w:val="10"/>
          <w:color w:val="auto"/>
        </w:rPr>
        <w:t>Other comprehensive loss prior to Reorganization Transactions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833245"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3245" cy="161290"/>
                    </a:xfrm>
                    <a:prstGeom prst="rect">
                      <a:avLst/>
                    </a:prstGeom>
                    <a:noFill/>
                  </pic:spPr>
                </pic:pic>
              </a:graphicData>
            </a:graphic>
          </wp:anchor>
        </w:drawing>
      </w:r>
    </w:p>
    <w:p>
      <w:pPr>
        <w:spacing w:after="0" w:line="2"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Member distributions prior to Reorganization Transactions</w:t>
      </w:r>
    </w:p>
    <w:p>
      <w:pPr>
        <w:spacing w:after="0" w:line="22" w:lineRule="exact"/>
        <w:rPr>
          <w:sz w:val="20"/>
          <w:szCs w:val="20"/>
          <w:color w:val="auto"/>
        </w:rPr>
      </w:pPr>
    </w:p>
    <w:p>
      <w:pPr>
        <w:ind w:right="20"/>
        <w:spacing w:after="0" w:line="242" w:lineRule="auto"/>
        <w:rPr>
          <w:sz w:val="20"/>
          <w:szCs w:val="20"/>
          <w:color w:val="auto"/>
        </w:rPr>
      </w:pPr>
      <w:r>
        <w:rPr>
          <w:rFonts w:ascii="Arial" w:cs="Arial" w:eastAsia="Arial" w:hAnsi="Arial"/>
          <w:sz w:val="10"/>
          <w:szCs w:val="10"/>
          <w:color w:val="auto"/>
        </w:rPr>
        <w:t>Equity-based compensation prior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833245" cy="92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3245" cy="9207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8"/>
          <w:szCs w:val="8"/>
          <w:b w:val="1"/>
          <w:bCs w:val="1"/>
          <w:i w:val="1"/>
          <w:iCs w:val="1"/>
          <w:color w:val="auto"/>
        </w:rPr>
        <w:t>Impacts of Reorganization Transactions and IPO</w:t>
      </w:r>
    </w:p>
    <w:p>
      <w:pPr>
        <w:spacing w:after="0" w:line="53" w:lineRule="exact"/>
        <w:rPr>
          <w:sz w:val="20"/>
          <w:szCs w:val="20"/>
          <w:color w:val="auto"/>
        </w:rPr>
      </w:pPr>
    </w:p>
    <w:p>
      <w:pPr>
        <w:spacing w:after="0" w:line="331" w:lineRule="auto"/>
        <w:rPr>
          <w:sz w:val="20"/>
          <w:szCs w:val="20"/>
          <w:color w:val="auto"/>
        </w:rPr>
      </w:pPr>
      <w:r>
        <w:rPr>
          <w:rFonts w:ascii="Arial" w:cs="Arial" w:eastAsia="Arial" w:hAnsi="Arial"/>
          <w:sz w:val="8"/>
          <w:szCs w:val="8"/>
          <w:color w:val="auto"/>
        </w:rPr>
        <w:t>Initial effect of the Reorganization Transactions and IPO on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833245" cy="16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3245" cy="161290"/>
                    </a:xfrm>
                    <a:prstGeom prst="rect">
                      <a:avLst/>
                    </a:prstGeom>
                    <a:noFill/>
                  </pic:spPr>
                </pic:pic>
              </a:graphicData>
            </a:graphic>
          </wp:anchor>
        </w:drawing>
      </w:r>
    </w:p>
    <w:p>
      <w:pPr>
        <w:ind w:right="100"/>
        <w:spacing w:after="0" w:line="242" w:lineRule="auto"/>
        <w:rPr>
          <w:sz w:val="20"/>
          <w:szCs w:val="20"/>
          <w:color w:val="auto"/>
        </w:rPr>
      </w:pPr>
      <w:r>
        <w:rPr>
          <w:rFonts w:ascii="Arial" w:cs="Arial" w:eastAsia="Arial" w:hAnsi="Arial"/>
          <w:sz w:val="10"/>
          <w:szCs w:val="10"/>
          <w:color w:val="auto"/>
        </w:rPr>
        <w:t>Issuance of Class A common stock in IPO, net of costs</w:t>
      </w:r>
    </w:p>
    <w:p>
      <w:pPr>
        <w:spacing w:after="0" w:line="22" w:lineRule="exact"/>
        <w:rPr>
          <w:sz w:val="20"/>
          <w:szCs w:val="20"/>
          <w:color w:val="auto"/>
        </w:rPr>
      </w:pPr>
    </w:p>
    <w:p>
      <w:pPr>
        <w:ind w:right="100"/>
        <w:spacing w:after="0" w:line="242" w:lineRule="auto"/>
        <w:rPr>
          <w:sz w:val="20"/>
          <w:szCs w:val="20"/>
          <w:color w:val="auto"/>
        </w:rPr>
      </w:pPr>
      <w:r>
        <w:rPr>
          <w:rFonts w:ascii="Arial" w:cs="Arial" w:eastAsia="Arial" w:hAnsi="Arial"/>
          <w:sz w:val="10"/>
          <w:szCs w:val="10"/>
          <w:color w:val="auto"/>
        </w:rPr>
        <w:t>Purchases of ZoomInfo OpCo units in connection with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833245" cy="92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33245" cy="9207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8"/>
          <w:szCs w:val="8"/>
          <w:color w:val="auto"/>
        </w:rPr>
        <w:t>Purchases of Class C units in connection with IPO</w:t>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color w:val="auto"/>
        </w:rPr>
        <w:t>Opco Units exchanged into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833245" cy="92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3245" cy="920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Forfeitures / cancellations</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Series A Preferred Unit redemption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833245" cy="230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33245" cy="230505"/>
                    </a:xfrm>
                    <a:prstGeom prst="rect">
                      <a:avLst/>
                    </a:prstGeom>
                    <a:noFill/>
                  </pic:spPr>
                </pic:pic>
              </a:graphicData>
            </a:graphic>
          </wp:anchor>
        </w:drawing>
      </w:r>
    </w:p>
    <w:p>
      <w:pPr>
        <w:spacing w:after="0" w:line="10" w:lineRule="exact"/>
        <w:rPr>
          <w:sz w:val="20"/>
          <w:szCs w:val="20"/>
          <w:color w:val="auto"/>
        </w:rPr>
      </w:pPr>
    </w:p>
    <w:p>
      <w:pPr>
        <w:ind w:right="120"/>
        <w:spacing w:after="0" w:line="236" w:lineRule="auto"/>
        <w:rPr>
          <w:sz w:val="20"/>
          <w:szCs w:val="20"/>
          <w:color w:val="auto"/>
        </w:rPr>
      </w:pPr>
      <w:r>
        <w:rPr>
          <w:rFonts w:ascii="Arial" w:cs="Arial" w:eastAsia="Arial" w:hAnsi="Arial"/>
          <w:sz w:val="10"/>
          <w:szCs w:val="10"/>
          <w:color w:val="auto"/>
        </w:rPr>
        <w:t>Increase in deferred tax asset from step-up in tax basis under TRA related to unit exchanges (as restated)</w:t>
      </w:r>
    </w:p>
    <w:p>
      <w:pPr>
        <w:spacing w:after="0" w:line="24" w:lineRule="exact"/>
        <w:rPr>
          <w:sz w:val="20"/>
          <w:szCs w:val="20"/>
          <w:color w:val="auto"/>
        </w:rPr>
      </w:pPr>
    </w:p>
    <w:p>
      <w:pPr>
        <w:ind w:right="400"/>
        <w:spacing w:after="0" w:line="331" w:lineRule="auto"/>
        <w:rPr>
          <w:sz w:val="20"/>
          <w:szCs w:val="20"/>
          <w:color w:val="auto"/>
        </w:rPr>
      </w:pPr>
      <w:r>
        <w:rPr>
          <w:rFonts w:ascii="Arial" w:cs="Arial" w:eastAsia="Arial" w:hAnsi="Arial"/>
          <w:sz w:val="8"/>
          <w:szCs w:val="8"/>
          <w:color w:val="auto"/>
        </w:rPr>
        <w:t>Net income subsequent to Reorganization Transactions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833245" cy="161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3245" cy="161290"/>
                    </a:xfrm>
                    <a:prstGeom prst="rect">
                      <a:avLst/>
                    </a:prstGeom>
                    <a:noFill/>
                  </pic:spPr>
                </pic:pic>
              </a:graphicData>
            </a:graphic>
          </wp:anchor>
        </w:drawing>
      </w:r>
    </w:p>
    <w:p>
      <w:pPr>
        <w:ind w:right="460"/>
        <w:spacing w:after="0" w:line="331" w:lineRule="auto"/>
        <w:rPr>
          <w:sz w:val="20"/>
          <w:szCs w:val="20"/>
          <w:color w:val="auto"/>
        </w:rPr>
      </w:pPr>
      <w:r>
        <w:rPr>
          <w:rFonts w:ascii="Arial" w:cs="Arial" w:eastAsia="Arial" w:hAnsi="Arial"/>
          <w:sz w:val="8"/>
          <w:szCs w:val="8"/>
          <w:color w:val="auto"/>
        </w:rPr>
        <w:t>Other comprehensive loss subsequent to Reorganization Transactions and IPO</w:t>
      </w:r>
    </w:p>
    <w:p>
      <w:pPr>
        <w:ind w:right="380"/>
        <w:spacing w:after="0" w:line="363" w:lineRule="auto"/>
        <w:rPr>
          <w:sz w:val="20"/>
          <w:szCs w:val="20"/>
          <w:color w:val="auto"/>
        </w:rPr>
      </w:pPr>
      <w:r>
        <w:rPr>
          <w:rFonts w:ascii="Arial" w:cs="Arial" w:eastAsia="Arial" w:hAnsi="Arial"/>
          <w:sz w:val="8"/>
          <w:szCs w:val="8"/>
          <w:color w:val="auto"/>
        </w:rPr>
        <w:t>Equity-based compensation subsequent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1833245" cy="109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33245" cy="10922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0"/>
          <w:szCs w:val="10"/>
          <w:b w:val="1"/>
          <w:bCs w:val="1"/>
          <w:color w:val="auto"/>
        </w:rPr>
        <w:t>Balance at June 30, 2020 (as restated)</w:t>
      </w:r>
    </w:p>
    <w:p>
      <w:pPr>
        <w:spacing w:after="0" w:line="20" w:lineRule="exact"/>
        <w:rPr>
          <w:sz w:val="20"/>
          <w:szCs w:val="20"/>
          <w:color w:val="auto"/>
        </w:rPr>
      </w:pPr>
      <w:r>
        <w:rPr>
          <w:sz w:val="20"/>
          <w:szCs w:val="20"/>
          <w:color w:val="auto"/>
        </w:rPr>
        <w:br w:type="column"/>
      </w:r>
    </w:p>
    <w:p>
      <w:pPr>
        <w:ind w:left="24"/>
        <w:spacing w:after="0"/>
        <w:rPr>
          <w:sz w:val="20"/>
          <w:szCs w:val="20"/>
          <w:color w:val="auto"/>
        </w:rPr>
      </w:pPr>
      <w:r>
        <w:rPr>
          <w:rFonts w:ascii="Arial" w:cs="Arial" w:eastAsia="Arial" w:hAnsi="Arial"/>
          <w:sz w:val="8"/>
          <w:szCs w:val="8"/>
          <w:b w:val="1"/>
          <w:bCs w:val="1"/>
          <w:color w:val="auto"/>
        </w:rPr>
        <w:t>Members' Deficit</w:t>
      </w:r>
    </w:p>
    <w:p>
      <w:pPr>
        <w:spacing w:after="0" w:line="54" w:lineRule="exact"/>
        <w:rPr>
          <w:sz w:val="20"/>
          <w:szCs w:val="20"/>
          <w:color w:val="auto"/>
        </w:rPr>
      </w:pPr>
    </w:p>
    <w:p>
      <w:pPr>
        <w:ind w:left="464" w:hanging="464"/>
        <w:spacing w:after="0"/>
        <w:tabs>
          <w:tab w:leader="none" w:pos="464" w:val="left"/>
        </w:tabs>
        <w:numPr>
          <w:ilvl w:val="0"/>
          <w:numId w:val="8"/>
        </w:numPr>
        <w:rPr>
          <w:rFonts w:ascii="Arial" w:cs="Arial" w:eastAsia="Arial" w:hAnsi="Arial"/>
          <w:sz w:val="8"/>
          <w:szCs w:val="8"/>
          <w:color w:val="auto"/>
        </w:rPr>
      </w:pPr>
      <w:r>
        <w:rPr>
          <w:rFonts w:ascii="Arial" w:cs="Arial" w:eastAsia="Arial" w:hAnsi="Arial"/>
          <w:sz w:val="8"/>
          <w:szCs w:val="8"/>
          <w:color w:val="auto"/>
        </w:rPr>
        <w:t>(207.8)</w:t>
      </w:r>
    </w:p>
    <w:p>
      <w:pPr>
        <w:spacing w:after="0" w:line="53" w:lineRule="exact"/>
        <w:rPr>
          <w:rFonts w:ascii="Arial" w:cs="Arial" w:eastAsia="Arial" w:hAnsi="Arial"/>
          <w:sz w:val="8"/>
          <w:szCs w:val="8"/>
          <w:color w:val="auto"/>
        </w:rPr>
      </w:pPr>
    </w:p>
    <w:p>
      <w:pPr>
        <w:ind w:left="564"/>
        <w:spacing w:after="0"/>
        <w:rPr>
          <w:rFonts w:ascii="Arial" w:cs="Arial" w:eastAsia="Arial" w:hAnsi="Arial"/>
          <w:sz w:val="8"/>
          <w:szCs w:val="8"/>
          <w:color w:val="auto"/>
        </w:rPr>
      </w:pPr>
      <w:r>
        <w:rPr>
          <w:rFonts w:ascii="Arial" w:cs="Arial" w:eastAsia="Arial" w:hAnsi="Arial"/>
          <w:sz w:val="8"/>
          <w:szCs w:val="8"/>
          <w:color w:val="auto"/>
        </w:rPr>
        <w:t>(5.9)</w:t>
      </w:r>
    </w:p>
    <w:p>
      <w:pPr>
        <w:spacing w:after="0" w:line="53" w:lineRule="exact"/>
        <w:rPr>
          <w:rFonts w:ascii="Arial" w:cs="Arial" w:eastAsia="Arial" w:hAnsi="Arial"/>
          <w:sz w:val="8"/>
          <w:szCs w:val="8"/>
          <w:color w:val="auto"/>
        </w:rPr>
      </w:pPr>
    </w:p>
    <w:p>
      <w:pPr>
        <w:ind w:left="564"/>
        <w:spacing w:after="0"/>
        <w:rPr>
          <w:rFonts w:ascii="Arial" w:cs="Arial" w:eastAsia="Arial" w:hAnsi="Arial"/>
          <w:sz w:val="8"/>
          <w:szCs w:val="8"/>
          <w:color w:val="auto"/>
        </w:rPr>
      </w:pPr>
      <w:r>
        <w:rPr>
          <w:rFonts w:ascii="Arial" w:cs="Arial" w:eastAsia="Arial" w:hAnsi="Arial"/>
          <w:sz w:val="8"/>
          <w:szCs w:val="8"/>
          <w:color w:val="auto"/>
        </w:rPr>
        <w:t>(5.0)</w:t>
      </w:r>
    </w:p>
    <w:p>
      <w:pPr>
        <w:spacing w:after="0" w:line="53" w:lineRule="exact"/>
        <w:rPr>
          <w:rFonts w:ascii="Arial" w:cs="Arial" w:eastAsia="Arial" w:hAnsi="Arial"/>
          <w:sz w:val="8"/>
          <w:szCs w:val="8"/>
          <w:color w:val="auto"/>
        </w:rPr>
      </w:pPr>
    </w:p>
    <w:p>
      <w:pPr>
        <w:ind w:left="624"/>
        <w:spacing w:after="0"/>
        <w:rPr>
          <w:rFonts w:ascii="Arial" w:cs="Arial" w:eastAsia="Arial" w:hAnsi="Arial"/>
          <w:sz w:val="8"/>
          <w:szCs w:val="8"/>
          <w:color w:val="auto"/>
        </w:rPr>
      </w:pPr>
      <w:r>
        <w:rPr>
          <w:rFonts w:ascii="Arial" w:cs="Arial" w:eastAsia="Arial" w:hAnsi="Arial"/>
          <w:sz w:val="10"/>
          <w:szCs w:val="10"/>
          <w:color w:val="auto"/>
        </w:rPr>
        <w:t>—</w:t>
      </w:r>
    </w:p>
    <w:p>
      <w:pPr>
        <w:spacing w:after="0" w:line="30" w:lineRule="exact"/>
        <w:rPr>
          <w:rFonts w:ascii="Arial" w:cs="Arial" w:eastAsia="Arial" w:hAnsi="Arial"/>
          <w:sz w:val="8"/>
          <w:szCs w:val="8"/>
          <w:color w:val="auto"/>
        </w:rPr>
      </w:pPr>
    </w:p>
    <w:p>
      <w:pPr>
        <w:ind w:left="544"/>
        <w:spacing w:after="0"/>
        <w:rPr>
          <w:rFonts w:ascii="Arial" w:cs="Arial" w:eastAsia="Arial" w:hAnsi="Arial"/>
          <w:sz w:val="8"/>
          <w:szCs w:val="8"/>
          <w:color w:val="auto"/>
        </w:rPr>
      </w:pPr>
      <w:r>
        <w:rPr>
          <w:rFonts w:ascii="Arial" w:cs="Arial" w:eastAsia="Arial" w:hAnsi="Arial"/>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4902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0220" cy="5715"/>
                    </a:xfrm>
                    <a:prstGeom prst="rect">
                      <a:avLst/>
                    </a:prstGeom>
                    <a:noFill/>
                  </pic:spPr>
                </pic:pic>
              </a:graphicData>
            </a:graphic>
          </wp:anchor>
        </w:drawing>
      </w:r>
    </w:p>
    <w:p>
      <w:pPr>
        <w:spacing w:after="0" w:line="19" w:lineRule="exact"/>
        <w:rPr>
          <w:sz w:val="20"/>
          <w:szCs w:val="20"/>
          <w:color w:val="auto"/>
        </w:rPr>
      </w:pPr>
    </w:p>
    <w:p>
      <w:pPr>
        <w:ind w:left="464"/>
        <w:spacing w:after="0"/>
        <w:rPr>
          <w:sz w:val="20"/>
          <w:szCs w:val="20"/>
          <w:color w:val="auto"/>
        </w:rPr>
      </w:pPr>
      <w:r>
        <w:rPr>
          <w:rFonts w:ascii="Arial" w:cs="Arial" w:eastAsia="Arial" w:hAnsi="Arial"/>
          <w:sz w:val="8"/>
          <w:szCs w:val="8"/>
          <w:color w:val="auto"/>
        </w:rPr>
        <w:t>(207.4)</w:t>
      </w:r>
    </w:p>
    <w:p>
      <w:pPr>
        <w:spacing w:after="0" w:line="162" w:lineRule="exact"/>
        <w:rPr>
          <w:sz w:val="20"/>
          <w:szCs w:val="20"/>
          <w:color w:val="auto"/>
        </w:rPr>
      </w:pPr>
    </w:p>
    <w:p>
      <w:pPr>
        <w:ind w:left="604"/>
        <w:spacing w:after="0"/>
        <w:rPr>
          <w:sz w:val="20"/>
          <w:szCs w:val="20"/>
          <w:color w:val="auto"/>
        </w:rPr>
      </w:pPr>
      <w:r>
        <w:rPr>
          <w:rFonts w:ascii="Arial" w:cs="Arial" w:eastAsia="Arial" w:hAnsi="Arial"/>
          <w:sz w:val="10"/>
          <w:szCs w:val="10"/>
          <w:color w:val="auto"/>
        </w:rPr>
        <w:t>0.8</w:t>
      </w:r>
    </w:p>
    <w:p>
      <w:pPr>
        <w:spacing w:after="0" w:line="139"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w:t>
      </w:r>
    </w:p>
    <w:p>
      <w:pPr>
        <w:spacing w:after="0" w:line="139" w:lineRule="exact"/>
        <w:rPr>
          <w:sz w:val="20"/>
          <w:szCs w:val="20"/>
          <w:color w:val="auto"/>
        </w:rPr>
      </w:pPr>
    </w:p>
    <w:p>
      <w:pPr>
        <w:ind w:left="564"/>
        <w:spacing w:after="0"/>
        <w:rPr>
          <w:sz w:val="20"/>
          <w:szCs w:val="20"/>
          <w:color w:val="auto"/>
        </w:rPr>
      </w:pPr>
      <w:r>
        <w:rPr>
          <w:rFonts w:ascii="Arial" w:cs="Arial" w:eastAsia="Arial" w:hAnsi="Arial"/>
          <w:sz w:val="8"/>
          <w:szCs w:val="8"/>
          <w:color w:val="auto"/>
        </w:rPr>
        <w:t>(1.8)</w:t>
      </w:r>
    </w:p>
    <w:p>
      <w:pPr>
        <w:spacing w:after="0" w:line="162" w:lineRule="exact"/>
        <w:rPr>
          <w:sz w:val="20"/>
          <w:szCs w:val="20"/>
          <w:color w:val="auto"/>
        </w:rPr>
      </w:pPr>
    </w:p>
    <w:p>
      <w:pPr>
        <w:ind w:left="604"/>
        <w:spacing w:after="0"/>
        <w:rPr>
          <w:sz w:val="20"/>
          <w:szCs w:val="20"/>
          <w:color w:val="auto"/>
        </w:rPr>
      </w:pPr>
      <w:r>
        <w:rPr>
          <w:rFonts w:ascii="Arial" w:cs="Arial" w:eastAsia="Arial" w:hAnsi="Arial"/>
          <w:sz w:val="10"/>
          <w:szCs w:val="10"/>
          <w:color w:val="auto"/>
        </w:rPr>
        <w:t>4.5</w:t>
      </w:r>
    </w:p>
    <w:p>
      <w:pPr>
        <w:spacing w:after="0" w:line="284" w:lineRule="exact"/>
        <w:rPr>
          <w:sz w:val="20"/>
          <w:szCs w:val="20"/>
          <w:color w:val="auto"/>
        </w:rPr>
      </w:pPr>
    </w:p>
    <w:p>
      <w:pPr>
        <w:ind w:left="504"/>
        <w:spacing w:after="0"/>
        <w:rPr>
          <w:sz w:val="20"/>
          <w:szCs w:val="20"/>
          <w:color w:val="auto"/>
        </w:rPr>
      </w:pPr>
      <w:r>
        <w:rPr>
          <w:rFonts w:ascii="Arial" w:cs="Arial" w:eastAsia="Arial" w:hAnsi="Arial"/>
          <w:sz w:val="8"/>
          <w:szCs w:val="8"/>
          <w:color w:val="auto"/>
        </w:rPr>
        <w:t>203.9</w:t>
      </w:r>
    </w:p>
    <w:p>
      <w:pPr>
        <w:spacing w:after="0" w:line="162"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139"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30"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30"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30"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30"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139"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139"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139" w:lineRule="exact"/>
        <w:rPr>
          <w:sz w:val="20"/>
          <w:szCs w:val="20"/>
          <w:color w:val="auto"/>
        </w:rPr>
      </w:pPr>
    </w:p>
    <w:p>
      <w:pPr>
        <w:ind w:left="624"/>
        <w:spacing w:after="0"/>
        <w:rPr>
          <w:sz w:val="20"/>
          <w:szCs w:val="20"/>
          <w:color w:val="auto"/>
        </w:rPr>
      </w:pPr>
      <w:r>
        <w:rPr>
          <w:rFonts w:ascii="Arial" w:cs="Arial" w:eastAsia="Arial" w:hAnsi="Arial"/>
          <w:sz w:val="10"/>
          <w:szCs w:val="10"/>
          <w:color w:val="auto"/>
        </w:rPr>
        <w:t>—</w:t>
      </w:r>
    </w:p>
    <w:p>
      <w:pPr>
        <w:spacing w:after="0" w:line="39" w:lineRule="exact"/>
        <w:rPr>
          <w:sz w:val="20"/>
          <w:szCs w:val="20"/>
          <w:color w:val="auto"/>
        </w:rPr>
      </w:pPr>
    </w:p>
    <w:p>
      <w:pPr>
        <w:ind w:left="624" w:hanging="624"/>
        <w:spacing w:after="0"/>
        <w:tabs>
          <w:tab w:leader="none" w:pos="624" w:val="left"/>
        </w:tabs>
        <w:numPr>
          <w:ilvl w:val="0"/>
          <w:numId w:val="9"/>
        </w:numPr>
        <w:rPr>
          <w:rFonts w:ascii="Arial" w:cs="Arial" w:eastAsia="Arial" w:hAnsi="Arial"/>
          <w:sz w:val="10"/>
          <w:szCs w:val="1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4902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02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0"/>
              </w:rPr>
              <w:t>Class A Shares</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7"/>
              </w:rPr>
              <w:t>Class B Shares</w:t>
            </w: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87"/>
              </w:rPr>
              <w:t>Class C Shares</w:t>
            </w: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6"/>
              </w:rPr>
              <w:t>in capital</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8"/>
              </w:rPr>
              <w:t>Earnings</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AOCI</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1"/>
              </w:rPr>
              <w:t>interests</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0"/>
              </w:rPr>
              <w:t>Total Equity</w:t>
            </w:r>
          </w:p>
        </w:tc>
      </w:tr>
      <w:tr>
        <w:trPr>
          <w:trHeight w:val="138"/>
        </w:trPr>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(213.8)</w:t>
            </w:r>
          </w:p>
        </w:tc>
      </w:tr>
      <w:tr>
        <w:trPr>
          <w:trHeight w:val="137"/>
        </w:trPr>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154"/>
        </w:trPr>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r>
      <w:tr>
        <w:trPr>
          <w:trHeight w:val="137"/>
        </w:trPr>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(6.7)</w:t>
            </w:r>
          </w:p>
        </w:tc>
      </w:tr>
      <w:tr>
        <w:trPr>
          <w:trHeight w:val="145"/>
        </w:trPr>
        <w:tc>
          <w:tcPr>
            <w:tcW w:w="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w:t>
            </w:r>
          </w:p>
        </w:tc>
      </w:tr>
      <w:tr>
        <w:trPr>
          <w:trHeight w:val="134"/>
        </w:trPr>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(12.7)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(220.1)</w:t>
            </w:r>
          </w:p>
        </w:tc>
      </w:tr>
      <w:tr>
        <w:trPr>
          <w:trHeight w:val="263"/>
        </w:trPr>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r>
      <w:tr>
        <w:trPr>
          <w:trHeight w:val="246"/>
        </w:trPr>
        <w:tc>
          <w:tcPr>
            <w:tcW w:w="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w:t>
            </w:r>
          </w:p>
        </w:tc>
      </w:tr>
      <w:tr>
        <w:trPr>
          <w:trHeight w:val="263"/>
        </w:trPr>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r>
      <w:tr>
        <w:trPr>
          <w:trHeight w:val="246"/>
        </w:trPr>
        <w:tc>
          <w:tcPr>
            <w:tcW w:w="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4.5</w:t>
            </w:r>
          </w:p>
        </w:tc>
      </w:tr>
      <w:tr>
        <w:trPr>
          <w:trHeight w:val="154"/>
        </w:trPr>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46"/>
        </w:trPr>
        <w:tc>
          <w:tcPr>
            <w:tcW w:w="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242,414,027</w:t>
            </w:r>
          </w:p>
        </w:tc>
        <w:tc>
          <w:tcPr>
            <w:tcW w:w="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98,381,656</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(628.1)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412.4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63"/>
        </w:trPr>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48,528,783</w:t>
            </w: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5"/>
              </w:rPr>
              <w:t>0.5</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1,016.6</w:t>
            </w:r>
          </w:p>
        </w:tc>
      </w:tr>
      <w:tr>
        <w:trPr>
          <w:trHeight w:val="246"/>
        </w:trPr>
        <w:tc>
          <w:tcPr>
            <w:tcW w:w="760" w:type="dxa"/>
            <w:vAlign w:val="bottom"/>
            <w:gridSpan w:val="2"/>
          </w:tcPr>
          <w:p>
            <w:pPr>
              <w:jc w:val="right"/>
              <w:spacing w:after="0"/>
              <w:rPr>
                <w:sz w:val="20"/>
                <w:szCs w:val="20"/>
                <w:color w:val="auto"/>
              </w:rPr>
            </w:pPr>
            <w:r>
              <w:rPr>
                <w:rFonts w:ascii="Arial" w:cs="Arial" w:eastAsia="Arial" w:hAnsi="Arial"/>
                <w:sz w:val="10"/>
                <w:szCs w:val="10"/>
                <w:color w:val="auto"/>
              </w:rPr>
              <w:t>2,370,948</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(2,370,948)</w:t>
            </w:r>
          </w:p>
        </w:tc>
        <w:tc>
          <w:tcPr>
            <w:tcW w:w="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(47.2)</w:t>
            </w:r>
          </w:p>
        </w:tc>
      </w:tr>
      <w:tr>
        <w:trPr>
          <w:trHeight w:val="154"/>
        </w:trPr>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275,269</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(275,269)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r>
      <w:tr>
        <w:trPr>
          <w:trHeight w:val="137"/>
        </w:trPr>
        <w:tc>
          <w:tcPr>
            <w:tcW w:w="760" w:type="dxa"/>
            <w:vAlign w:val="bottom"/>
            <w:gridSpan w:val="2"/>
          </w:tcPr>
          <w:p>
            <w:pPr>
              <w:jc w:val="right"/>
              <w:spacing w:after="0"/>
              <w:rPr>
                <w:sz w:val="20"/>
                <w:szCs w:val="20"/>
                <w:color w:val="auto"/>
              </w:rPr>
            </w:pPr>
            <w:r>
              <w:rPr>
                <w:rFonts w:ascii="Arial" w:cs="Arial" w:eastAsia="Arial" w:hAnsi="Arial"/>
                <w:sz w:val="10"/>
                <w:szCs w:val="10"/>
                <w:color w:val="auto"/>
              </w:rPr>
              <w:t>878,984</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(878,984)</w:t>
            </w:r>
          </w:p>
        </w:tc>
        <w:tc>
          <w:tcPr>
            <w:tcW w:w="6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4"/>
        </w:trPr>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(59,693)</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(10,882)</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7"/>
        </w:trPr>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(74.0)</w:t>
            </w:r>
          </w:p>
        </w:tc>
      </w:tr>
      <w:tr>
        <w:trPr>
          <w:trHeight w:val="372"/>
        </w:trPr>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126.3</w:t>
            </w:r>
          </w:p>
        </w:tc>
      </w:tr>
      <w:tr>
        <w:trPr>
          <w:trHeight w:val="246"/>
        </w:trPr>
        <w:tc>
          <w:tcPr>
            <w:tcW w:w="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(34.4)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(44.3)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(78.7)</w:t>
            </w:r>
          </w:p>
        </w:tc>
      </w:tr>
      <w:tr>
        <w:trPr>
          <w:trHeight w:val="263"/>
        </w:trPr>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r>
      <w:tr>
        <w:trPr>
          <w:trHeight w:val="246"/>
        </w:trPr>
        <w:tc>
          <w:tcPr>
            <w:tcW w:w="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60.0</w:t>
            </w:r>
          </w:p>
        </w:tc>
      </w:tr>
      <w:tr>
        <w:trPr>
          <w:trHeight w:val="159"/>
        </w:trPr>
        <w:tc>
          <w:tcPr>
            <w:tcW w:w="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51,994,291</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239,153,213</w:t>
            </w: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98,106,387</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5"/>
              </w:rPr>
              <w:t>0.5</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366.4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450.2</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783.3</w:t>
            </w:r>
          </w:p>
        </w:tc>
      </w:tr>
    </w:tbl>
    <w:p>
      <w:pPr>
        <w:spacing w:after="0" w:line="227" w:lineRule="exact"/>
        <w:rPr>
          <w:sz w:val="20"/>
          <w:szCs w:val="20"/>
          <w:color w:val="auto"/>
        </w:rPr>
      </w:pPr>
    </w:p>
    <w:p>
      <w:pPr>
        <w:ind w:left="268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125730</wp:posOffset>
            </wp:positionV>
            <wp:extent cx="717740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3">
            <w:col w:w="2020" w:space="36"/>
            <w:col w:w="744" w:space="140"/>
            <w:col w:w="8320"/>
          </w:cols>
          <w:pgMar w:left="300" w:top="128" w:right="339" w:bottom="1440" w:gutter="0" w:footer="0" w:header="0"/>
          <w:type w:val="continuous"/>
        </w:sectPr>
      </w:pPr>
    </w:p>
    <w:bookmarkStart w:id="12" w:name="page13"/>
    <w:bookmarkEnd w:id="1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ZoomInfo Technologies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Equity (Deficit)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0"/>
          <w:szCs w:val="10"/>
          <w:b w:val="1"/>
          <w:bCs w:val="1"/>
          <w:i w:val="1"/>
          <w:iCs w:val="1"/>
          <w:color w:val="auto"/>
        </w:rPr>
        <w:t>($ in millions;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b w:val="1"/>
                <w:bCs w:val="1"/>
                <w:color w:val="auto"/>
              </w:rPr>
              <w:t>Accumulated Other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33"/>
        </w:trPr>
        <w:tc>
          <w:tcPr>
            <w:tcW w:w="692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Members' Deficit</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Comprehensive Loss</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90"/>
              </w:rPr>
              <w:t>Total Stockholders’ Equity</w:t>
            </w:r>
          </w:p>
        </w:tc>
      </w:tr>
      <w:tr>
        <w:trPr>
          <w:trHeight w:val="143"/>
        </w:trPr>
        <w:tc>
          <w:tcPr>
            <w:tcW w:w="6920" w:type="dxa"/>
            <w:vAlign w:val="bottom"/>
            <w:shd w:val="clear" w:color="auto" w:fill="CCEEFF"/>
          </w:tcPr>
          <w:p>
            <w:pPr>
              <w:spacing w:after="0"/>
              <w:rPr>
                <w:sz w:val="20"/>
                <w:szCs w:val="20"/>
                <w:color w:val="auto"/>
              </w:rPr>
            </w:pPr>
            <w:r>
              <w:rPr>
                <w:rFonts w:ascii="Arial" w:cs="Arial" w:eastAsia="Arial" w:hAnsi="Arial"/>
                <w:sz w:val="10"/>
                <w:szCs w:val="10"/>
                <w:color w:val="auto"/>
              </w:rPr>
              <w:t>Balance at December 31, 2018</w:t>
            </w:r>
          </w:p>
        </w:tc>
        <w:tc>
          <w:tcPr>
            <w:tcW w:w="1080" w:type="dxa"/>
            <w:vAlign w:val="bottom"/>
            <w:shd w:val="clear" w:color="auto" w:fill="CCEEFF"/>
          </w:tcPr>
          <w:p>
            <w:pPr>
              <w:jc w:val="right"/>
              <w:ind w:right="97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(119.1)</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52"/>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(119.1)</w:t>
            </w:r>
          </w:p>
        </w:tc>
      </w:tr>
      <w:tr>
        <w:trPr>
          <w:trHeight w:val="137"/>
        </w:trPr>
        <w:tc>
          <w:tcPr>
            <w:tcW w:w="6920" w:type="dxa"/>
            <w:vAlign w:val="bottom"/>
          </w:tcPr>
          <w:p>
            <w:pPr>
              <w:spacing w:after="0"/>
              <w:rPr>
                <w:sz w:val="20"/>
                <w:szCs w:val="20"/>
                <w:color w:val="auto"/>
              </w:rPr>
            </w:pPr>
            <w:r>
              <w:rPr>
                <w:rFonts w:ascii="Arial" w:cs="Arial" w:eastAsia="Arial" w:hAnsi="Arial"/>
                <w:sz w:val="10"/>
                <w:szCs w:val="10"/>
                <w:color w:val="auto"/>
              </w:rPr>
              <w:t>Net income (loss)</w:t>
            </w:r>
          </w:p>
        </w:tc>
        <w:tc>
          <w:tcPr>
            <w:tcW w:w="10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(40.2)</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(40.2)</w:t>
            </w:r>
          </w:p>
        </w:tc>
      </w:tr>
      <w:tr>
        <w:trPr>
          <w:trHeight w:val="154"/>
        </w:trPr>
        <w:tc>
          <w:tcPr>
            <w:tcW w:w="6920" w:type="dxa"/>
            <w:vAlign w:val="bottom"/>
            <w:shd w:val="clear" w:color="auto" w:fill="CCEEFF"/>
          </w:tcPr>
          <w:p>
            <w:pPr>
              <w:spacing w:after="0"/>
              <w:rPr>
                <w:sz w:val="20"/>
                <w:szCs w:val="20"/>
                <w:color w:val="auto"/>
              </w:rPr>
            </w:pPr>
            <w:r>
              <w:rPr>
                <w:rFonts w:ascii="Arial" w:cs="Arial" w:eastAsia="Arial" w:hAnsi="Arial"/>
                <w:sz w:val="10"/>
                <w:szCs w:val="10"/>
                <w:color w:val="auto"/>
              </w:rPr>
              <w:t>Member distributions</w:t>
            </w: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r>
      <w:tr>
        <w:trPr>
          <w:trHeight w:val="137"/>
        </w:trPr>
        <w:tc>
          <w:tcPr>
            <w:tcW w:w="6920" w:type="dxa"/>
            <w:vAlign w:val="bottom"/>
          </w:tcPr>
          <w:p>
            <w:pPr>
              <w:spacing w:after="0"/>
              <w:rPr>
                <w:sz w:val="20"/>
                <w:szCs w:val="20"/>
                <w:color w:val="auto"/>
              </w:rPr>
            </w:pPr>
            <w:r>
              <w:rPr>
                <w:rFonts w:ascii="Arial" w:cs="Arial" w:eastAsia="Arial" w:hAnsi="Arial"/>
                <w:sz w:val="10"/>
                <w:szCs w:val="10"/>
                <w:color w:val="auto"/>
              </w:rPr>
              <w:t>Impact of adoption of new accounting standard (ASC 842)</w:t>
            </w:r>
          </w:p>
        </w:tc>
        <w:tc>
          <w:tcPr>
            <w:tcW w:w="10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54"/>
        </w:trPr>
        <w:tc>
          <w:tcPr>
            <w:tcW w:w="6920" w:type="dxa"/>
            <w:vAlign w:val="bottom"/>
            <w:shd w:val="clear" w:color="auto" w:fill="CCEEFF"/>
          </w:tcPr>
          <w:p>
            <w:pPr>
              <w:spacing w:after="0"/>
              <w:rPr>
                <w:sz w:val="20"/>
                <w:szCs w:val="20"/>
                <w:color w:val="auto"/>
              </w:rPr>
            </w:pPr>
            <w:r>
              <w:rPr>
                <w:rFonts w:ascii="Arial" w:cs="Arial" w:eastAsia="Arial" w:hAnsi="Arial"/>
                <w:sz w:val="10"/>
                <w:szCs w:val="10"/>
                <w:color w:val="auto"/>
              </w:rPr>
              <w:t>Equity-based compensation</w:t>
            </w: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r>
      <w:tr>
        <w:trPr>
          <w:trHeight w:val="137"/>
        </w:trPr>
        <w:tc>
          <w:tcPr>
            <w:tcW w:w="69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comprehensive income (loss)</w:t>
            </w:r>
          </w:p>
        </w:tc>
        <w:tc>
          <w:tcPr>
            <w:tcW w:w="10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692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Balance at March 31, 2019</w:t>
            </w: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(161.6)</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(161.6)</w:t>
            </w:r>
          </w:p>
        </w:tc>
      </w:tr>
      <w:tr>
        <w:trPr>
          <w:trHeight w:val="134"/>
        </w:trPr>
        <w:tc>
          <w:tcPr>
            <w:tcW w:w="69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145"/>
        </w:trPr>
        <w:tc>
          <w:tcPr>
            <w:tcW w:w="692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w:t>
            </w:r>
          </w:p>
        </w:tc>
      </w:tr>
      <w:tr>
        <w:trPr>
          <w:trHeight w:val="137"/>
        </w:trPr>
        <w:tc>
          <w:tcPr>
            <w:tcW w:w="6920" w:type="dxa"/>
            <w:vAlign w:val="bottom"/>
          </w:tcPr>
          <w:p>
            <w:pPr>
              <w:spacing w:after="0"/>
              <w:rPr>
                <w:sz w:val="20"/>
                <w:szCs w:val="20"/>
                <w:color w:val="auto"/>
              </w:rPr>
            </w:pPr>
            <w:r>
              <w:rPr>
                <w:rFonts w:ascii="Arial" w:cs="Arial" w:eastAsia="Arial" w:hAnsi="Arial"/>
                <w:sz w:val="10"/>
                <w:szCs w:val="10"/>
                <w:color w:val="auto"/>
              </w:rPr>
              <w:t>Member distributions</w:t>
            </w:r>
          </w:p>
        </w:tc>
        <w:tc>
          <w:tcPr>
            <w:tcW w:w="10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(7.3)</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(7.3)</w:t>
            </w:r>
          </w:p>
        </w:tc>
      </w:tr>
      <w:tr>
        <w:trPr>
          <w:trHeight w:val="154"/>
        </w:trPr>
        <w:tc>
          <w:tcPr>
            <w:tcW w:w="6920" w:type="dxa"/>
            <w:vAlign w:val="bottom"/>
            <w:shd w:val="clear" w:color="auto" w:fill="CCEEFF"/>
          </w:tcPr>
          <w:p>
            <w:pPr>
              <w:spacing w:after="0"/>
              <w:rPr>
                <w:sz w:val="20"/>
                <w:szCs w:val="20"/>
                <w:color w:val="auto"/>
              </w:rPr>
            </w:pPr>
            <w:r>
              <w:rPr>
                <w:rFonts w:ascii="Arial" w:cs="Arial" w:eastAsia="Arial" w:hAnsi="Arial"/>
                <w:sz w:val="10"/>
                <w:szCs w:val="10"/>
                <w:color w:val="auto"/>
              </w:rPr>
              <w:t>Repurchase outstanding equity / member units</w:t>
            </w: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w:t>
            </w:r>
          </w:p>
        </w:tc>
      </w:tr>
      <w:tr>
        <w:trPr>
          <w:trHeight w:val="137"/>
        </w:trPr>
        <w:tc>
          <w:tcPr>
            <w:tcW w:w="6920" w:type="dxa"/>
            <w:vAlign w:val="bottom"/>
          </w:tcPr>
          <w:p>
            <w:pPr>
              <w:spacing w:after="0"/>
              <w:rPr>
                <w:sz w:val="20"/>
                <w:szCs w:val="20"/>
                <w:color w:val="auto"/>
              </w:rPr>
            </w:pPr>
            <w:r>
              <w:rPr>
                <w:rFonts w:ascii="Arial" w:cs="Arial" w:eastAsia="Arial" w:hAnsi="Arial"/>
                <w:sz w:val="10"/>
                <w:szCs w:val="10"/>
                <w:color w:val="auto"/>
              </w:rPr>
              <w:t>Equity-based compensation</w:t>
            </w:r>
          </w:p>
        </w:tc>
        <w:tc>
          <w:tcPr>
            <w:tcW w:w="10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5.9</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145"/>
        </w:trPr>
        <w:tc>
          <w:tcPr>
            <w:tcW w:w="6920" w:type="dxa"/>
            <w:vAlign w:val="bottom"/>
            <w:shd w:val="clear" w:color="auto" w:fill="CCEEFF"/>
          </w:tcPr>
          <w:p>
            <w:pPr>
              <w:spacing w:after="0"/>
              <w:rPr>
                <w:sz w:val="20"/>
                <w:szCs w:val="20"/>
                <w:color w:val="auto"/>
              </w:rPr>
            </w:pPr>
            <w:r>
              <w:rPr>
                <w:rFonts w:ascii="Arial" w:cs="Arial" w:eastAsia="Arial" w:hAnsi="Arial"/>
                <w:sz w:val="10"/>
                <w:szCs w:val="10"/>
                <w:color w:val="auto"/>
              </w:rPr>
              <w:t>Other comprehensive income (loss)</w:t>
            </w:r>
          </w:p>
        </w:tc>
        <w:tc>
          <w:tcPr>
            <w:tcW w:w="1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0"/>
                <w:szCs w:val="10"/>
                <w:color w:val="auto"/>
                <w:w w:val="87"/>
              </w:rPr>
              <w:t>(5.9)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w:t>
            </w:r>
          </w:p>
        </w:tc>
      </w:tr>
      <w:tr>
        <w:trPr>
          <w:trHeight w:val="143"/>
        </w:trPr>
        <w:tc>
          <w:tcPr>
            <w:tcW w:w="6920" w:type="dxa"/>
            <w:vAlign w:val="bottom"/>
          </w:tcPr>
          <w:p>
            <w:pPr>
              <w:ind w:left="160"/>
              <w:spacing w:after="0"/>
              <w:rPr>
                <w:sz w:val="20"/>
                <w:szCs w:val="20"/>
                <w:color w:val="auto"/>
              </w:rPr>
            </w:pPr>
            <w:r>
              <w:rPr>
                <w:rFonts w:ascii="Arial" w:cs="Arial" w:eastAsia="Arial" w:hAnsi="Arial"/>
                <w:sz w:val="10"/>
                <w:szCs w:val="10"/>
                <w:b w:val="1"/>
                <w:bCs w:val="1"/>
                <w:color w:val="auto"/>
              </w:rPr>
              <w:t>Balance at June 30, 2019</w:t>
            </w:r>
          </w:p>
        </w:tc>
        <w:tc>
          <w:tcPr>
            <w:tcW w:w="1080" w:type="dxa"/>
            <w:vAlign w:val="bottom"/>
            <w:tcBorders>
              <w:top w:val="single" w:sz="8" w:color="auto"/>
              <w:bottom w:val="single" w:sz="8" w:color="auto"/>
            </w:tcBorders>
          </w:tcPr>
          <w:p>
            <w:pPr>
              <w:jc w:val="right"/>
              <w:ind w:right="97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88"/>
              </w:rPr>
              <w:t>(194.8)</w:t>
            </w:r>
          </w:p>
        </w:tc>
        <w:tc>
          <w:tcPr>
            <w:tcW w:w="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05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87"/>
              </w:rPr>
              <w:t>(5.9)</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(200.7)</w:t>
            </w:r>
          </w:p>
        </w:tc>
      </w:tr>
      <w:tr>
        <w:trPr>
          <w:trHeight w:val="20"/>
        </w:trPr>
        <w:tc>
          <w:tcPr>
            <w:tcW w:w="6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3" w:name="page14"/>
    <w:bookmarkEnd w:id="1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ZoomInfo Technologies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millions;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Six Months Ended June 30,</w:t>
            </w:r>
          </w:p>
        </w:tc>
        <w:tc>
          <w:tcPr>
            <w:tcW w:w="880" w:type="dxa"/>
            <w:vAlign w:val="bottom"/>
            <w:tcBorders>
              <w:bottom w:val="single" w:sz="8" w:color="auto"/>
            </w:tcBorders>
          </w:tcPr>
          <w:p>
            <w:pPr>
              <w:spacing w:after="0"/>
              <w:rPr>
                <w:sz w:val="11"/>
                <w:szCs w:val="11"/>
                <w:color w:val="auto"/>
              </w:rPr>
            </w:pPr>
          </w:p>
        </w:tc>
      </w:tr>
      <w:tr>
        <w:trPr>
          <w:trHeight w:val="134"/>
        </w:trPr>
        <w:tc>
          <w:tcPr>
            <w:tcW w:w="8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2019</w:t>
            </w:r>
          </w:p>
        </w:tc>
      </w:tr>
      <w:tr>
        <w:trPr>
          <w:trHeight w:val="134"/>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(As restated)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2"/>
        </w:trPr>
        <w:tc>
          <w:tcPr>
            <w:tcW w:w="8300" w:type="dxa"/>
            <w:vAlign w:val="bottom"/>
            <w:shd w:val="clear" w:color="auto" w:fill="BFE4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spacing w:after="0"/>
              <w:rPr>
                <w:sz w:val="14"/>
                <w:szCs w:val="14"/>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(83.8)</w:t>
            </w:r>
          </w:p>
        </w:tc>
        <w:tc>
          <w:tcPr>
            <w:tcW w:w="100" w:type="dxa"/>
            <w:vAlign w:val="bottom"/>
          </w:tcPr>
          <w:p>
            <w:pPr>
              <w:spacing w:after="0"/>
              <w:rPr>
                <w:sz w:val="13"/>
                <w:szCs w:val="13"/>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(60.1)</w:t>
            </w:r>
          </w:p>
        </w:tc>
      </w:tr>
      <w:tr>
        <w:trPr>
          <w:trHeight w:val="170"/>
        </w:trPr>
        <w:tc>
          <w:tcPr>
            <w:tcW w:w="8300" w:type="dxa"/>
            <w:vAlign w:val="bottom"/>
            <w:shd w:val="clear" w:color="auto" w:fill="BFE4FF"/>
          </w:tcPr>
          <w:p>
            <w:pPr>
              <w:ind w:left="240"/>
              <w:spacing w:after="0"/>
              <w:rPr>
                <w:sz w:val="20"/>
                <w:szCs w:val="20"/>
                <w:color w:val="auto"/>
              </w:rPr>
            </w:pPr>
            <w:r>
              <w:rPr>
                <w:rFonts w:ascii="Arial" w:cs="Arial" w:eastAsia="Arial" w:hAnsi="Arial"/>
                <w:sz w:val="11"/>
                <w:szCs w:val="11"/>
                <w:color w:val="auto"/>
              </w:rPr>
              <w:t>Adjustments to reconcile net income (loss) to net cash provided by (used in) operating activities: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spacing w:after="0"/>
              <w:rPr>
                <w:sz w:val="14"/>
                <w:szCs w:val="14"/>
                <w:color w:val="auto"/>
              </w:rPr>
            </w:pP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Depreciation and amortization</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24.5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23.7</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Amortization of debt discounts and issuance costs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2.3</w:t>
            </w: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Amortization of deferred commissions costs</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Loss on early extinguishment of debt</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9.4</w:t>
            </w: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Deferred consideration valuation adjustments</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0.7</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Equity-based compensation expense</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75.8</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11.6</w:t>
            </w: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Deferred income taxes</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(6.7)</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Provision for bad debt expense</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0.9</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0.4</w:t>
            </w:r>
          </w:p>
        </w:tc>
      </w:tr>
      <w:tr>
        <w:trPr>
          <w:trHeight w:val="157"/>
        </w:trPr>
        <w:tc>
          <w:tcPr>
            <w:tcW w:w="830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 net of acquisitions: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Accounts receivable</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0.7</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(13.2)</w:t>
            </w: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Prepaid expenses and other current assets</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Deferred costs and other assets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(14.5)</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(9.0)</w:t>
            </w: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Income tax receivable</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Related party receivable</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0.5</w:t>
            </w:r>
          </w:p>
        </w:tc>
      </w:tr>
      <w:tr>
        <w:trPr>
          <w:trHeight w:val="157"/>
        </w:trPr>
        <w:tc>
          <w:tcPr>
            <w:tcW w:w="8300" w:type="dxa"/>
            <w:vAlign w:val="bottom"/>
          </w:tcPr>
          <w:p>
            <w:pPr>
              <w:ind w:left="300"/>
              <w:spacing w:after="0"/>
              <w:rPr>
                <w:sz w:val="20"/>
                <w:szCs w:val="20"/>
                <w:color w:val="auto"/>
              </w:rPr>
            </w:pPr>
            <w:r>
              <w:rPr>
                <w:rFonts w:ascii="Arial" w:cs="Arial" w:eastAsia="Arial" w:hAnsi="Arial"/>
                <w:sz w:val="11"/>
                <w:szCs w:val="11"/>
                <w:color w:val="auto"/>
              </w:rPr>
              <w:t>Accounts payable</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70"/>
        </w:trPr>
        <w:tc>
          <w:tcPr>
            <w:tcW w:w="8300" w:type="dxa"/>
            <w:vAlign w:val="bottom"/>
            <w:shd w:val="clear" w:color="auto" w:fill="BFE4FF"/>
          </w:tcPr>
          <w:p>
            <w:pPr>
              <w:ind w:left="300"/>
              <w:spacing w:after="0"/>
              <w:rPr>
                <w:sz w:val="20"/>
                <w:szCs w:val="20"/>
                <w:color w:val="auto"/>
              </w:rPr>
            </w:pPr>
            <w:r>
              <w:rPr>
                <w:rFonts w:ascii="Arial" w:cs="Arial" w:eastAsia="Arial" w:hAnsi="Arial"/>
                <w:sz w:val="11"/>
                <w:szCs w:val="11"/>
                <w:color w:val="auto"/>
              </w:rPr>
              <w:t>Accrued expenses and other liabilities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3.4</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1.9</w:t>
            </w:r>
          </w:p>
        </w:tc>
      </w:tr>
      <w:tr>
        <w:trPr>
          <w:trHeight w:val="157"/>
        </w:trPr>
        <w:tc>
          <w:tcPr>
            <w:tcW w:w="8300" w:type="dxa"/>
            <w:vAlign w:val="bottom"/>
            <w:tcBorders>
              <w:bottom w:val="single" w:sz="8" w:color="BFE4FF"/>
            </w:tcBorders>
          </w:tcPr>
          <w:p>
            <w:pPr>
              <w:ind w:left="300"/>
              <w:spacing w:after="0"/>
              <w:rPr>
                <w:sz w:val="20"/>
                <w:szCs w:val="20"/>
                <w:color w:val="auto"/>
              </w:rPr>
            </w:pPr>
            <w:r>
              <w:rPr>
                <w:rFonts w:ascii="Arial" w:cs="Arial" w:eastAsia="Arial" w:hAnsi="Arial"/>
                <w:sz w:val="11"/>
                <w:szCs w:val="11"/>
                <w:color w:val="auto"/>
              </w:rPr>
              <w:t>Unearned revenue</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12.9</w:t>
            </w:r>
          </w:p>
        </w:tc>
        <w:tc>
          <w:tcPr>
            <w:tcW w:w="100" w:type="dxa"/>
            <w:vAlign w:val="bottom"/>
            <w:tcBorders>
              <w:bottom w:val="single" w:sz="8" w:color="BFE4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w:t>
            </w:r>
          </w:p>
        </w:tc>
      </w:tr>
      <w:tr>
        <w:trPr>
          <w:trHeight w:val="152"/>
        </w:trPr>
        <w:tc>
          <w:tcPr>
            <w:tcW w:w="8300" w:type="dxa"/>
            <w:vAlign w:val="bottom"/>
            <w:shd w:val="clear" w:color="auto" w:fill="BFE4FF"/>
          </w:tcPr>
          <w:p>
            <w:pPr>
              <w:ind w:left="440"/>
              <w:spacing w:after="0"/>
              <w:rPr>
                <w:sz w:val="20"/>
                <w:szCs w:val="20"/>
                <w:color w:val="auto"/>
              </w:rPr>
            </w:pPr>
            <w:r>
              <w:rPr>
                <w:rFonts w:ascii="Arial" w:cs="Arial" w:eastAsia="Arial" w:hAnsi="Arial"/>
                <w:sz w:val="11"/>
                <w:szCs w:val="11"/>
                <w:color w:val="auto"/>
              </w:rPr>
              <w:t>Net cash provided by (used in) operating activities</w:t>
            </w:r>
          </w:p>
        </w:tc>
        <w:tc>
          <w:tcPr>
            <w:tcW w:w="280" w:type="dxa"/>
            <w:vAlign w:val="bottom"/>
            <w:tcBorders>
              <w:bottom w:val="single" w:sz="8" w:color="auto"/>
            </w:tcBorders>
            <w:shd w:val="clear" w:color="auto" w:fill="BFE4FF"/>
          </w:tcPr>
          <w:p>
            <w:pPr>
              <w:spacing w:after="0"/>
              <w:rPr>
                <w:sz w:val="13"/>
                <w:szCs w:val="13"/>
                <w:color w:val="auto"/>
              </w:rPr>
            </w:pPr>
          </w:p>
        </w:tc>
        <w:tc>
          <w:tcPr>
            <w:tcW w:w="1180" w:type="dxa"/>
            <w:vAlign w:val="bottom"/>
            <w:tcBorders>
              <w:bottom w:val="single" w:sz="8" w:color="auto"/>
            </w:tcBorders>
            <w:shd w:val="clear" w:color="auto" w:fill="BFE4FF"/>
          </w:tcPr>
          <w:p>
            <w:pPr>
              <w:jc w:val="right"/>
              <w:ind w:right="6"/>
              <w:spacing w:after="0"/>
              <w:rPr>
                <w:sz w:val="20"/>
                <w:szCs w:val="20"/>
                <w:color w:val="auto"/>
              </w:rPr>
            </w:pPr>
            <w:r>
              <w:rPr>
                <w:rFonts w:ascii="Arial" w:cs="Arial" w:eastAsia="Arial" w:hAnsi="Arial"/>
                <w:sz w:val="11"/>
                <w:szCs w:val="11"/>
                <w:color w:val="auto"/>
              </w:rPr>
              <w:t>53.6</w:t>
            </w:r>
          </w:p>
        </w:tc>
        <w:tc>
          <w:tcPr>
            <w:tcW w:w="100" w:type="dxa"/>
            <w:vAlign w:val="bottom"/>
            <w:shd w:val="clear" w:color="auto" w:fill="BFE4FF"/>
          </w:tcPr>
          <w:p>
            <w:pPr>
              <w:spacing w:after="0"/>
              <w:rPr>
                <w:sz w:val="13"/>
                <w:szCs w:val="13"/>
                <w:color w:val="auto"/>
              </w:rPr>
            </w:pPr>
          </w:p>
        </w:tc>
        <w:tc>
          <w:tcPr>
            <w:tcW w:w="560" w:type="dxa"/>
            <w:vAlign w:val="bottom"/>
            <w:tcBorders>
              <w:bottom w:val="single" w:sz="8" w:color="auto"/>
            </w:tcBorders>
            <w:shd w:val="clear" w:color="auto" w:fill="BFE4FF"/>
          </w:tcPr>
          <w:p>
            <w:pPr>
              <w:spacing w:after="0"/>
              <w:rPr>
                <w:sz w:val="13"/>
                <w:szCs w:val="13"/>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color w:val="auto"/>
              </w:rPr>
              <w:t>8.9</w:t>
            </w:r>
          </w:p>
        </w:tc>
      </w:tr>
      <w:tr>
        <w:trPr>
          <w:trHeight w:val="123"/>
        </w:trPr>
        <w:tc>
          <w:tcPr>
            <w:tcW w:w="8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3"/>
        </w:trPr>
        <w:tc>
          <w:tcPr>
            <w:tcW w:w="8300" w:type="dxa"/>
            <w:vAlign w:val="bottom"/>
            <w:shd w:val="clear" w:color="auto" w:fill="BFE4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spacing w:after="0"/>
              <w:rPr>
                <w:sz w:val="14"/>
                <w:szCs w:val="14"/>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1"/>
                <w:szCs w:val="11"/>
                <w:color w:val="auto"/>
              </w:rPr>
              <w:t>Purchases of property and equipment and other assets</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(6.2)</w:t>
            </w:r>
          </w:p>
        </w:tc>
      </w:tr>
      <w:tr>
        <w:trPr>
          <w:trHeight w:val="170"/>
        </w:trPr>
        <w:tc>
          <w:tcPr>
            <w:tcW w:w="8300" w:type="dxa"/>
            <w:vAlign w:val="bottom"/>
            <w:shd w:val="clear" w:color="auto" w:fill="BFE4FF"/>
          </w:tcPr>
          <w:p>
            <w:pPr>
              <w:ind w:left="140"/>
              <w:spacing w:after="0"/>
              <w:rPr>
                <w:sz w:val="20"/>
                <w:szCs w:val="20"/>
                <w:color w:val="auto"/>
              </w:rPr>
            </w:pPr>
            <w:r>
              <w:rPr>
                <w:rFonts w:ascii="Arial" w:cs="Arial" w:eastAsia="Arial" w:hAnsi="Arial"/>
                <w:sz w:val="11"/>
                <w:szCs w:val="11"/>
                <w:color w:val="auto"/>
              </w:rPr>
              <w:t>Cash paid for acquisitions, net of cash acquired</w:t>
            </w:r>
          </w:p>
        </w:tc>
        <w:tc>
          <w:tcPr>
            <w:tcW w:w="280" w:type="dxa"/>
            <w:vAlign w:val="bottom"/>
            <w:shd w:val="clear" w:color="auto" w:fill="BFE4FF"/>
          </w:tcPr>
          <w:p>
            <w:pPr>
              <w:spacing w:after="0"/>
              <w:rPr>
                <w:sz w:val="14"/>
                <w:szCs w:val="14"/>
                <w:color w:val="auto"/>
              </w:rPr>
            </w:pPr>
          </w:p>
        </w:tc>
        <w:tc>
          <w:tcPr>
            <w:tcW w:w="1280" w:type="dxa"/>
            <w:vAlign w:val="bottom"/>
            <w:gridSpan w:val="2"/>
            <w:shd w:val="clear" w:color="auto" w:fill="BFE4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(714.9)</w:t>
            </w:r>
          </w:p>
        </w:tc>
      </w:tr>
      <w:tr>
        <w:trPr>
          <w:trHeight w:val="146"/>
        </w:trPr>
        <w:tc>
          <w:tcPr>
            <w:tcW w:w="8300" w:type="dxa"/>
            <w:vAlign w:val="bottom"/>
            <w:tcBorders>
              <w:bottom w:val="single" w:sz="8" w:color="BFE4FF"/>
            </w:tcBorders>
          </w:tcPr>
          <w:p>
            <w:pPr>
              <w:ind w:left="440"/>
              <w:spacing w:after="0"/>
              <w:rPr>
                <w:sz w:val="20"/>
                <w:szCs w:val="20"/>
                <w:color w:val="auto"/>
              </w:rPr>
            </w:pPr>
            <w:r>
              <w:rPr>
                <w:rFonts w:ascii="Arial" w:cs="Arial" w:eastAsia="Arial" w:hAnsi="Arial"/>
                <w:sz w:val="11"/>
                <w:szCs w:val="11"/>
                <w:color w:val="auto"/>
              </w:rPr>
              <w:t>Net cash provided by (used in) investing activities</w:t>
            </w: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BFE4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(721.1)</w:t>
            </w:r>
          </w:p>
        </w:tc>
      </w:tr>
      <w:tr>
        <w:trPr>
          <w:trHeight w:val="123"/>
        </w:trPr>
        <w:tc>
          <w:tcPr>
            <w:tcW w:w="8300" w:type="dxa"/>
            <w:vAlign w:val="bottom"/>
            <w:shd w:val="clear" w:color="auto" w:fill="BFE4FF"/>
          </w:tcPr>
          <w:p>
            <w:pPr>
              <w:spacing w:after="0"/>
              <w:rPr>
                <w:sz w:val="10"/>
                <w:szCs w:val="10"/>
                <w:color w:val="auto"/>
              </w:rPr>
            </w:pPr>
          </w:p>
        </w:tc>
        <w:tc>
          <w:tcPr>
            <w:tcW w:w="280" w:type="dxa"/>
            <w:vAlign w:val="bottom"/>
            <w:shd w:val="clear" w:color="auto" w:fill="BFE4FF"/>
          </w:tcPr>
          <w:p>
            <w:pPr>
              <w:spacing w:after="0"/>
              <w:rPr>
                <w:sz w:val="10"/>
                <w:szCs w:val="10"/>
                <w:color w:val="auto"/>
              </w:rPr>
            </w:pPr>
          </w:p>
        </w:tc>
        <w:tc>
          <w:tcPr>
            <w:tcW w:w="118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560" w:type="dxa"/>
            <w:vAlign w:val="bottom"/>
            <w:shd w:val="clear" w:color="auto" w:fill="BFE4FF"/>
          </w:tcPr>
          <w:p>
            <w:pPr>
              <w:spacing w:after="0"/>
              <w:rPr>
                <w:sz w:val="10"/>
                <w:szCs w:val="10"/>
                <w:color w:val="auto"/>
              </w:rPr>
            </w:pPr>
          </w:p>
        </w:tc>
        <w:tc>
          <w:tcPr>
            <w:tcW w:w="880" w:type="dxa"/>
            <w:vAlign w:val="bottom"/>
            <w:shd w:val="clear" w:color="auto" w:fill="BFE4FF"/>
          </w:tcPr>
          <w:p>
            <w:pPr>
              <w:spacing w:after="0"/>
              <w:rPr>
                <w:sz w:val="10"/>
                <w:szCs w:val="10"/>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0"/>
        </w:trPr>
        <w:tc>
          <w:tcPr>
            <w:tcW w:w="8300" w:type="dxa"/>
            <w:vAlign w:val="bottom"/>
            <w:shd w:val="clear" w:color="auto" w:fill="BFE4FF"/>
          </w:tcPr>
          <w:p>
            <w:pPr>
              <w:ind w:left="140"/>
              <w:spacing w:after="0"/>
              <w:rPr>
                <w:sz w:val="20"/>
                <w:szCs w:val="20"/>
                <w:color w:val="auto"/>
              </w:rPr>
            </w:pPr>
            <w:r>
              <w:rPr>
                <w:rFonts w:ascii="Arial" w:cs="Arial" w:eastAsia="Arial" w:hAnsi="Arial"/>
                <w:sz w:val="11"/>
                <w:szCs w:val="11"/>
                <w:color w:val="auto"/>
              </w:rPr>
              <w:t>Payments of deferred consideration</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(24.0)</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(0.3)</w:t>
            </w:r>
          </w:p>
        </w:tc>
      </w:tr>
      <w:tr>
        <w:trPr>
          <w:trHeight w:val="157"/>
        </w:trPr>
        <w:tc>
          <w:tcPr>
            <w:tcW w:w="8300" w:type="dxa"/>
            <w:vAlign w:val="bottom"/>
          </w:tcPr>
          <w:p>
            <w:pPr>
              <w:ind w:left="140"/>
              <w:spacing w:after="0"/>
              <w:rPr>
                <w:sz w:val="20"/>
                <w:szCs w:val="20"/>
                <w:color w:val="auto"/>
              </w:rPr>
            </w:pPr>
            <w:r>
              <w:rPr>
                <w:rFonts w:ascii="Arial" w:cs="Arial" w:eastAsia="Arial" w:hAnsi="Arial"/>
                <w:sz w:val="11"/>
                <w:szCs w:val="11"/>
                <w:color w:val="auto"/>
              </w:rPr>
              <w:t>Proceeds from debt</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35.0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1,220.8</w:t>
            </w:r>
          </w:p>
        </w:tc>
      </w:tr>
      <w:tr>
        <w:trPr>
          <w:trHeight w:val="170"/>
        </w:trPr>
        <w:tc>
          <w:tcPr>
            <w:tcW w:w="8300" w:type="dxa"/>
            <w:vAlign w:val="bottom"/>
            <w:shd w:val="clear" w:color="auto" w:fill="BFE4FF"/>
          </w:tcPr>
          <w:p>
            <w:pPr>
              <w:ind w:left="140"/>
              <w:spacing w:after="0"/>
              <w:rPr>
                <w:sz w:val="20"/>
                <w:szCs w:val="20"/>
                <w:color w:val="auto"/>
              </w:rPr>
            </w:pPr>
            <w:r>
              <w:rPr>
                <w:rFonts w:ascii="Arial" w:cs="Arial" w:eastAsia="Arial" w:hAnsi="Arial"/>
                <w:sz w:val="11"/>
                <w:szCs w:val="11"/>
                <w:color w:val="auto"/>
              </w:rPr>
              <w:t>Repayment of debt</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(510.9)</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(645.4)</w:t>
            </w:r>
          </w:p>
        </w:tc>
      </w:tr>
      <w:tr>
        <w:trPr>
          <w:trHeight w:val="157"/>
        </w:trPr>
        <w:tc>
          <w:tcPr>
            <w:tcW w:w="8300" w:type="dxa"/>
            <w:vAlign w:val="bottom"/>
          </w:tcPr>
          <w:p>
            <w:pPr>
              <w:ind w:left="140"/>
              <w:spacing w:after="0"/>
              <w:rPr>
                <w:sz w:val="20"/>
                <w:szCs w:val="20"/>
                <w:color w:val="auto"/>
              </w:rPr>
            </w:pPr>
            <w:r>
              <w:rPr>
                <w:rFonts w:ascii="Arial" w:cs="Arial" w:eastAsia="Arial" w:hAnsi="Arial"/>
                <w:sz w:val="11"/>
                <w:szCs w:val="11"/>
                <w:color w:val="auto"/>
              </w:rPr>
              <w:t>Payments of debt issuance costs</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(16.7)</w:t>
            </w:r>
          </w:p>
        </w:tc>
      </w:tr>
      <w:tr>
        <w:trPr>
          <w:trHeight w:val="170"/>
        </w:trPr>
        <w:tc>
          <w:tcPr>
            <w:tcW w:w="8300" w:type="dxa"/>
            <w:vAlign w:val="bottom"/>
            <w:shd w:val="clear" w:color="auto" w:fill="BFE4FF"/>
          </w:tcPr>
          <w:p>
            <w:pPr>
              <w:ind w:left="140"/>
              <w:spacing w:after="0"/>
              <w:rPr>
                <w:sz w:val="20"/>
                <w:szCs w:val="20"/>
                <w:color w:val="auto"/>
              </w:rPr>
            </w:pPr>
            <w:r>
              <w:rPr>
                <w:rFonts w:ascii="Arial" w:cs="Arial" w:eastAsia="Arial" w:hAnsi="Arial"/>
                <w:sz w:val="11"/>
                <w:szCs w:val="11"/>
                <w:color w:val="auto"/>
              </w:rPr>
              <w:t>Repurchase outstanding equity / member units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(332.4)</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(11.9)</w:t>
            </w:r>
          </w:p>
        </w:tc>
      </w:tr>
      <w:tr>
        <w:trPr>
          <w:trHeight w:val="157"/>
        </w:trPr>
        <w:tc>
          <w:tcPr>
            <w:tcW w:w="8300" w:type="dxa"/>
            <w:vAlign w:val="bottom"/>
          </w:tcPr>
          <w:p>
            <w:pPr>
              <w:ind w:left="140"/>
              <w:spacing w:after="0"/>
              <w:rPr>
                <w:sz w:val="20"/>
                <w:szCs w:val="20"/>
                <w:color w:val="auto"/>
              </w:rPr>
            </w:pPr>
            <w:r>
              <w:rPr>
                <w:rFonts w:ascii="Arial" w:cs="Arial" w:eastAsia="Arial" w:hAnsi="Arial"/>
                <w:sz w:val="11"/>
                <w:szCs w:val="11"/>
                <w:color w:val="auto"/>
              </w:rPr>
              <w:t>Proceeds from equity offering, net of underwriting discounts</w:t>
            </w:r>
          </w:p>
        </w:tc>
        <w:tc>
          <w:tcPr>
            <w:tcW w:w="28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1,019.6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200.2</w:t>
            </w:r>
          </w:p>
        </w:tc>
      </w:tr>
      <w:tr>
        <w:trPr>
          <w:trHeight w:val="170"/>
        </w:trPr>
        <w:tc>
          <w:tcPr>
            <w:tcW w:w="8300" w:type="dxa"/>
            <w:vAlign w:val="bottom"/>
            <w:shd w:val="clear" w:color="auto" w:fill="BFE4FF"/>
          </w:tcPr>
          <w:p>
            <w:pPr>
              <w:ind w:left="140"/>
              <w:spacing w:after="0"/>
              <w:rPr>
                <w:sz w:val="20"/>
                <w:szCs w:val="20"/>
                <w:color w:val="auto"/>
              </w:rPr>
            </w:pPr>
            <w:r>
              <w:rPr>
                <w:rFonts w:ascii="Arial" w:cs="Arial" w:eastAsia="Arial" w:hAnsi="Arial"/>
                <w:sz w:val="11"/>
                <w:szCs w:val="11"/>
                <w:color w:val="auto"/>
              </w:rPr>
              <w:t>Payments of IPO issuance costs</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(7.2)</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w:t>
            </w:r>
          </w:p>
        </w:tc>
      </w:tr>
      <w:tr>
        <w:trPr>
          <w:trHeight w:val="157"/>
        </w:trPr>
        <w:tc>
          <w:tcPr>
            <w:tcW w:w="8300" w:type="dxa"/>
            <w:vAlign w:val="bottom"/>
            <w:tcBorders>
              <w:bottom w:val="single" w:sz="8" w:color="BFE4FF"/>
            </w:tcBorders>
          </w:tcPr>
          <w:p>
            <w:pPr>
              <w:ind w:left="140"/>
              <w:spacing w:after="0"/>
              <w:rPr>
                <w:sz w:val="20"/>
                <w:szCs w:val="20"/>
                <w:color w:val="auto"/>
              </w:rPr>
            </w:pPr>
            <w:r>
              <w:rPr>
                <w:rFonts w:ascii="Arial" w:cs="Arial" w:eastAsia="Arial" w:hAnsi="Arial"/>
                <w:sz w:val="11"/>
                <w:szCs w:val="11"/>
                <w:color w:val="auto"/>
              </w:rPr>
              <w:t>Tax distributions</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BFE4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w:t>
            </w:r>
          </w:p>
        </w:tc>
      </w:tr>
      <w:tr>
        <w:trPr>
          <w:trHeight w:val="152"/>
        </w:trPr>
        <w:tc>
          <w:tcPr>
            <w:tcW w:w="8300" w:type="dxa"/>
            <w:vAlign w:val="bottom"/>
            <w:shd w:val="clear" w:color="auto" w:fill="BFE4FF"/>
          </w:tcPr>
          <w:p>
            <w:pPr>
              <w:ind w:left="440"/>
              <w:spacing w:after="0"/>
              <w:rPr>
                <w:sz w:val="20"/>
                <w:szCs w:val="20"/>
                <w:color w:val="auto"/>
              </w:rPr>
            </w:pPr>
            <w:r>
              <w:rPr>
                <w:rFonts w:ascii="Arial" w:cs="Arial" w:eastAsia="Arial" w:hAnsi="Arial"/>
                <w:sz w:val="11"/>
                <w:szCs w:val="11"/>
                <w:color w:val="auto"/>
              </w:rPr>
              <w:t>Net cash provided by (used in) financing activities</w:t>
            </w:r>
          </w:p>
        </w:tc>
        <w:tc>
          <w:tcPr>
            <w:tcW w:w="280" w:type="dxa"/>
            <w:vAlign w:val="bottom"/>
            <w:tcBorders>
              <w:bottom w:val="single" w:sz="8" w:color="auto"/>
            </w:tcBorders>
            <w:shd w:val="clear" w:color="auto" w:fill="BFE4FF"/>
          </w:tcPr>
          <w:p>
            <w:pPr>
              <w:spacing w:after="0"/>
              <w:rPr>
                <w:sz w:val="13"/>
                <w:szCs w:val="13"/>
                <w:color w:val="auto"/>
              </w:rPr>
            </w:pPr>
          </w:p>
        </w:tc>
        <w:tc>
          <w:tcPr>
            <w:tcW w:w="1180" w:type="dxa"/>
            <w:vAlign w:val="bottom"/>
            <w:tcBorders>
              <w:bottom w:val="single" w:sz="8" w:color="auto"/>
            </w:tcBorders>
            <w:shd w:val="clear" w:color="auto" w:fill="BFE4FF"/>
          </w:tcPr>
          <w:p>
            <w:pPr>
              <w:jc w:val="right"/>
              <w:ind w:right="6"/>
              <w:spacing w:after="0"/>
              <w:rPr>
                <w:sz w:val="20"/>
                <w:szCs w:val="20"/>
                <w:color w:val="auto"/>
              </w:rPr>
            </w:pPr>
            <w:r>
              <w:rPr>
                <w:rFonts w:ascii="Arial" w:cs="Arial" w:eastAsia="Arial" w:hAnsi="Arial"/>
                <w:sz w:val="11"/>
                <w:szCs w:val="11"/>
                <w:color w:val="auto"/>
              </w:rPr>
              <w:t>172.3</w:t>
            </w:r>
          </w:p>
        </w:tc>
        <w:tc>
          <w:tcPr>
            <w:tcW w:w="100" w:type="dxa"/>
            <w:vAlign w:val="bottom"/>
            <w:shd w:val="clear" w:color="auto" w:fill="BFE4FF"/>
          </w:tcPr>
          <w:p>
            <w:pPr>
              <w:spacing w:after="0"/>
              <w:rPr>
                <w:sz w:val="13"/>
                <w:szCs w:val="13"/>
                <w:color w:val="auto"/>
              </w:rPr>
            </w:pPr>
          </w:p>
        </w:tc>
        <w:tc>
          <w:tcPr>
            <w:tcW w:w="560" w:type="dxa"/>
            <w:vAlign w:val="bottom"/>
            <w:tcBorders>
              <w:bottom w:val="single" w:sz="8" w:color="auto"/>
            </w:tcBorders>
            <w:shd w:val="clear" w:color="auto" w:fill="BFE4FF"/>
          </w:tcPr>
          <w:p>
            <w:pPr>
              <w:spacing w:after="0"/>
              <w:rPr>
                <w:sz w:val="13"/>
                <w:szCs w:val="13"/>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color w:val="auto"/>
              </w:rPr>
              <w:t>733.3</w:t>
            </w:r>
          </w:p>
        </w:tc>
      </w:tr>
      <w:tr>
        <w:trPr>
          <w:trHeight w:val="123"/>
        </w:trPr>
        <w:tc>
          <w:tcPr>
            <w:tcW w:w="8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3"/>
        </w:trPr>
        <w:tc>
          <w:tcPr>
            <w:tcW w:w="8300" w:type="dxa"/>
            <w:vAlign w:val="bottom"/>
            <w:shd w:val="clear" w:color="auto" w:fill="BFE4FF"/>
          </w:tcPr>
          <w:p>
            <w:pPr>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jc w:val="right"/>
              <w:ind w:right="6"/>
              <w:spacing w:after="0"/>
              <w:rPr>
                <w:sz w:val="20"/>
                <w:szCs w:val="20"/>
                <w:color w:val="auto"/>
              </w:rPr>
            </w:pPr>
            <w:r>
              <w:rPr>
                <w:rFonts w:ascii="Arial" w:cs="Arial" w:eastAsia="Arial" w:hAnsi="Arial"/>
                <w:sz w:val="11"/>
                <w:szCs w:val="11"/>
                <w:color w:val="auto"/>
              </w:rPr>
              <w:t>217.7</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21.1</w:t>
            </w:r>
          </w:p>
        </w:tc>
      </w:tr>
      <w:tr>
        <w:trPr>
          <w:trHeight w:val="157"/>
        </w:trPr>
        <w:tc>
          <w:tcPr>
            <w:tcW w:w="8300" w:type="dxa"/>
            <w:vAlign w:val="bottom"/>
            <w:tcBorders>
              <w:bottom w:val="single" w:sz="8" w:color="BFE4FF"/>
            </w:tcBorders>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w:t>
            </w:r>
          </w:p>
        </w:tc>
        <w:tc>
          <w:tcPr>
            <w:tcW w:w="100" w:type="dxa"/>
            <w:vAlign w:val="bottom"/>
            <w:tcBorders>
              <w:bottom w:val="single" w:sz="8" w:color="BFE4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r>
      <w:tr>
        <w:trPr>
          <w:trHeight w:val="176"/>
        </w:trPr>
        <w:tc>
          <w:tcPr>
            <w:tcW w:w="830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1"/>
                <w:szCs w:val="11"/>
                <w:color w:val="auto"/>
              </w:rPr>
              <w:t>Cash, cash equivalents, and restricted cast at end of period</w:t>
            </w:r>
          </w:p>
        </w:tc>
        <w:tc>
          <w:tcPr>
            <w:tcW w:w="280" w:type="dxa"/>
            <w:vAlign w:val="bottom"/>
            <w:tcBorders>
              <w:bottom w:val="single" w:sz="8" w:color="auto"/>
            </w:tcBorders>
            <w:shd w:val="clear" w:color="auto" w:fill="BFE4FF"/>
          </w:tcPr>
          <w:p>
            <w:pPr>
              <w:jc w:val="right"/>
              <w:ind w:right="14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BFE4FF"/>
          </w:tcPr>
          <w:p>
            <w:pPr>
              <w:jc w:val="right"/>
              <w:ind w:right="6"/>
              <w:spacing w:after="0"/>
              <w:rPr>
                <w:sz w:val="20"/>
                <w:szCs w:val="20"/>
                <w:color w:val="auto"/>
              </w:rPr>
            </w:pPr>
            <w:r>
              <w:rPr>
                <w:rFonts w:ascii="Arial" w:cs="Arial" w:eastAsia="Arial" w:hAnsi="Arial"/>
                <w:sz w:val="11"/>
                <w:szCs w:val="11"/>
                <w:color w:val="auto"/>
              </w:rPr>
              <w:t>260.2</w:t>
            </w:r>
          </w:p>
        </w:tc>
        <w:tc>
          <w:tcPr>
            <w:tcW w:w="100" w:type="dxa"/>
            <w:vAlign w:val="bottom"/>
            <w:tcBorders>
              <w:bottom w:val="single" w:sz="8" w:color="BFE4FF"/>
            </w:tcBorders>
            <w:shd w:val="clear" w:color="auto" w:fill="BFE4FF"/>
          </w:tcPr>
          <w:p>
            <w:pPr>
              <w:spacing w:after="0"/>
              <w:rPr>
                <w:sz w:val="15"/>
                <w:szCs w:val="15"/>
                <w:color w:val="auto"/>
              </w:rPr>
            </w:pPr>
          </w:p>
        </w:tc>
        <w:tc>
          <w:tcPr>
            <w:tcW w:w="560" w:type="dxa"/>
            <w:vAlign w:val="bottom"/>
            <w:tcBorders>
              <w:bottom w:val="single" w:sz="8" w:color="auto"/>
            </w:tcBorders>
            <w:shd w:val="clear" w:color="auto" w:fill="BFE4FF"/>
          </w:tcPr>
          <w:p>
            <w:pPr>
              <w:jc w:val="right"/>
              <w:ind w:right="4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1"/>
                <w:szCs w:val="11"/>
                <w:color w:val="auto"/>
              </w:rPr>
              <w:t>30.1</w:t>
            </w:r>
          </w:p>
        </w:tc>
      </w:tr>
      <w:tr>
        <w:trPr>
          <w:trHeight w:val="118"/>
        </w:trPr>
        <w:tc>
          <w:tcPr>
            <w:tcW w:w="8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3"/>
        </w:trPr>
        <w:tc>
          <w:tcPr>
            <w:tcW w:w="8300" w:type="dxa"/>
            <w:vAlign w:val="bottom"/>
            <w:shd w:val="clear" w:color="auto" w:fill="BFE4FF"/>
          </w:tcPr>
          <w:p>
            <w:pPr>
              <w:spacing w:after="0"/>
              <w:rPr>
                <w:sz w:val="20"/>
                <w:szCs w:val="20"/>
                <w:color w:val="auto"/>
              </w:rPr>
            </w:pPr>
            <w:r>
              <w:rPr>
                <w:rFonts w:ascii="Arial" w:cs="Arial" w:eastAsia="Arial" w:hAnsi="Arial"/>
                <w:sz w:val="11"/>
                <w:szCs w:val="11"/>
                <w:color w:val="auto"/>
              </w:rPr>
              <w:t>Supplemental disclosures of cash flow information</w:t>
            </w:r>
          </w:p>
        </w:tc>
        <w:tc>
          <w:tcPr>
            <w:tcW w:w="280" w:type="dxa"/>
            <w:vAlign w:val="bottom"/>
            <w:shd w:val="clear" w:color="auto" w:fill="BFE4FF"/>
          </w:tcPr>
          <w:p>
            <w:pPr>
              <w:spacing w:after="0"/>
              <w:rPr>
                <w:sz w:val="14"/>
                <w:szCs w:val="14"/>
                <w:color w:val="auto"/>
              </w:rPr>
            </w:pPr>
          </w:p>
        </w:tc>
        <w:tc>
          <w:tcPr>
            <w:tcW w:w="11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880" w:type="dxa"/>
            <w:vAlign w:val="bottom"/>
            <w:shd w:val="clear" w:color="auto" w:fill="BFE4FF"/>
          </w:tcPr>
          <w:p>
            <w:pPr>
              <w:spacing w:after="0"/>
              <w:rPr>
                <w:sz w:val="14"/>
                <w:szCs w:val="14"/>
                <w:color w:val="auto"/>
              </w:rPr>
            </w:pPr>
          </w:p>
        </w:tc>
      </w:tr>
      <w:tr>
        <w:trPr>
          <w:trHeight w:val="157"/>
        </w:trPr>
        <w:tc>
          <w:tcPr>
            <w:tcW w:w="8300" w:type="dxa"/>
            <w:vAlign w:val="bottom"/>
          </w:tcPr>
          <w:p>
            <w:pPr>
              <w:ind w:left="220"/>
              <w:spacing w:after="0"/>
              <w:rPr>
                <w:sz w:val="20"/>
                <w:szCs w:val="20"/>
                <w:color w:val="auto"/>
              </w:rPr>
            </w:pPr>
            <w:r>
              <w:rPr>
                <w:rFonts w:ascii="Arial" w:cs="Arial" w:eastAsia="Arial" w:hAnsi="Arial"/>
                <w:sz w:val="11"/>
                <w:szCs w:val="11"/>
                <w:color w:val="auto"/>
              </w:rPr>
              <w:t>Interest paid in cash</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47.1</w:t>
            </w:r>
          </w:p>
        </w:tc>
        <w:tc>
          <w:tcPr>
            <w:tcW w:w="100" w:type="dxa"/>
            <w:vAlign w:val="bottom"/>
          </w:tcPr>
          <w:p>
            <w:pPr>
              <w:spacing w:after="0"/>
              <w:rPr>
                <w:sz w:val="13"/>
                <w:szCs w:val="13"/>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47.7</w:t>
            </w:r>
          </w:p>
        </w:tc>
      </w:tr>
      <w:tr>
        <w:trPr>
          <w:trHeight w:val="143"/>
        </w:trPr>
        <w:tc>
          <w:tcPr>
            <w:tcW w:w="8300" w:type="dxa"/>
            <w:vAlign w:val="bottom"/>
            <w:shd w:val="clear" w:color="auto" w:fill="BFE4FF"/>
          </w:tcPr>
          <w:p>
            <w:pPr>
              <w:spacing w:after="0"/>
              <w:rPr>
                <w:sz w:val="12"/>
                <w:szCs w:val="12"/>
                <w:color w:val="auto"/>
              </w:rPr>
            </w:pPr>
          </w:p>
        </w:tc>
        <w:tc>
          <w:tcPr>
            <w:tcW w:w="280" w:type="dxa"/>
            <w:vAlign w:val="bottom"/>
            <w:shd w:val="clear" w:color="auto" w:fill="BFE4FF"/>
          </w:tcPr>
          <w:p>
            <w:pPr>
              <w:spacing w:after="0"/>
              <w:rPr>
                <w:sz w:val="12"/>
                <w:szCs w:val="12"/>
                <w:color w:val="auto"/>
              </w:rPr>
            </w:pPr>
          </w:p>
        </w:tc>
        <w:tc>
          <w:tcPr>
            <w:tcW w:w="1180" w:type="dxa"/>
            <w:vAlign w:val="bottom"/>
            <w:shd w:val="clear" w:color="auto" w:fill="BFE4FF"/>
          </w:tcPr>
          <w:p>
            <w:pPr>
              <w:spacing w:after="0"/>
              <w:rPr>
                <w:sz w:val="12"/>
                <w:szCs w:val="12"/>
                <w:color w:val="auto"/>
              </w:rPr>
            </w:pP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880" w:type="dxa"/>
            <w:vAlign w:val="bottom"/>
            <w:shd w:val="clear" w:color="auto" w:fill="BFE4FF"/>
          </w:tcPr>
          <w:p>
            <w:pPr>
              <w:spacing w:after="0"/>
              <w:rPr>
                <w:sz w:val="12"/>
                <w:szCs w:val="12"/>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1"/>
                <w:szCs w:val="11"/>
                <w:color w:val="auto"/>
              </w:rPr>
              <w:t>Supplemental disclosures of non-cash investing and financing activities: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0"/>
        </w:trPr>
        <w:tc>
          <w:tcPr>
            <w:tcW w:w="8300" w:type="dxa"/>
            <w:vAlign w:val="bottom"/>
            <w:shd w:val="clear" w:color="auto" w:fill="BFE4FF"/>
          </w:tcPr>
          <w:p>
            <w:pPr>
              <w:ind w:left="220"/>
              <w:spacing w:after="0"/>
              <w:rPr>
                <w:sz w:val="20"/>
                <w:szCs w:val="20"/>
                <w:color w:val="auto"/>
              </w:rPr>
            </w:pPr>
            <w:r>
              <w:rPr>
                <w:rFonts w:ascii="Arial" w:cs="Arial" w:eastAsia="Arial" w:hAnsi="Arial"/>
                <w:sz w:val="11"/>
                <w:szCs w:val="11"/>
                <w:color w:val="auto"/>
              </w:rPr>
              <w:t>Deferred variable consideration from acquisition of a business</w:t>
            </w:r>
          </w:p>
        </w:tc>
        <w:tc>
          <w:tcPr>
            <w:tcW w:w="280" w:type="dxa"/>
            <w:vAlign w:val="bottom"/>
            <w:shd w:val="clear" w:color="auto" w:fill="BFE4FF"/>
          </w:tcPr>
          <w:p>
            <w:pPr>
              <w:jc w:val="right"/>
              <w:ind w:right="146"/>
              <w:spacing w:after="0"/>
              <w:rPr>
                <w:sz w:val="20"/>
                <w:szCs w:val="20"/>
                <w:color w:val="auto"/>
              </w:rPr>
            </w:pPr>
            <w:r>
              <w:rPr>
                <w:rFonts w:ascii="Arial" w:cs="Arial" w:eastAsia="Arial" w:hAnsi="Arial"/>
                <w:sz w:val="11"/>
                <w:szCs w:val="11"/>
                <w:color w:val="auto"/>
                <w:w w:val="97"/>
              </w:rPr>
              <w:t>$</w:t>
            </w:r>
          </w:p>
        </w:tc>
        <w:tc>
          <w:tcPr>
            <w:tcW w:w="1280" w:type="dxa"/>
            <w:vAlign w:val="bottom"/>
            <w:gridSpan w:val="2"/>
            <w:shd w:val="clear" w:color="auto" w:fill="BFE4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BFE4FF"/>
          </w:tcPr>
          <w:p>
            <w:pPr>
              <w:jc w:val="right"/>
              <w:ind w:right="4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1"/>
                <w:szCs w:val="11"/>
                <w:color w:val="auto"/>
              </w:rPr>
              <w:t>33.2</w:t>
            </w:r>
          </w:p>
        </w:tc>
      </w:tr>
      <w:tr>
        <w:trPr>
          <w:trHeight w:val="150"/>
        </w:trPr>
        <w:tc>
          <w:tcPr>
            <w:tcW w:w="8300" w:type="dxa"/>
            <w:vAlign w:val="bottom"/>
          </w:tcPr>
          <w:p>
            <w:pPr>
              <w:ind w:left="220"/>
              <w:spacing w:after="0"/>
              <w:rPr>
                <w:sz w:val="20"/>
                <w:szCs w:val="20"/>
                <w:color w:val="auto"/>
              </w:rPr>
            </w:pPr>
            <w:r>
              <w:rPr>
                <w:rFonts w:ascii="Arial" w:cs="Arial" w:eastAsia="Arial" w:hAnsi="Arial"/>
                <w:sz w:val="11"/>
                <w:szCs w:val="11"/>
                <w:color w:val="auto"/>
              </w:rPr>
              <w:t>Issuance cost reimbursements included in accounts receivable</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3"/>
                <w:szCs w:val="13"/>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4" w:name="page15"/>
    <w:bookmarkEnd w:id="1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ZoomInfo Technologies Inc.</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Unaudited Consolidated Financial Statements (Unaudited)</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(In millions, except share/unit data and per share/unit amounts, unless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0" w:type="dxa"/>
            <w:vAlign w:val="bottom"/>
          </w:tcPr>
          <w:p>
            <w:pPr>
              <w:spacing w:after="0"/>
              <w:rPr>
                <w:rFonts w:ascii="Arial" w:cs="Arial" w:eastAsia="Arial" w:hAnsi="Arial"/>
                <w:sz w:val="12"/>
                <w:szCs w:val="12"/>
                <w:u w:val="single" w:color="auto"/>
                <w:color w:val="0000FF"/>
              </w:rPr>
            </w:pPr>
            <w:hyperlink w:anchor="page15">
              <w:r>
                <w:rPr>
                  <w:rFonts w:ascii="Arial" w:cs="Arial" w:eastAsia="Arial" w:hAnsi="Arial"/>
                  <w:sz w:val="12"/>
                  <w:szCs w:val="12"/>
                  <w:u w:val="single" w:color="auto"/>
                  <w:color w:val="0000FF"/>
                </w:rPr>
                <w:t>Note 1</w:t>
              </w:r>
            </w:hyperlink>
          </w:p>
        </w:tc>
        <w:tc>
          <w:tcPr>
            <w:tcW w:w="4320" w:type="dxa"/>
            <w:vAlign w:val="bottom"/>
          </w:tcPr>
          <w:p>
            <w:pPr>
              <w:ind w:left="420"/>
              <w:spacing w:after="0"/>
              <w:rPr>
                <w:rFonts w:ascii="Arial" w:cs="Arial" w:eastAsia="Arial" w:hAnsi="Arial"/>
                <w:sz w:val="12"/>
                <w:szCs w:val="12"/>
                <w:u w:val="single" w:color="auto"/>
                <w:color w:val="0000FF"/>
              </w:rPr>
            </w:pPr>
            <w:hyperlink w:anchor="page15">
              <w:r>
                <w:rPr>
                  <w:rFonts w:ascii="Arial" w:cs="Arial" w:eastAsia="Arial" w:hAnsi="Arial"/>
                  <w:sz w:val="12"/>
                  <w:szCs w:val="12"/>
                  <w:u w:val="single" w:color="auto"/>
                  <w:color w:val="0000FF"/>
                </w:rPr>
                <w:t>Organization and Background</w:t>
              </w:r>
            </w:hyperlink>
          </w:p>
        </w:tc>
        <w:tc>
          <w:tcPr>
            <w:tcW w:w="6180" w:type="dxa"/>
            <w:vAlign w:val="bottom"/>
          </w:tcPr>
          <w:p>
            <w:pPr>
              <w:jc w:val="center"/>
              <w:ind w:left="5379"/>
              <w:spacing w:after="0"/>
              <w:rPr>
                <w:rFonts w:ascii="Arial" w:cs="Arial" w:eastAsia="Arial" w:hAnsi="Arial"/>
                <w:sz w:val="12"/>
                <w:szCs w:val="12"/>
                <w:color w:val="0000FF"/>
                <w:w w:val="89"/>
              </w:rPr>
            </w:pPr>
            <w:hyperlink w:anchor="page15">
              <w:r>
                <w:rPr>
                  <w:rFonts w:ascii="Arial" w:cs="Arial" w:eastAsia="Arial" w:hAnsi="Arial"/>
                  <w:sz w:val="12"/>
                  <w:szCs w:val="12"/>
                  <w:color w:val="0000FF"/>
                  <w:w w:val="89"/>
                </w:rPr>
                <w:t>9</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19">
              <w:r>
                <w:rPr>
                  <w:rFonts w:ascii="Arial" w:cs="Arial" w:eastAsia="Arial" w:hAnsi="Arial"/>
                  <w:sz w:val="12"/>
                  <w:szCs w:val="12"/>
                  <w:u w:val="single" w:color="auto"/>
                  <w:color w:val="0000FF"/>
                </w:rPr>
                <w:t>Note 2</w:t>
              </w:r>
            </w:hyperlink>
          </w:p>
        </w:tc>
        <w:tc>
          <w:tcPr>
            <w:tcW w:w="4320" w:type="dxa"/>
            <w:vAlign w:val="bottom"/>
          </w:tcPr>
          <w:p>
            <w:pPr>
              <w:ind w:left="420"/>
              <w:spacing w:after="0"/>
              <w:rPr>
                <w:rFonts w:ascii="Arial" w:cs="Arial" w:eastAsia="Arial" w:hAnsi="Arial"/>
                <w:sz w:val="12"/>
                <w:szCs w:val="12"/>
                <w:u w:val="single" w:color="auto"/>
                <w:color w:val="0000FF"/>
              </w:rPr>
            </w:pPr>
            <w:hyperlink w:anchor="page19">
              <w:r>
                <w:rPr>
                  <w:rFonts w:ascii="Arial" w:cs="Arial" w:eastAsia="Arial" w:hAnsi="Arial"/>
                  <w:sz w:val="12"/>
                  <w:szCs w:val="12"/>
                  <w:u w:val="single" w:color="auto"/>
                  <w:color w:val="0000FF"/>
                </w:rPr>
                <w:t>Basis of Presentation and Summary of Significant Accounting Policies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19">
              <w:r>
                <w:rPr>
                  <w:rFonts w:ascii="Arial" w:cs="Arial" w:eastAsia="Arial" w:hAnsi="Arial"/>
                  <w:sz w:val="12"/>
                  <w:szCs w:val="12"/>
                  <w:color w:val="0000FF"/>
                  <w:w w:val="89"/>
                </w:rPr>
                <w:t>13</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27">
              <w:r>
                <w:rPr>
                  <w:rFonts w:ascii="Arial" w:cs="Arial" w:eastAsia="Arial" w:hAnsi="Arial"/>
                  <w:sz w:val="12"/>
                  <w:szCs w:val="12"/>
                  <w:u w:val="single" w:color="auto"/>
                  <w:color w:val="0000FF"/>
                </w:rPr>
                <w:t>Note 3</w:t>
              </w:r>
            </w:hyperlink>
          </w:p>
        </w:tc>
        <w:tc>
          <w:tcPr>
            <w:tcW w:w="4320" w:type="dxa"/>
            <w:vAlign w:val="bottom"/>
          </w:tcPr>
          <w:p>
            <w:pPr>
              <w:ind w:left="420"/>
              <w:spacing w:after="0"/>
              <w:rPr>
                <w:rFonts w:ascii="Arial" w:cs="Arial" w:eastAsia="Arial" w:hAnsi="Arial"/>
                <w:sz w:val="12"/>
                <w:szCs w:val="12"/>
                <w:u w:val="single" w:color="auto"/>
                <w:color w:val="0000FF"/>
              </w:rPr>
            </w:pPr>
            <w:hyperlink w:anchor="page27">
              <w:r>
                <w:rPr>
                  <w:rFonts w:ascii="Arial" w:cs="Arial" w:eastAsia="Arial" w:hAnsi="Arial"/>
                  <w:sz w:val="12"/>
                  <w:szCs w:val="12"/>
                  <w:u w:val="single" w:color="auto"/>
                  <w:color w:val="0000FF"/>
                </w:rPr>
                <w:t>Revenue from Contracts with Customers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27">
              <w:r>
                <w:rPr>
                  <w:rFonts w:ascii="Arial" w:cs="Arial" w:eastAsia="Arial" w:hAnsi="Arial"/>
                  <w:sz w:val="12"/>
                  <w:szCs w:val="12"/>
                  <w:color w:val="0000FF"/>
                  <w:w w:val="89"/>
                </w:rPr>
                <w:t>20</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28">
              <w:r>
                <w:rPr>
                  <w:rFonts w:ascii="Arial" w:cs="Arial" w:eastAsia="Arial" w:hAnsi="Arial"/>
                  <w:sz w:val="12"/>
                  <w:szCs w:val="12"/>
                  <w:u w:val="single" w:color="auto"/>
                  <w:color w:val="0000FF"/>
                </w:rPr>
                <w:t>Note 4</w:t>
              </w:r>
            </w:hyperlink>
          </w:p>
        </w:tc>
        <w:tc>
          <w:tcPr>
            <w:tcW w:w="4320" w:type="dxa"/>
            <w:vAlign w:val="bottom"/>
          </w:tcPr>
          <w:p>
            <w:pPr>
              <w:ind w:left="420"/>
              <w:spacing w:after="0"/>
              <w:rPr>
                <w:rFonts w:ascii="Arial" w:cs="Arial" w:eastAsia="Arial" w:hAnsi="Arial"/>
                <w:sz w:val="12"/>
                <w:szCs w:val="12"/>
                <w:u w:val="single" w:color="auto"/>
                <w:color w:val="0000FF"/>
              </w:rPr>
            </w:pPr>
            <w:hyperlink w:anchor="page28">
              <w:r>
                <w:rPr>
                  <w:rFonts w:ascii="Arial" w:cs="Arial" w:eastAsia="Arial" w:hAnsi="Arial"/>
                  <w:sz w:val="12"/>
                  <w:szCs w:val="12"/>
                  <w:u w:val="single" w:color="auto"/>
                  <w:color w:val="0000FF"/>
                </w:rPr>
                <w:t>Business Combinations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28">
              <w:r>
                <w:rPr>
                  <w:rFonts w:ascii="Arial" w:cs="Arial" w:eastAsia="Arial" w:hAnsi="Arial"/>
                  <w:sz w:val="12"/>
                  <w:szCs w:val="12"/>
                  <w:color w:val="0000FF"/>
                  <w:w w:val="89"/>
                </w:rPr>
                <w:t>22</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1">
              <w:r>
                <w:rPr>
                  <w:rFonts w:ascii="Arial" w:cs="Arial" w:eastAsia="Arial" w:hAnsi="Arial"/>
                  <w:sz w:val="12"/>
                  <w:szCs w:val="12"/>
                  <w:u w:val="single" w:color="auto"/>
                  <w:color w:val="0000FF"/>
                </w:rPr>
                <w:t>Note 5</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1">
              <w:r>
                <w:rPr>
                  <w:rFonts w:ascii="Arial" w:cs="Arial" w:eastAsia="Arial" w:hAnsi="Arial"/>
                  <w:sz w:val="12"/>
                  <w:szCs w:val="12"/>
                  <w:u w:val="single" w:color="auto"/>
                  <w:color w:val="0000FF"/>
                </w:rPr>
                <w:t>Property and Equipment</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24</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2">
              <w:r>
                <w:rPr>
                  <w:rFonts w:ascii="Arial" w:cs="Arial" w:eastAsia="Arial" w:hAnsi="Arial"/>
                  <w:sz w:val="12"/>
                  <w:szCs w:val="12"/>
                  <w:u w:val="single" w:color="auto"/>
                  <w:color w:val="0000FF"/>
                </w:rPr>
                <w:t>Note 6</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2">
              <w:r>
                <w:rPr>
                  <w:rFonts w:ascii="Arial" w:cs="Arial" w:eastAsia="Arial" w:hAnsi="Arial"/>
                  <w:sz w:val="12"/>
                  <w:szCs w:val="12"/>
                  <w:u w:val="single" w:color="auto"/>
                  <w:color w:val="0000FF"/>
                </w:rPr>
                <w:t>Goodwill and Acquired Intangible Assets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2">
              <w:r>
                <w:rPr>
                  <w:rFonts w:ascii="Arial" w:cs="Arial" w:eastAsia="Arial" w:hAnsi="Arial"/>
                  <w:sz w:val="12"/>
                  <w:szCs w:val="12"/>
                  <w:color w:val="0000FF"/>
                  <w:w w:val="89"/>
                </w:rPr>
                <w:t>25</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2">
              <w:r>
                <w:rPr>
                  <w:rFonts w:ascii="Arial" w:cs="Arial" w:eastAsia="Arial" w:hAnsi="Arial"/>
                  <w:sz w:val="12"/>
                  <w:szCs w:val="12"/>
                  <w:u w:val="single" w:color="auto"/>
                  <w:color w:val="0000FF"/>
                </w:rPr>
                <w:t>Note 7</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2">
              <w:r>
                <w:rPr>
                  <w:rFonts w:ascii="Arial" w:cs="Arial" w:eastAsia="Arial" w:hAnsi="Arial"/>
                  <w:sz w:val="12"/>
                  <w:szCs w:val="12"/>
                  <w:u w:val="single" w:color="auto"/>
                  <w:color w:val="0000FF"/>
                </w:rPr>
                <w:t>Financing Arrangements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2">
              <w:r>
                <w:rPr>
                  <w:rFonts w:ascii="Arial" w:cs="Arial" w:eastAsia="Arial" w:hAnsi="Arial"/>
                  <w:sz w:val="12"/>
                  <w:szCs w:val="12"/>
                  <w:color w:val="0000FF"/>
                  <w:w w:val="89"/>
                </w:rPr>
                <w:t>25</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4">
              <w:r>
                <w:rPr>
                  <w:rFonts w:ascii="Arial" w:cs="Arial" w:eastAsia="Arial" w:hAnsi="Arial"/>
                  <w:sz w:val="12"/>
                  <w:szCs w:val="12"/>
                  <w:u w:val="single" w:color="auto"/>
                  <w:color w:val="0000FF"/>
                </w:rPr>
                <w:t>Note 8</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4">
              <w:r>
                <w:rPr>
                  <w:rFonts w:ascii="Arial" w:cs="Arial" w:eastAsia="Arial" w:hAnsi="Arial"/>
                  <w:sz w:val="12"/>
                  <w:szCs w:val="12"/>
                  <w:u w:val="single" w:color="auto"/>
                  <w:color w:val="0000FF"/>
                </w:rPr>
                <w:t>Derivatives and Hedging Activities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4">
              <w:r>
                <w:rPr>
                  <w:rFonts w:ascii="Arial" w:cs="Arial" w:eastAsia="Arial" w:hAnsi="Arial"/>
                  <w:sz w:val="12"/>
                  <w:szCs w:val="12"/>
                  <w:color w:val="0000FF"/>
                  <w:w w:val="89"/>
                </w:rPr>
                <w:t>27</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5">
              <w:r>
                <w:rPr>
                  <w:rFonts w:ascii="Arial" w:cs="Arial" w:eastAsia="Arial" w:hAnsi="Arial"/>
                  <w:sz w:val="12"/>
                  <w:szCs w:val="12"/>
                  <w:u w:val="single" w:color="auto"/>
                  <w:color w:val="0000FF"/>
                </w:rPr>
                <w:t>Note 9</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5">
              <w:r>
                <w:rPr>
                  <w:rFonts w:ascii="Arial" w:cs="Arial" w:eastAsia="Arial" w:hAnsi="Arial"/>
                  <w:sz w:val="12"/>
                  <w:szCs w:val="12"/>
                  <w:u w:val="single" w:color="auto"/>
                  <w:color w:val="0000FF"/>
                </w:rPr>
                <w:t>Fair Value</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5">
              <w:r>
                <w:rPr>
                  <w:rFonts w:ascii="Arial" w:cs="Arial" w:eastAsia="Arial" w:hAnsi="Arial"/>
                  <w:sz w:val="12"/>
                  <w:szCs w:val="12"/>
                  <w:color w:val="0000FF"/>
                  <w:w w:val="89"/>
                </w:rPr>
                <w:t>29</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Note 10</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Commitments and Contingencies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6">
              <w:r>
                <w:rPr>
                  <w:rFonts w:ascii="Arial" w:cs="Arial" w:eastAsia="Arial" w:hAnsi="Arial"/>
                  <w:sz w:val="12"/>
                  <w:szCs w:val="12"/>
                  <w:color w:val="0000FF"/>
                  <w:w w:val="89"/>
                </w:rPr>
                <w:t>30</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7">
              <w:r>
                <w:rPr>
                  <w:rFonts w:ascii="Arial" w:cs="Arial" w:eastAsia="Arial" w:hAnsi="Arial"/>
                  <w:sz w:val="12"/>
                  <w:szCs w:val="12"/>
                  <w:u w:val="single" w:color="auto"/>
                  <w:color w:val="0000FF"/>
                </w:rPr>
                <w:t>Note 11</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7">
              <w:r>
                <w:rPr>
                  <w:rFonts w:ascii="Arial" w:cs="Arial" w:eastAsia="Arial" w:hAnsi="Arial"/>
                  <w:sz w:val="12"/>
                  <w:szCs w:val="12"/>
                  <w:u w:val="single" w:color="auto"/>
                  <w:color w:val="0000FF"/>
                </w:rPr>
                <w:t>Noncontrolling Interest</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7">
              <w:r>
                <w:rPr>
                  <w:rFonts w:ascii="Arial" w:cs="Arial" w:eastAsia="Arial" w:hAnsi="Arial"/>
                  <w:sz w:val="12"/>
                  <w:szCs w:val="12"/>
                  <w:color w:val="0000FF"/>
                  <w:w w:val="89"/>
                </w:rPr>
                <w:t>30</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7">
              <w:r>
                <w:rPr>
                  <w:rFonts w:ascii="Arial" w:cs="Arial" w:eastAsia="Arial" w:hAnsi="Arial"/>
                  <w:sz w:val="12"/>
                  <w:szCs w:val="12"/>
                  <w:u w:val="single" w:color="auto"/>
                  <w:color w:val="0000FF"/>
                </w:rPr>
                <w:t>Note 12</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7">
              <w:r>
                <w:rPr>
                  <w:rFonts w:ascii="Arial" w:cs="Arial" w:eastAsia="Arial" w:hAnsi="Arial"/>
                  <w:sz w:val="12"/>
                  <w:szCs w:val="12"/>
                  <w:u w:val="single" w:color="auto"/>
                  <w:color w:val="0000FF"/>
                </w:rPr>
                <w:t>Loss Per Share</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7">
              <w:r>
                <w:rPr>
                  <w:rFonts w:ascii="Arial" w:cs="Arial" w:eastAsia="Arial" w:hAnsi="Arial"/>
                  <w:sz w:val="12"/>
                  <w:szCs w:val="12"/>
                  <w:color w:val="0000FF"/>
                  <w:w w:val="89"/>
                </w:rPr>
                <w:t>31</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39">
              <w:r>
                <w:rPr>
                  <w:rFonts w:ascii="Arial" w:cs="Arial" w:eastAsia="Arial" w:hAnsi="Arial"/>
                  <w:sz w:val="12"/>
                  <w:szCs w:val="12"/>
                  <w:u w:val="single" w:color="auto"/>
                  <w:color w:val="0000FF"/>
                </w:rPr>
                <w:t>Note 13</w:t>
              </w:r>
            </w:hyperlink>
          </w:p>
        </w:tc>
        <w:tc>
          <w:tcPr>
            <w:tcW w:w="4320" w:type="dxa"/>
            <w:vAlign w:val="bottom"/>
          </w:tcPr>
          <w:p>
            <w:pPr>
              <w:ind w:left="420"/>
              <w:spacing w:after="0"/>
              <w:rPr>
                <w:rFonts w:ascii="Arial" w:cs="Arial" w:eastAsia="Arial" w:hAnsi="Arial"/>
                <w:sz w:val="12"/>
                <w:szCs w:val="12"/>
                <w:u w:val="single" w:color="auto"/>
                <w:color w:val="0000FF"/>
              </w:rPr>
            </w:pPr>
            <w:hyperlink w:anchor="page39">
              <w:r>
                <w:rPr>
                  <w:rFonts w:ascii="Arial" w:cs="Arial" w:eastAsia="Arial" w:hAnsi="Arial"/>
                  <w:sz w:val="12"/>
                  <w:szCs w:val="12"/>
                  <w:u w:val="single" w:color="auto"/>
                  <w:color w:val="0000FF"/>
                </w:rPr>
                <w:t>Leases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39">
              <w:r>
                <w:rPr>
                  <w:rFonts w:ascii="Arial" w:cs="Arial" w:eastAsia="Arial" w:hAnsi="Arial"/>
                  <w:sz w:val="12"/>
                  <w:szCs w:val="12"/>
                  <w:color w:val="0000FF"/>
                  <w:w w:val="89"/>
                </w:rPr>
                <w:t>33</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41">
              <w:r>
                <w:rPr>
                  <w:rFonts w:ascii="Arial" w:cs="Arial" w:eastAsia="Arial" w:hAnsi="Arial"/>
                  <w:sz w:val="12"/>
                  <w:szCs w:val="12"/>
                  <w:u w:val="single" w:color="auto"/>
                  <w:color w:val="0000FF"/>
                </w:rPr>
                <w:t>Note 14</w:t>
              </w:r>
            </w:hyperlink>
          </w:p>
        </w:tc>
        <w:tc>
          <w:tcPr>
            <w:tcW w:w="4320" w:type="dxa"/>
            <w:vAlign w:val="bottom"/>
          </w:tcPr>
          <w:p>
            <w:pPr>
              <w:ind w:left="420"/>
              <w:spacing w:after="0"/>
              <w:rPr>
                <w:rFonts w:ascii="Arial" w:cs="Arial" w:eastAsia="Arial" w:hAnsi="Arial"/>
                <w:sz w:val="12"/>
                <w:szCs w:val="12"/>
                <w:u w:val="single" w:color="auto"/>
                <w:color w:val="0000FF"/>
              </w:rPr>
            </w:pPr>
            <w:hyperlink w:anchor="page41">
              <w:r>
                <w:rPr>
                  <w:rFonts w:ascii="Arial" w:cs="Arial" w:eastAsia="Arial" w:hAnsi="Arial"/>
                  <w:sz w:val="12"/>
                  <w:szCs w:val="12"/>
                  <w:u w:val="single" w:color="auto"/>
                  <w:color w:val="0000FF"/>
                </w:rPr>
                <w:t>Redeemable Series A Preferred Units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41">
              <w:r>
                <w:rPr>
                  <w:rFonts w:ascii="Arial" w:cs="Arial" w:eastAsia="Arial" w:hAnsi="Arial"/>
                  <w:sz w:val="12"/>
                  <w:szCs w:val="12"/>
                  <w:color w:val="0000FF"/>
                  <w:w w:val="89"/>
                </w:rPr>
                <w:t>34</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41">
              <w:r>
                <w:rPr>
                  <w:rFonts w:ascii="Arial" w:cs="Arial" w:eastAsia="Arial" w:hAnsi="Arial"/>
                  <w:sz w:val="12"/>
                  <w:szCs w:val="12"/>
                  <w:u w:val="single" w:color="auto"/>
                  <w:color w:val="0000FF"/>
                </w:rPr>
                <w:t>Note 15</w:t>
              </w:r>
            </w:hyperlink>
          </w:p>
        </w:tc>
        <w:tc>
          <w:tcPr>
            <w:tcW w:w="4320" w:type="dxa"/>
            <w:vAlign w:val="bottom"/>
          </w:tcPr>
          <w:p>
            <w:pPr>
              <w:ind w:left="420"/>
              <w:spacing w:after="0"/>
              <w:rPr>
                <w:rFonts w:ascii="Arial" w:cs="Arial" w:eastAsia="Arial" w:hAnsi="Arial"/>
                <w:sz w:val="12"/>
                <w:szCs w:val="12"/>
                <w:u w:val="single" w:color="auto"/>
                <w:color w:val="0000FF"/>
              </w:rPr>
            </w:pPr>
            <w:hyperlink w:anchor="page41">
              <w:r>
                <w:rPr>
                  <w:rFonts w:ascii="Arial" w:cs="Arial" w:eastAsia="Arial" w:hAnsi="Arial"/>
                  <w:sz w:val="12"/>
                  <w:szCs w:val="12"/>
                  <w:u w:val="single" w:color="auto"/>
                  <w:color w:val="0000FF"/>
                </w:rPr>
                <w:t>Equity-Based Compensation</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41">
              <w:r>
                <w:rPr>
                  <w:rFonts w:ascii="Arial" w:cs="Arial" w:eastAsia="Arial" w:hAnsi="Arial"/>
                  <w:sz w:val="12"/>
                  <w:szCs w:val="12"/>
                  <w:color w:val="0000FF"/>
                  <w:w w:val="89"/>
                </w:rPr>
                <w:t>34</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46">
              <w:r>
                <w:rPr>
                  <w:rFonts w:ascii="Arial" w:cs="Arial" w:eastAsia="Arial" w:hAnsi="Arial"/>
                  <w:sz w:val="12"/>
                  <w:szCs w:val="12"/>
                  <w:u w:val="single" w:color="auto"/>
                  <w:color w:val="0000FF"/>
                </w:rPr>
                <w:t>Note 16</w:t>
              </w:r>
            </w:hyperlink>
          </w:p>
        </w:tc>
        <w:tc>
          <w:tcPr>
            <w:tcW w:w="4320" w:type="dxa"/>
            <w:vAlign w:val="bottom"/>
          </w:tcPr>
          <w:p>
            <w:pPr>
              <w:ind w:left="420"/>
              <w:spacing w:after="0"/>
              <w:rPr>
                <w:rFonts w:ascii="Arial" w:cs="Arial" w:eastAsia="Arial" w:hAnsi="Arial"/>
                <w:sz w:val="12"/>
                <w:szCs w:val="12"/>
                <w:u w:val="single" w:color="auto"/>
                <w:color w:val="0000FF"/>
              </w:rPr>
            </w:pPr>
            <w:hyperlink w:anchor="page46">
              <w:r>
                <w:rPr>
                  <w:rFonts w:ascii="Arial" w:cs="Arial" w:eastAsia="Arial" w:hAnsi="Arial"/>
                  <w:sz w:val="12"/>
                  <w:szCs w:val="12"/>
                  <w:u w:val="single" w:color="auto"/>
                  <w:color w:val="0000FF"/>
                </w:rPr>
                <w:t>Income Taxes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46">
              <w:r>
                <w:rPr>
                  <w:rFonts w:ascii="Arial" w:cs="Arial" w:eastAsia="Arial" w:hAnsi="Arial"/>
                  <w:sz w:val="12"/>
                  <w:szCs w:val="12"/>
                  <w:color w:val="0000FF"/>
                  <w:w w:val="89"/>
                </w:rPr>
                <w:t>40</w:t>
              </w:r>
            </w:hyperlink>
          </w:p>
        </w:tc>
      </w:tr>
      <w:tr>
        <w:trPr>
          <w:trHeight w:val="182"/>
        </w:trPr>
        <w:tc>
          <w:tcPr>
            <w:tcW w:w="800" w:type="dxa"/>
            <w:vAlign w:val="bottom"/>
          </w:tcPr>
          <w:p>
            <w:pPr>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Note 17</w:t>
              </w:r>
            </w:hyperlink>
          </w:p>
        </w:tc>
        <w:tc>
          <w:tcPr>
            <w:tcW w:w="4320" w:type="dxa"/>
            <w:vAlign w:val="bottom"/>
          </w:tcPr>
          <w:p>
            <w:pPr>
              <w:ind w:left="420"/>
              <w:spacing w:after="0"/>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Subsequent Events</w:t>
              </w:r>
            </w:hyperlink>
          </w:p>
        </w:tc>
        <w:tc>
          <w:tcPr>
            <w:tcW w:w="6180" w:type="dxa"/>
            <w:vAlign w:val="bottom"/>
          </w:tcPr>
          <w:p>
            <w:pPr>
              <w:jc w:val="center"/>
              <w:ind w:left="5359"/>
              <w:spacing w:after="0"/>
              <w:rPr>
                <w:rFonts w:ascii="Arial" w:cs="Arial" w:eastAsia="Arial" w:hAnsi="Arial"/>
                <w:sz w:val="12"/>
                <w:szCs w:val="12"/>
                <w:color w:val="0000FF"/>
                <w:w w:val="89"/>
              </w:rPr>
            </w:pPr>
            <w:hyperlink w:anchor="page47">
              <w:r>
                <w:rPr>
                  <w:rFonts w:ascii="Arial" w:cs="Arial" w:eastAsia="Arial" w:hAnsi="Arial"/>
                  <w:sz w:val="12"/>
                  <w:szCs w:val="12"/>
                  <w:color w:val="0000FF"/>
                  <w:w w:val="89"/>
                </w:rPr>
                <w:t>41</w:t>
              </w:r>
            </w:hyperlink>
          </w:p>
        </w:tc>
      </w:tr>
      <w:tr>
        <w:trPr>
          <w:trHeight w:val="844"/>
        </w:trPr>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180" w:type="dxa"/>
            <w:vAlign w:val="bottom"/>
          </w:tcPr>
          <w:p>
            <w:pPr>
              <w:jc w:val="right"/>
              <w:ind w:right="5559"/>
              <w:spacing w:after="0"/>
              <w:rPr>
                <w:sz w:val="20"/>
                <w:szCs w:val="20"/>
                <w:color w:val="auto"/>
              </w:rPr>
            </w:pPr>
            <w:r>
              <w:rPr>
                <w:rFonts w:ascii="Arial" w:cs="Arial" w:eastAsia="Arial" w:hAnsi="Arial"/>
                <w:sz w:val="12"/>
                <w:szCs w:val="12"/>
                <w:color w:val="auto"/>
              </w:rPr>
              <w:t>8</w:t>
            </w:r>
          </w:p>
        </w:tc>
      </w:tr>
      <w:tr>
        <w:trPr>
          <w:trHeight w:val="182"/>
        </w:trPr>
        <w:tc>
          <w:tcPr>
            <w:tcW w:w="800" w:type="dxa"/>
            <w:vAlign w:val="bottom"/>
            <w:tcBorders>
              <w:bottom w:val="single" w:sz="8" w:color="9A9A9A"/>
            </w:tcBorders>
          </w:tcPr>
          <w:p>
            <w:pPr>
              <w:spacing w:after="0"/>
              <w:rPr>
                <w:sz w:val="15"/>
                <w:szCs w:val="15"/>
                <w:color w:val="auto"/>
              </w:rPr>
            </w:pPr>
          </w:p>
        </w:tc>
        <w:tc>
          <w:tcPr>
            <w:tcW w:w="4320" w:type="dxa"/>
            <w:vAlign w:val="bottom"/>
            <w:tcBorders>
              <w:bottom w:val="single" w:sz="8" w:color="9A9A9A"/>
            </w:tcBorders>
          </w:tcPr>
          <w:p>
            <w:pPr>
              <w:spacing w:after="0"/>
              <w:rPr>
                <w:sz w:val="15"/>
                <w:szCs w:val="15"/>
                <w:color w:val="auto"/>
              </w:rPr>
            </w:pPr>
          </w:p>
        </w:tc>
        <w:tc>
          <w:tcPr>
            <w:tcW w:w="61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5" w:name="page16"/>
    <w:bookmarkEnd w:id="1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Organization and Background</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Organization</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 headquarters are located in Vancouver, WA, and we operate in six offices throughout the U.S. and one office in Israel.</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Reorganization Transactions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connection with the IPO, the Company completed the following transactions (“Reorganization Transactions”):</w:t>
      </w:r>
    </w:p>
    <w:p>
      <w:pPr>
        <w:spacing w:after="0" w:line="116" w:lineRule="exact"/>
        <w:rPr>
          <w:sz w:val="20"/>
          <w:szCs w:val="20"/>
          <w:color w:val="auto"/>
        </w:rPr>
      </w:pPr>
    </w:p>
    <w:p>
      <w:pPr>
        <w:ind w:left="420" w:hanging="209"/>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ZoomInfo OpCo effected a four—for—one reverse unit split;</w:t>
      </w:r>
    </w:p>
    <w:p>
      <w:pPr>
        <w:spacing w:after="0" w:line="116" w:lineRule="exact"/>
        <w:rPr>
          <w:rFonts w:ascii="Arial" w:cs="Arial" w:eastAsia="Arial" w:hAnsi="Arial"/>
          <w:sz w:val="12"/>
          <w:szCs w:val="12"/>
          <w:color w:val="auto"/>
        </w:rPr>
      </w:pPr>
    </w:p>
    <w:p>
      <w:pPr>
        <w:jc w:val="both"/>
        <w:ind w:left="420" w:hanging="209"/>
        <w:spacing w:after="0" w:line="261"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6" w:name="page17"/>
    <w:bookmarkEnd w:id="1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Organization and Background (continued)</w:t>
      </w:r>
    </w:p>
    <w:p>
      <w:pPr>
        <w:spacing w:after="0" w:line="302" w:lineRule="exact"/>
        <w:rPr>
          <w:sz w:val="20"/>
          <w:szCs w:val="20"/>
          <w:color w:val="auto"/>
        </w:rPr>
      </w:pPr>
    </w:p>
    <w:p>
      <w:pPr>
        <w:ind w:left="420" w:hanging="209"/>
        <w:spacing w:after="0" w:line="280"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77" w:lineRule="exact"/>
        <w:rPr>
          <w:rFonts w:ascii="Arial" w:cs="Arial" w:eastAsia="Arial" w:hAnsi="Arial"/>
          <w:sz w:val="12"/>
          <w:szCs w:val="12"/>
          <w:color w:val="auto"/>
        </w:rPr>
      </w:pPr>
    </w:p>
    <w:p>
      <w:pPr>
        <w:jc w:val="both"/>
        <w:ind w:left="420" w:right="20" w:hanging="209"/>
        <w:spacing w:after="0" w:line="266"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8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Following the Reorganization Transactions and IPO and as of June 30, 2020, ZoomInfo Technologies Inc. owned 98% of the outstanding HoldCo Units, and ZoomInfo HoldCo owned 39% of the outstanding OpCo Units.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connection with the Reorganization Transactions and the IPO, ZoomInfo Technologies Inc. entered into two tax receivable agreements. See Note 16.</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Restatement of Previously Issued Unaudited Condensed Consolidated Financial Statements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The Company has restated these financial statements to make a change relating to our accounting for income taxes. In connection with the preparation of the Company’s unaudited condensed consolidated financial statements as of and for the periods ended September 30, 2020, the Company reviewed its determination of a tax benefit of approximately $21.6 million related to the difference between the GAAP basis and tax basis of partnerships owned by corporations within the Company’s corporate structure recorded during the quarterly period ended June 30, 2020 in the Company’s unaudited condensed consolidated financial statements as of and for the periods ended June 30, 2020. In the Company's current judgement, it should not have recorded the tax benefit.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effects of the restatement on the line items within the Company’s unaudited Condensed Consolidated Balance Sheet as of June 30, 2020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6"/>
              </w:rPr>
              <w:t>June 30, 2020</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0"/>
        </w:trPr>
        <w:tc>
          <w:tcPr>
            <w:tcW w:w="638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20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Originally Reported</w:t>
            </w:r>
          </w:p>
        </w:tc>
        <w:tc>
          <w:tcPr>
            <w:tcW w:w="28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5"/>
              </w:rPr>
              <w:t>Adjustments</w:t>
            </w:r>
          </w:p>
        </w:tc>
        <w:tc>
          <w:tcPr>
            <w:tcW w:w="320" w:type="dxa"/>
            <w:vAlign w:val="bottom"/>
          </w:tcPr>
          <w:p>
            <w:pPr>
              <w:spacing w:after="0"/>
              <w:rPr>
                <w:sz w:val="17"/>
                <w:szCs w:val="17"/>
                <w:color w:val="auto"/>
              </w:rPr>
            </w:pPr>
          </w:p>
        </w:tc>
        <w:tc>
          <w:tcPr>
            <w:tcW w:w="1260" w:type="dxa"/>
            <w:vAlign w:val="bottom"/>
          </w:tcPr>
          <w:p>
            <w:pPr>
              <w:jc w:val="right"/>
              <w:ind w:right="481"/>
              <w:spacing w:after="0"/>
              <w:rPr>
                <w:sz w:val="20"/>
                <w:szCs w:val="20"/>
                <w:color w:val="auto"/>
              </w:rPr>
            </w:pPr>
            <w:r>
              <w:rPr>
                <w:rFonts w:ascii="Arial" w:cs="Arial" w:eastAsia="Arial" w:hAnsi="Arial"/>
                <w:sz w:val="10"/>
                <w:szCs w:val="10"/>
                <w:b w:val="1"/>
                <w:bCs w:val="1"/>
                <w:color w:val="auto"/>
              </w:rPr>
              <w:t>As Restated</w:t>
            </w:r>
          </w:p>
        </w:tc>
      </w:tr>
      <w:tr>
        <w:trPr>
          <w:trHeight w:val="17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211.9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149.6</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Tax receivable agreements liability, net of current portion</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109.4</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98.4</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406.9</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(40.5)</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366.4</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r>
      <w:tr>
        <w:trPr>
          <w:trHeight w:val="163"/>
        </w:trPr>
        <w:tc>
          <w:tcPr>
            <w:tcW w:w="638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457.9</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450.2</w:t>
            </w:r>
          </w:p>
        </w:tc>
      </w:tr>
    </w:tbl>
    <w:p>
      <w:pPr>
        <w:spacing w:after="0" w:line="11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effects of the restatement on the line items within the Company’s unaudited Consolidated Statement of Operations for the six months ended June 30, 2020 are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7" w:name="page18"/>
    <w:bookmarkEnd w:id="17"/>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Note 1 - Organization and Background (continued)</w:t>
      </w:r>
    </w:p>
    <w:p>
      <w:pPr>
        <w:spacing w:after="0" w:line="332"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Six Months Ended June 30, 2020</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2"/>
                <w:szCs w:val="12"/>
                <w:i w:val="1"/>
                <w:iCs w:val="1"/>
                <w:color w:val="auto"/>
              </w:rPr>
              <w:t>(in millions, except per share amounts)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Originally Reported</w:t>
            </w:r>
          </w:p>
        </w:tc>
        <w:tc>
          <w:tcPr>
            <w:tcW w:w="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Adjustments</w:t>
            </w:r>
            <w:r>
              <w:rPr>
                <w:rFonts w:ascii="Arial" w:cs="Arial" w:eastAsia="Arial" w:hAnsi="Arial"/>
                <w:sz w:val="12"/>
                <w:szCs w:val="12"/>
                <w:b w:val="1"/>
                <w:bCs w:val="1"/>
                <w:color w:val="auto"/>
                <w:w w:val="85"/>
                <w:vertAlign w:val="superscript"/>
              </w:rPr>
              <w:t>(1)</w:t>
            </w:r>
          </w:p>
        </w:tc>
        <w:tc>
          <w:tcPr>
            <w:tcW w:w="320" w:type="dxa"/>
            <w:vAlign w:val="bottom"/>
          </w:tcPr>
          <w:p>
            <w:pPr>
              <w:spacing w:after="0"/>
              <w:rPr>
                <w:sz w:val="18"/>
                <w:szCs w:val="18"/>
                <w:color w:val="auto"/>
              </w:rPr>
            </w:pPr>
          </w:p>
        </w:tc>
        <w:tc>
          <w:tcPr>
            <w:tcW w:w="1260" w:type="dxa"/>
            <w:vAlign w:val="bottom"/>
          </w:tcPr>
          <w:p>
            <w:pPr>
              <w:jc w:val="right"/>
              <w:ind w:right="481"/>
              <w:spacing w:after="0"/>
              <w:rPr>
                <w:sz w:val="20"/>
                <w:szCs w:val="20"/>
                <w:color w:val="auto"/>
              </w:rPr>
            </w:pPr>
            <w:r>
              <w:rPr>
                <w:rFonts w:ascii="Arial" w:cs="Arial" w:eastAsia="Arial" w:hAnsi="Arial"/>
                <w:sz w:val="10"/>
                <w:szCs w:val="10"/>
                <w:b w:val="1"/>
                <w:bCs w:val="1"/>
                <w:color w:val="auto"/>
              </w:rPr>
              <w:t>As Restated</w:t>
            </w:r>
          </w:p>
        </w:tc>
      </w:tr>
      <w:tr>
        <w:trPr>
          <w:trHeight w:val="171"/>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Benefit (expense) from income taxes</w:t>
            </w: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r>
      <w:tr>
        <w:trPr>
          <w:trHeight w:val="172"/>
        </w:trPr>
        <w:tc>
          <w:tcPr>
            <w:tcW w:w="6380" w:type="dxa"/>
            <w:vAlign w:val="bottom"/>
          </w:tcPr>
          <w:p>
            <w:pPr>
              <w:ind w:left="80"/>
              <w:spacing w:after="0"/>
              <w:rPr>
                <w:sz w:val="20"/>
                <w:szCs w:val="20"/>
                <w:color w:val="auto"/>
              </w:rPr>
            </w:pPr>
            <w:r>
              <w:rPr>
                <w:rFonts w:ascii="Arial" w:cs="Arial" w:eastAsia="Arial" w:hAnsi="Arial"/>
                <w:sz w:val="12"/>
                <w:szCs w:val="12"/>
                <w:b w:val="1"/>
                <w:bCs w:val="1"/>
                <w:color w:val="auto"/>
              </w:rPr>
              <w:t>Net income (loss)</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(62.1)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(83.8)</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ZoomInfo OpCo prior to the Reorganization Transactions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ind w:left="13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Less: Net income (loss) attributable to noncontrolling interests</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(44.3)</w:t>
            </w:r>
          </w:p>
        </w:tc>
      </w:tr>
      <w:tr>
        <w:trPr>
          <w:trHeight w:val="191"/>
        </w:trPr>
        <w:tc>
          <w:tcPr>
            <w:tcW w:w="6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Net income (loss) attributable to ZoomInfo Technologies Inc.</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Net income (loss) per share of Class A and Class C common stock:</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(0.30)</w:t>
            </w:r>
          </w:p>
        </w:tc>
      </w:tr>
      <w:tr>
        <w:trPr>
          <w:trHeight w:val="163"/>
        </w:trPr>
        <w:tc>
          <w:tcPr>
            <w:tcW w:w="6380" w:type="dxa"/>
            <w:vAlign w:val="bottom"/>
          </w:tcPr>
          <w:p>
            <w:pPr>
              <w:spacing w:after="0"/>
              <w:rPr>
                <w:sz w:val="20"/>
                <w:szCs w:val="20"/>
                <w:color w:val="auto"/>
              </w:rPr>
            </w:pPr>
            <w:r>
              <w:rPr>
                <w:rFonts w:ascii="Arial" w:cs="Arial" w:eastAsia="Arial" w:hAnsi="Arial"/>
                <w:sz w:val="12"/>
                <w:szCs w:val="12"/>
                <w:color w:val="auto"/>
              </w:rPr>
              <w:t>Diluted</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(0.22)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(0.30)</w:t>
            </w:r>
          </w:p>
        </w:tc>
      </w:tr>
    </w:tbl>
    <w:p>
      <w:pPr>
        <w:spacing w:after="0" w:line="84" w:lineRule="exact"/>
        <w:rPr>
          <w:sz w:val="20"/>
          <w:szCs w:val="20"/>
          <w:color w:val="auto"/>
        </w:rPr>
      </w:pPr>
    </w:p>
    <w:p>
      <w:pPr>
        <w:ind w:left="107" w:hanging="107"/>
        <w:spacing w:after="0"/>
        <w:tabs>
          <w:tab w:leader="none" w:pos="107" w:val="left"/>
        </w:tabs>
        <w:numPr>
          <w:ilvl w:val="0"/>
          <w:numId w:val="12"/>
        </w:numPr>
        <w:rPr>
          <w:rFonts w:ascii="Arial" w:cs="Arial" w:eastAsia="Arial" w:hAnsi="Arial"/>
          <w:sz w:val="13"/>
          <w:szCs w:val="13"/>
          <w:color w:val="auto"/>
          <w:vertAlign w:val="superscript"/>
        </w:rPr>
      </w:pPr>
      <w:r>
        <w:rPr>
          <w:rFonts w:ascii="Arial" w:cs="Arial" w:eastAsia="Arial" w:hAnsi="Arial"/>
          <w:sz w:val="8"/>
          <w:szCs w:val="8"/>
          <w:color w:val="auto"/>
        </w:rPr>
        <w:t>May not foot and crossfoot due to rounding</w:t>
      </w:r>
    </w:p>
    <w:p>
      <w:pPr>
        <w:spacing w:after="0" w:line="10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effects of the restatement on the line items within the Company’s Consolidated Statement of Operations for the three months ended June 30, 2020 are as follows:</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89"/>
              </w:rPr>
              <w:t>Three Months Ended June 30, 2020</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2"/>
                <w:szCs w:val="12"/>
                <w:i w:val="1"/>
                <w:iCs w:val="1"/>
                <w:color w:val="auto"/>
              </w:rPr>
              <w:t>(in millions, except per share amounts)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Originally Reported</w:t>
            </w:r>
          </w:p>
        </w:tc>
        <w:tc>
          <w:tcPr>
            <w:tcW w:w="28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Adjustments</w:t>
            </w:r>
            <w:r>
              <w:rPr>
                <w:rFonts w:ascii="Arial" w:cs="Arial" w:eastAsia="Arial" w:hAnsi="Arial"/>
                <w:sz w:val="12"/>
                <w:szCs w:val="12"/>
                <w:b w:val="1"/>
                <w:bCs w:val="1"/>
                <w:color w:val="auto"/>
                <w:vertAlign w:val="superscript"/>
              </w:rPr>
              <w:t>(1)</w:t>
            </w:r>
          </w:p>
        </w:tc>
        <w:tc>
          <w:tcPr>
            <w:tcW w:w="320" w:type="dxa"/>
            <w:vAlign w:val="bottom"/>
          </w:tcPr>
          <w:p>
            <w:pPr>
              <w:spacing w:after="0"/>
              <w:rPr>
                <w:sz w:val="18"/>
                <w:szCs w:val="18"/>
                <w:color w:val="auto"/>
              </w:rPr>
            </w:pPr>
          </w:p>
        </w:tc>
        <w:tc>
          <w:tcPr>
            <w:tcW w:w="1260" w:type="dxa"/>
            <w:vAlign w:val="bottom"/>
          </w:tcPr>
          <w:p>
            <w:pPr>
              <w:jc w:val="right"/>
              <w:ind w:right="481"/>
              <w:spacing w:after="0"/>
              <w:rPr>
                <w:sz w:val="20"/>
                <w:szCs w:val="20"/>
                <w:color w:val="auto"/>
              </w:rPr>
            </w:pPr>
            <w:r>
              <w:rPr>
                <w:rFonts w:ascii="Arial" w:cs="Arial" w:eastAsia="Arial" w:hAnsi="Arial"/>
                <w:sz w:val="10"/>
                <w:szCs w:val="10"/>
                <w:b w:val="1"/>
                <w:bCs w:val="1"/>
                <w:color w:val="auto"/>
              </w:rPr>
              <w:t>As Restated</w:t>
            </w:r>
          </w:p>
        </w:tc>
      </w:tr>
      <w:tr>
        <w:trPr>
          <w:trHeight w:val="171"/>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Benefit (expense) from income taxes</w:t>
            </w: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r>
      <w:tr>
        <w:trPr>
          <w:trHeight w:val="172"/>
        </w:trPr>
        <w:tc>
          <w:tcPr>
            <w:tcW w:w="6380" w:type="dxa"/>
            <w:vAlign w:val="bottom"/>
          </w:tcPr>
          <w:p>
            <w:pPr>
              <w:ind w:left="80"/>
              <w:spacing w:after="0"/>
              <w:rPr>
                <w:sz w:val="20"/>
                <w:szCs w:val="20"/>
                <w:color w:val="auto"/>
              </w:rPr>
            </w:pPr>
            <w:r>
              <w:rPr>
                <w:rFonts w:ascii="Arial" w:cs="Arial" w:eastAsia="Arial" w:hAnsi="Arial"/>
                <w:sz w:val="12"/>
                <w:szCs w:val="12"/>
                <w:b w:val="1"/>
                <w:bCs w:val="1"/>
                <w:color w:val="auto"/>
              </w:rPr>
              <w:t>Net income (loss)</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(56.2)</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(77.9)</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ZoomInfo OpCo prior to the Reorganization Transactions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0.8</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Less: Net income (loss) attributable to noncontrolling interests</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(44.3)</w:t>
            </w:r>
          </w:p>
        </w:tc>
      </w:tr>
      <w:tr>
        <w:trPr>
          <w:trHeight w:val="191"/>
        </w:trPr>
        <w:tc>
          <w:tcPr>
            <w:tcW w:w="6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Net income (loss) attributable to ZoomInfo Technologies Inc.</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Net income (loss) per share of Class A and Class C common stock:</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(0.30)</w:t>
            </w:r>
          </w:p>
        </w:tc>
      </w:tr>
      <w:tr>
        <w:trPr>
          <w:trHeight w:val="163"/>
        </w:trPr>
        <w:tc>
          <w:tcPr>
            <w:tcW w:w="6380" w:type="dxa"/>
            <w:vAlign w:val="bottom"/>
          </w:tcPr>
          <w:p>
            <w:pPr>
              <w:spacing w:after="0"/>
              <w:rPr>
                <w:sz w:val="20"/>
                <w:szCs w:val="20"/>
                <w:color w:val="auto"/>
              </w:rPr>
            </w:pPr>
            <w:r>
              <w:rPr>
                <w:rFonts w:ascii="Arial" w:cs="Arial" w:eastAsia="Arial" w:hAnsi="Arial"/>
                <w:sz w:val="12"/>
                <w:szCs w:val="12"/>
                <w:color w:val="auto"/>
              </w:rPr>
              <w:t>Diluted</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(0.22)</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(0.30)</w:t>
            </w:r>
          </w:p>
        </w:tc>
      </w:tr>
    </w:tbl>
    <w:p>
      <w:pPr>
        <w:spacing w:after="0" w:line="84" w:lineRule="exact"/>
        <w:rPr>
          <w:sz w:val="20"/>
          <w:szCs w:val="20"/>
          <w:color w:val="auto"/>
        </w:rPr>
      </w:pPr>
    </w:p>
    <w:p>
      <w:pPr>
        <w:ind w:left="107" w:hanging="107"/>
        <w:spacing w:after="0"/>
        <w:tabs>
          <w:tab w:leader="none" w:pos="107" w:val="left"/>
        </w:tabs>
        <w:numPr>
          <w:ilvl w:val="0"/>
          <w:numId w:val="13"/>
        </w:numPr>
        <w:rPr>
          <w:rFonts w:ascii="Arial" w:cs="Arial" w:eastAsia="Arial" w:hAnsi="Arial"/>
          <w:sz w:val="13"/>
          <w:szCs w:val="13"/>
          <w:color w:val="auto"/>
          <w:vertAlign w:val="superscript"/>
        </w:rPr>
      </w:pPr>
      <w:r>
        <w:rPr>
          <w:rFonts w:ascii="Arial" w:cs="Arial" w:eastAsia="Arial" w:hAnsi="Arial"/>
          <w:sz w:val="8"/>
          <w:szCs w:val="8"/>
          <w:color w:val="auto"/>
        </w:rPr>
        <w:t>May not foot or crossfoot due to rounding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8" w:name="page19"/>
    <w:bookmarkEnd w:id="18"/>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Note 1 - Organization and Background (continued)</w:t>
      </w:r>
    </w:p>
    <w:p>
      <w:pPr>
        <w:spacing w:after="0" w:line="30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effects of the restatement on the line items within the Company’s Consolidated Statement of Comprehensive Loss for the three months ended June 30, 2020 are as follows:</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89"/>
              </w:rPr>
              <w:t>Three Months Ended June 30, 2020</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Originally Reported</w:t>
            </w:r>
          </w:p>
        </w:tc>
        <w:tc>
          <w:tcPr>
            <w:tcW w:w="28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Adjustments</w:t>
            </w:r>
            <w:r>
              <w:rPr>
                <w:rFonts w:ascii="Arial" w:cs="Arial" w:eastAsia="Arial" w:hAnsi="Arial"/>
                <w:sz w:val="12"/>
                <w:szCs w:val="12"/>
                <w:b w:val="1"/>
                <w:bCs w:val="1"/>
                <w:color w:val="auto"/>
                <w:vertAlign w:val="superscript"/>
              </w:rPr>
              <w:t>(1)</w:t>
            </w:r>
          </w:p>
        </w:tc>
        <w:tc>
          <w:tcPr>
            <w:tcW w:w="320" w:type="dxa"/>
            <w:vAlign w:val="bottom"/>
          </w:tcPr>
          <w:p>
            <w:pPr>
              <w:spacing w:after="0"/>
              <w:rPr>
                <w:sz w:val="18"/>
                <w:szCs w:val="18"/>
                <w:color w:val="auto"/>
              </w:rPr>
            </w:pPr>
          </w:p>
        </w:tc>
        <w:tc>
          <w:tcPr>
            <w:tcW w:w="1260" w:type="dxa"/>
            <w:vAlign w:val="bottom"/>
          </w:tcPr>
          <w:p>
            <w:pPr>
              <w:jc w:val="right"/>
              <w:ind w:right="481"/>
              <w:spacing w:after="0"/>
              <w:rPr>
                <w:sz w:val="20"/>
                <w:szCs w:val="20"/>
                <w:color w:val="auto"/>
              </w:rPr>
            </w:pPr>
            <w:r>
              <w:rPr>
                <w:rFonts w:ascii="Arial" w:cs="Arial" w:eastAsia="Arial" w:hAnsi="Arial"/>
                <w:sz w:val="10"/>
                <w:szCs w:val="10"/>
                <w:b w:val="1"/>
                <w:bCs w:val="1"/>
                <w:color w:val="auto"/>
              </w:rPr>
              <w:t>As Restated</w:t>
            </w:r>
          </w:p>
        </w:tc>
      </w:tr>
      <w:tr>
        <w:trPr>
          <w:trHeight w:val="171"/>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(77.9)</w:t>
            </w:r>
          </w:p>
        </w:tc>
      </w:tr>
      <w:tr>
        <w:trPr>
          <w:trHeight w:val="172"/>
        </w:trPr>
        <w:tc>
          <w:tcPr>
            <w:tcW w:w="6380" w:type="dxa"/>
            <w:vAlign w:val="bottom"/>
          </w:tcPr>
          <w:p>
            <w:pPr>
              <w:ind w:left="160"/>
              <w:spacing w:after="0"/>
              <w:rPr>
                <w:sz w:val="20"/>
                <w:szCs w:val="20"/>
                <w:color w:val="auto"/>
              </w:rPr>
            </w:pPr>
            <w:r>
              <w:rPr>
                <w:rFonts w:ascii="Arial" w:cs="Arial" w:eastAsia="Arial" w:hAnsi="Arial"/>
                <w:sz w:val="12"/>
                <w:szCs w:val="12"/>
                <w:color w:val="auto"/>
              </w:rPr>
              <w:t>Other comprehensive income (loss), net of tax</w:t>
            </w:r>
          </w:p>
        </w:tc>
        <w:tc>
          <w:tcPr>
            <w:tcW w:w="20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2.4</w:t>
            </w:r>
          </w:p>
        </w:tc>
      </w:tr>
      <w:tr>
        <w:trPr>
          <w:trHeight w:val="180"/>
        </w:trPr>
        <w:tc>
          <w:tcPr>
            <w:tcW w:w="63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Comprehensive income (loss)</w:t>
            </w: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w:t>
            </w:r>
          </w:p>
        </w:tc>
      </w:tr>
      <w:tr>
        <w:trPr>
          <w:trHeight w:val="172"/>
        </w:trPr>
        <w:tc>
          <w:tcPr>
            <w:tcW w:w="6380" w:type="dxa"/>
            <w:vAlign w:val="bottom"/>
          </w:tcPr>
          <w:p>
            <w:pPr>
              <w:ind w:left="160"/>
              <w:spacing w:after="0"/>
              <w:rPr>
                <w:sz w:val="20"/>
                <w:szCs w:val="20"/>
                <w:color w:val="auto"/>
              </w:rPr>
            </w:pPr>
            <w:r>
              <w:rPr>
                <w:rFonts w:ascii="Arial" w:cs="Arial" w:eastAsia="Arial" w:hAnsi="Arial"/>
                <w:sz w:val="12"/>
                <w:szCs w:val="12"/>
                <w:color w:val="auto"/>
              </w:rPr>
              <w:t>Less: Net income attributable to ZoomInfo OpCo prior to the Reorganization Transactions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182"/>
        </w:trPr>
        <w:tc>
          <w:tcPr>
            <w:tcW w:w="6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Less: Comprehensive income (loss) attributable to noncontrolling interests</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w:t>
            </w:r>
          </w:p>
        </w:tc>
      </w:tr>
      <w:tr>
        <w:trPr>
          <w:trHeight w:val="161"/>
        </w:trPr>
        <w:tc>
          <w:tcPr>
            <w:tcW w:w="6380" w:type="dxa"/>
            <w:vAlign w:val="bottom"/>
          </w:tcPr>
          <w:p>
            <w:pPr>
              <w:spacing w:after="0"/>
              <w:rPr>
                <w:sz w:val="20"/>
                <w:szCs w:val="20"/>
                <w:color w:val="auto"/>
              </w:rPr>
            </w:pPr>
            <w:r>
              <w:rPr>
                <w:rFonts w:ascii="Arial" w:cs="Arial" w:eastAsia="Arial" w:hAnsi="Arial"/>
                <w:sz w:val="12"/>
                <w:szCs w:val="12"/>
                <w:b w:val="1"/>
                <w:bCs w:val="1"/>
                <w:color w:val="auto"/>
              </w:rPr>
              <w:t>Comprehensive income (loss) attributable to ZoomInfo Technologies Inc.</w:t>
            </w:r>
          </w:p>
        </w:tc>
        <w:tc>
          <w:tcPr>
            <w:tcW w:w="200" w:type="dxa"/>
            <w:vAlign w:val="bottom"/>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b w:val="1"/>
                <w:bCs w:val="1"/>
                <w:color w:val="auto"/>
              </w:rPr>
              <w:t>(19.3)</w:t>
            </w:r>
          </w:p>
        </w:tc>
        <w:tc>
          <w:tcPr>
            <w:tcW w:w="10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(14.0)</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(33.3)</w:t>
            </w:r>
          </w:p>
        </w:tc>
      </w:tr>
    </w:tbl>
    <w:p>
      <w:pPr>
        <w:spacing w:after="0" w:line="84" w:lineRule="exact"/>
        <w:rPr>
          <w:sz w:val="20"/>
          <w:szCs w:val="20"/>
          <w:color w:val="auto"/>
        </w:rPr>
      </w:pPr>
    </w:p>
    <w:p>
      <w:pPr>
        <w:ind w:left="107" w:hanging="107"/>
        <w:spacing w:after="0"/>
        <w:tabs>
          <w:tab w:leader="none" w:pos="107" w:val="left"/>
        </w:tabs>
        <w:numPr>
          <w:ilvl w:val="0"/>
          <w:numId w:val="14"/>
        </w:numPr>
        <w:rPr>
          <w:rFonts w:ascii="Arial" w:cs="Arial" w:eastAsia="Arial" w:hAnsi="Arial"/>
          <w:sz w:val="13"/>
          <w:szCs w:val="13"/>
          <w:color w:val="auto"/>
          <w:vertAlign w:val="superscript"/>
        </w:rPr>
      </w:pPr>
      <w:r>
        <w:rPr>
          <w:rFonts w:ascii="Arial" w:cs="Arial" w:eastAsia="Arial" w:hAnsi="Arial"/>
          <w:sz w:val="8"/>
          <w:szCs w:val="8"/>
          <w:color w:val="auto"/>
        </w:rPr>
        <w:t>May not foot or crossfoot due to rounding</w:t>
      </w:r>
    </w:p>
    <w:p>
      <w:pPr>
        <w:spacing w:after="0" w:line="10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effects of the restatement on the line items within the Company’s Consolidated Statement of Comprehensive Loss for the six months ended June 30, 2020 are as follows:</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Six Months Ended June 30, 2020</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Originally Reported</w:t>
            </w:r>
          </w:p>
        </w:tc>
        <w:tc>
          <w:tcPr>
            <w:tcW w:w="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Adjustments</w:t>
            </w:r>
            <w:r>
              <w:rPr>
                <w:rFonts w:ascii="Arial" w:cs="Arial" w:eastAsia="Arial" w:hAnsi="Arial"/>
                <w:sz w:val="12"/>
                <w:szCs w:val="12"/>
                <w:b w:val="1"/>
                <w:bCs w:val="1"/>
                <w:color w:val="auto"/>
                <w:w w:val="85"/>
                <w:vertAlign w:val="superscript"/>
              </w:rPr>
              <w:t>(1)</w:t>
            </w:r>
          </w:p>
        </w:tc>
        <w:tc>
          <w:tcPr>
            <w:tcW w:w="320" w:type="dxa"/>
            <w:vAlign w:val="bottom"/>
          </w:tcPr>
          <w:p>
            <w:pPr>
              <w:spacing w:after="0"/>
              <w:rPr>
                <w:sz w:val="18"/>
                <w:szCs w:val="18"/>
                <w:color w:val="auto"/>
              </w:rPr>
            </w:pPr>
          </w:p>
        </w:tc>
        <w:tc>
          <w:tcPr>
            <w:tcW w:w="1260" w:type="dxa"/>
            <w:vAlign w:val="bottom"/>
          </w:tcPr>
          <w:p>
            <w:pPr>
              <w:jc w:val="right"/>
              <w:ind w:right="481"/>
              <w:spacing w:after="0"/>
              <w:rPr>
                <w:sz w:val="20"/>
                <w:szCs w:val="20"/>
                <w:color w:val="auto"/>
              </w:rPr>
            </w:pPr>
            <w:r>
              <w:rPr>
                <w:rFonts w:ascii="Arial" w:cs="Arial" w:eastAsia="Arial" w:hAnsi="Arial"/>
                <w:sz w:val="10"/>
                <w:szCs w:val="10"/>
                <w:b w:val="1"/>
                <w:bCs w:val="1"/>
                <w:color w:val="auto"/>
              </w:rPr>
              <w:t>As Restated</w:t>
            </w:r>
          </w:p>
        </w:tc>
      </w:tr>
      <w:tr>
        <w:trPr>
          <w:trHeight w:val="171"/>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(83.8)</w:t>
            </w:r>
          </w:p>
        </w:tc>
      </w:tr>
      <w:tr>
        <w:trPr>
          <w:trHeight w:val="172"/>
        </w:trPr>
        <w:tc>
          <w:tcPr>
            <w:tcW w:w="6380" w:type="dxa"/>
            <w:vAlign w:val="bottom"/>
          </w:tcPr>
          <w:p>
            <w:pPr>
              <w:ind w:left="160"/>
              <w:spacing w:after="0"/>
              <w:rPr>
                <w:sz w:val="20"/>
                <w:szCs w:val="20"/>
                <w:color w:val="auto"/>
              </w:rPr>
            </w:pPr>
            <w:r>
              <w:rPr>
                <w:rFonts w:ascii="Arial" w:cs="Arial" w:eastAsia="Arial" w:hAnsi="Arial"/>
                <w:sz w:val="12"/>
                <w:szCs w:val="12"/>
                <w:color w:val="auto"/>
              </w:rPr>
              <w:t>Other comprehensive income (loss), net of tax</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80"/>
        </w:trPr>
        <w:tc>
          <w:tcPr>
            <w:tcW w:w="63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Comprehensive income (loss)</w:t>
            </w: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(88.1)</w:t>
            </w:r>
          </w:p>
        </w:tc>
      </w:tr>
      <w:tr>
        <w:trPr>
          <w:trHeight w:val="172"/>
        </w:trPr>
        <w:tc>
          <w:tcPr>
            <w:tcW w:w="6380" w:type="dxa"/>
            <w:vAlign w:val="bottom"/>
          </w:tcPr>
          <w:p>
            <w:pPr>
              <w:ind w:left="160"/>
              <w:spacing w:after="0"/>
              <w:rPr>
                <w:sz w:val="20"/>
                <w:szCs w:val="20"/>
                <w:color w:val="auto"/>
              </w:rPr>
            </w:pPr>
            <w:r>
              <w:rPr>
                <w:rFonts w:ascii="Arial" w:cs="Arial" w:eastAsia="Arial" w:hAnsi="Arial"/>
                <w:sz w:val="12"/>
                <w:szCs w:val="12"/>
                <w:color w:val="auto"/>
              </w:rPr>
              <w:t>Less: Net income attributable to ZoomInfo OpCo prior to the Reorganization Transactions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13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82"/>
        </w:trPr>
        <w:tc>
          <w:tcPr>
            <w:tcW w:w="6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Less: Comprehensive income (loss) attributable to noncontrolling interests</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w:t>
            </w:r>
          </w:p>
        </w:tc>
      </w:tr>
      <w:tr>
        <w:trPr>
          <w:trHeight w:val="161"/>
        </w:trPr>
        <w:tc>
          <w:tcPr>
            <w:tcW w:w="6380" w:type="dxa"/>
            <w:vAlign w:val="bottom"/>
          </w:tcPr>
          <w:p>
            <w:pPr>
              <w:spacing w:after="0"/>
              <w:rPr>
                <w:sz w:val="20"/>
                <w:szCs w:val="20"/>
                <w:color w:val="auto"/>
              </w:rPr>
            </w:pPr>
            <w:r>
              <w:rPr>
                <w:rFonts w:ascii="Arial" w:cs="Arial" w:eastAsia="Arial" w:hAnsi="Arial"/>
                <w:sz w:val="12"/>
                <w:szCs w:val="12"/>
                <w:b w:val="1"/>
                <w:bCs w:val="1"/>
                <w:color w:val="auto"/>
              </w:rPr>
              <w:t>Comprehensive income (loss) attributable to ZoomInfo Technologies Inc.</w:t>
            </w:r>
          </w:p>
        </w:tc>
        <w:tc>
          <w:tcPr>
            <w:tcW w:w="200" w:type="dxa"/>
            <w:vAlign w:val="bottom"/>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b w:val="1"/>
                <w:bCs w:val="1"/>
                <w:color w:val="auto"/>
              </w:rPr>
              <w:t>(19.3)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(14.0)</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(33.3)</w:t>
            </w:r>
          </w:p>
        </w:tc>
      </w:tr>
    </w:tbl>
    <w:p>
      <w:pPr>
        <w:spacing w:after="0" w:line="84" w:lineRule="exact"/>
        <w:rPr>
          <w:sz w:val="20"/>
          <w:szCs w:val="20"/>
          <w:color w:val="auto"/>
        </w:rPr>
      </w:pPr>
    </w:p>
    <w:p>
      <w:pPr>
        <w:ind w:left="107" w:hanging="107"/>
        <w:spacing w:after="0"/>
        <w:tabs>
          <w:tab w:leader="none" w:pos="107" w:val="left"/>
        </w:tabs>
        <w:numPr>
          <w:ilvl w:val="0"/>
          <w:numId w:val="15"/>
        </w:numPr>
        <w:rPr>
          <w:rFonts w:ascii="Arial" w:cs="Arial" w:eastAsia="Arial" w:hAnsi="Arial"/>
          <w:sz w:val="13"/>
          <w:szCs w:val="13"/>
          <w:color w:val="auto"/>
          <w:vertAlign w:val="superscript"/>
        </w:rPr>
      </w:pPr>
      <w:r>
        <w:rPr>
          <w:rFonts w:ascii="Arial" w:cs="Arial" w:eastAsia="Arial" w:hAnsi="Arial"/>
          <w:sz w:val="8"/>
          <w:szCs w:val="8"/>
          <w:color w:val="auto"/>
        </w:rPr>
        <w:t>May not foot or crossfoot due to rounding</w:t>
      </w:r>
    </w:p>
    <w:p>
      <w:pPr>
        <w:spacing w:after="0" w:line="103" w:lineRule="exact"/>
        <w:rPr>
          <w:sz w:val="20"/>
          <w:szCs w:val="20"/>
          <w:color w:val="auto"/>
        </w:rPr>
      </w:pPr>
    </w:p>
    <w:p>
      <w:pPr>
        <w:ind w:left="227"/>
        <w:spacing w:after="0"/>
        <w:rPr>
          <w:sz w:val="20"/>
          <w:szCs w:val="20"/>
          <w:color w:val="auto"/>
        </w:rPr>
      </w:pPr>
      <w:r>
        <w:rPr>
          <w:rFonts w:ascii="Arial" w:cs="Arial" w:eastAsia="Arial" w:hAnsi="Arial"/>
          <w:sz w:val="11"/>
          <w:szCs w:val="11"/>
          <w:color w:val="auto"/>
        </w:rPr>
        <w:t>Although there was with no impact to net cash provided by operating activities, net cash used in investing activities, or net cash provided by financing activities, the effects of the restatement on the line items within the unaudited</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2"/>
          <w:szCs w:val="12"/>
          <w:color w:val="auto"/>
        </w:rPr>
        <w:t>Consolidated Statement of Cash Flows for the six months ended June 30, 2020 are as follows: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Six Months Ended June 30, 2020</w:t>
            </w: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Originally Reported</w:t>
            </w:r>
          </w:p>
        </w:tc>
        <w:tc>
          <w:tcPr>
            <w:tcW w:w="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Adjustments</w:t>
            </w:r>
            <w:r>
              <w:rPr>
                <w:rFonts w:ascii="Arial" w:cs="Arial" w:eastAsia="Arial" w:hAnsi="Arial"/>
                <w:sz w:val="12"/>
                <w:szCs w:val="12"/>
                <w:b w:val="1"/>
                <w:bCs w:val="1"/>
                <w:color w:val="auto"/>
                <w:w w:val="85"/>
                <w:vertAlign w:val="superscript"/>
              </w:rPr>
              <w:t>(1)</w:t>
            </w:r>
          </w:p>
        </w:tc>
        <w:tc>
          <w:tcPr>
            <w:tcW w:w="320" w:type="dxa"/>
            <w:vAlign w:val="bottom"/>
          </w:tcPr>
          <w:p>
            <w:pPr>
              <w:spacing w:after="0"/>
              <w:rPr>
                <w:sz w:val="18"/>
                <w:szCs w:val="18"/>
                <w:color w:val="auto"/>
              </w:rPr>
            </w:pPr>
          </w:p>
        </w:tc>
        <w:tc>
          <w:tcPr>
            <w:tcW w:w="1260" w:type="dxa"/>
            <w:vAlign w:val="bottom"/>
          </w:tcPr>
          <w:p>
            <w:pPr>
              <w:jc w:val="right"/>
              <w:ind w:right="483"/>
              <w:spacing w:after="0"/>
              <w:rPr>
                <w:sz w:val="20"/>
                <w:szCs w:val="20"/>
                <w:color w:val="auto"/>
              </w:rPr>
            </w:pPr>
            <w:r>
              <w:rPr>
                <w:rFonts w:ascii="Arial" w:cs="Arial" w:eastAsia="Arial" w:hAnsi="Arial"/>
                <w:sz w:val="10"/>
                <w:szCs w:val="10"/>
                <w:b w:val="1"/>
                <w:bCs w:val="1"/>
                <w:color w:val="auto"/>
              </w:rPr>
              <w:t>As Restated</w:t>
            </w:r>
          </w:p>
        </w:tc>
      </w:tr>
      <w:tr>
        <w:trPr>
          <w:trHeight w:val="171"/>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shd w:val="clear" w:color="auto" w:fill="CCEEFF"/>
          </w:tcPr>
          <w:p>
            <w:pPr>
              <w:jc w:val="center"/>
              <w:ind w:left="983"/>
              <w:spacing w:after="0"/>
              <w:rPr>
                <w:sz w:val="20"/>
                <w:szCs w:val="20"/>
                <w:color w:val="auto"/>
              </w:rPr>
            </w:pPr>
            <w:r>
              <w:rPr>
                <w:rFonts w:ascii="Arial" w:cs="Arial" w:eastAsia="Arial" w:hAnsi="Arial"/>
                <w:sz w:val="12"/>
                <w:szCs w:val="12"/>
                <w:color w:val="auto"/>
                <w:w w:val="95"/>
              </w:rPr>
              <w:t>(62.1)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(83.8)</w:t>
            </w:r>
          </w:p>
        </w:tc>
      </w:tr>
      <w:tr>
        <w:trPr>
          <w:trHeight w:val="172"/>
        </w:trPr>
        <w:tc>
          <w:tcPr>
            <w:tcW w:w="6380" w:type="dxa"/>
            <w:vAlign w:val="bottom"/>
          </w:tcPr>
          <w:p>
            <w:pPr>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tcPr>
          <w:p>
            <w:pPr>
              <w:jc w:val="center"/>
              <w:ind w:left="983"/>
              <w:spacing w:after="0"/>
              <w:rPr>
                <w:sz w:val="20"/>
                <w:szCs w:val="20"/>
                <w:color w:val="auto"/>
              </w:rPr>
            </w:pPr>
            <w:r>
              <w:rPr>
                <w:rFonts w:ascii="Arial" w:cs="Arial" w:eastAsia="Arial" w:hAnsi="Arial"/>
                <w:sz w:val="12"/>
                <w:szCs w:val="12"/>
                <w:color w:val="auto"/>
                <w:w w:val="95"/>
              </w:rPr>
              <w:t>(18.5)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3.2</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center"/>
              <w:ind w:left="1003"/>
              <w:spacing w:after="0"/>
              <w:rPr>
                <w:sz w:val="20"/>
                <w:szCs w:val="20"/>
                <w:color w:val="auto"/>
              </w:rPr>
            </w:pPr>
            <w:r>
              <w:rPr>
                <w:rFonts w:ascii="Arial" w:cs="Arial" w:eastAsia="Arial" w:hAnsi="Arial"/>
                <w:sz w:val="12"/>
                <w:szCs w:val="12"/>
                <w:color w:val="auto"/>
                <w:w w:val="85"/>
              </w:rPr>
              <w:t>53.6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53.6</w:t>
            </w:r>
          </w:p>
        </w:tc>
      </w:tr>
    </w:tbl>
    <w:p>
      <w:pPr>
        <w:spacing w:after="0" w:line="65" w:lineRule="exact"/>
        <w:rPr>
          <w:sz w:val="20"/>
          <w:szCs w:val="20"/>
          <w:color w:val="auto"/>
        </w:rPr>
      </w:pPr>
    </w:p>
    <w:p>
      <w:pPr>
        <w:ind w:left="107" w:hanging="107"/>
        <w:spacing w:after="0"/>
        <w:tabs>
          <w:tab w:leader="none" w:pos="107" w:val="left"/>
        </w:tabs>
        <w:numPr>
          <w:ilvl w:val="0"/>
          <w:numId w:val="16"/>
        </w:numPr>
        <w:rPr>
          <w:rFonts w:ascii="Arial" w:cs="Arial" w:eastAsia="Arial" w:hAnsi="Arial"/>
          <w:sz w:val="13"/>
          <w:szCs w:val="13"/>
          <w:color w:val="auto"/>
          <w:vertAlign w:val="superscript"/>
        </w:rPr>
      </w:pPr>
      <w:r>
        <w:rPr>
          <w:rFonts w:ascii="Arial" w:cs="Arial" w:eastAsia="Arial" w:hAnsi="Arial"/>
          <w:sz w:val="8"/>
          <w:szCs w:val="8"/>
          <w:color w:val="auto"/>
        </w:rPr>
        <w:t>May not crossfoot due to rounding</w:t>
      </w:r>
    </w:p>
    <w:p>
      <w:pPr>
        <w:spacing w:after="0" w:line="10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impacts of the restatement have been reflected throughout the financial statements, including the applicable footnotes, as appropriate.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9" w:name="page20"/>
    <w:bookmarkEnd w:id="19"/>
    <w:p>
      <w:pPr>
        <w:ind w:left="7"/>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16" w:lineRule="exact"/>
        <w:rPr>
          <w:sz w:val="20"/>
          <w:szCs w:val="20"/>
          <w:color w:val="auto"/>
        </w:rPr>
      </w:pPr>
    </w:p>
    <w:p>
      <w:pPr>
        <w:jc w:val="both"/>
        <w:ind w:left="7" w:firstLine="218"/>
        <w:spacing w:after="0" w:line="301" w:lineRule="auto"/>
        <w:rPr>
          <w:sz w:val="20"/>
          <w:szCs w:val="20"/>
          <w:color w:val="auto"/>
        </w:rPr>
      </w:pPr>
      <w:r>
        <w:rPr>
          <w:rFonts w:ascii="Arial" w:cs="Arial" w:eastAsia="Arial" w:hAnsi="Arial"/>
          <w:sz w:val="11"/>
          <w:szCs w:val="11"/>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69"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results of operations for the three and six months ended June 30, 2020 are not necessarily indicative of the operating results that may be expected for the full fiscal year ending December 31, 2020 or any future period.</w:t>
      </w:r>
    </w:p>
    <w:p>
      <w:pPr>
        <w:spacing w:after="0" w:line="128" w:lineRule="exact"/>
        <w:rPr>
          <w:sz w:val="20"/>
          <w:szCs w:val="20"/>
          <w:color w:val="auto"/>
        </w:rPr>
      </w:pPr>
    </w:p>
    <w:p>
      <w:pPr>
        <w:jc w:val="both"/>
        <w:ind w:left="7" w:firstLine="218"/>
        <w:spacing w:after="0" w:line="261" w:lineRule="auto"/>
        <w:rPr>
          <w:sz w:val="20"/>
          <w:szCs w:val="20"/>
          <w:color w:val="auto"/>
        </w:rPr>
      </w:pPr>
      <w:r>
        <w:rPr>
          <w:rFonts w:ascii="Arial" w:cs="Arial" w:eastAsia="Arial" w:hAnsi="Arial"/>
          <w:sz w:val="12"/>
          <w:szCs w:val="12"/>
          <w:color w:val="auto"/>
        </w:rPr>
        <w:t>The accompanying unaudited consolidated financial statements contain all adjustments necessary for a fair statement of financial position as of June 30, 2020, and results of operations for the three and six months ended June 30, 2020 and 2019, and cash flows for the six months ended June 30, 2020 and 2019. The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16" w:lineRule="exact"/>
        <w:rPr>
          <w:sz w:val="20"/>
          <w:szCs w:val="20"/>
          <w:color w:val="auto"/>
        </w:rPr>
      </w:pPr>
    </w:p>
    <w:p>
      <w:pPr>
        <w:jc w:val="both"/>
        <w:ind w:left="7" w:right="20" w:firstLine="218"/>
        <w:spacing w:after="0" w:line="280" w:lineRule="auto"/>
        <w:rPr>
          <w:sz w:val="20"/>
          <w:szCs w:val="20"/>
          <w:color w:val="auto"/>
        </w:rPr>
      </w:pPr>
      <w:r>
        <w:rPr>
          <w:rFonts w:ascii="Arial" w:cs="Arial" w:eastAsia="Arial" w:hAnsi="Arial"/>
          <w:sz w:val="12"/>
          <w:szCs w:val="12"/>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77" w:lineRule="exact"/>
        <w:rPr>
          <w:sz w:val="20"/>
          <w:szCs w:val="20"/>
          <w:color w:val="auto"/>
        </w:rPr>
      </w:pPr>
    </w:p>
    <w:p>
      <w:pPr>
        <w:jc w:val="both"/>
        <w:ind w:left="7" w:firstLine="218"/>
        <w:spacing w:after="0" w:line="259" w:lineRule="auto"/>
        <w:rPr>
          <w:sz w:val="20"/>
          <w:szCs w:val="20"/>
          <w:color w:val="auto"/>
        </w:rPr>
      </w:pPr>
      <w:r>
        <w:rPr>
          <w:rFonts w:ascii="Arial" w:cs="Arial" w:eastAsia="Arial" w:hAnsi="Arial"/>
          <w:sz w:val="12"/>
          <w:szCs w:val="12"/>
          <w:color w:val="auto"/>
        </w:rPr>
        <w:t>ZoomInfo Technologies Inc., through our intermediate holding company ZoomInfo Holdco, owns a minority economic interest in, and operates and controls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91" w:lineRule="exact"/>
        <w:rPr>
          <w:sz w:val="20"/>
          <w:szCs w:val="20"/>
          <w:color w:val="auto"/>
        </w:rPr>
      </w:pPr>
    </w:p>
    <w:p>
      <w:pPr>
        <w:jc w:val="both"/>
        <w:ind w:left="7" w:firstLine="218"/>
        <w:spacing w:after="0" w:line="281" w:lineRule="auto"/>
        <w:rPr>
          <w:sz w:val="20"/>
          <w:szCs w:val="20"/>
          <w:color w:val="auto"/>
        </w:rPr>
      </w:pPr>
      <w:r>
        <w:rPr>
          <w:rFonts w:ascii="Arial" w:cs="Arial" w:eastAsia="Arial" w:hAnsi="Arial"/>
          <w:sz w:val="11"/>
          <w:szCs w:val="11"/>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w:t>
      </w:r>
    </w:p>
    <w:p>
      <w:pPr>
        <w:ind w:left="7" w:right="20" w:hanging="7"/>
        <w:spacing w:after="0" w:line="265" w:lineRule="auto"/>
        <w:tabs>
          <w:tab w:leader="none" w:pos="2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assets and liabilities of ZoomInfo OpCo and ZoomInfo Technologies Inc. at their historical cost; and (iv) ZoomInfo Technologies Inc. equity structure for all periods presented. No step-up basis of intangible assets or goodwill was recorded.</w:t>
      </w:r>
    </w:p>
    <w:p>
      <w:pPr>
        <w:spacing w:after="0" w:line="86" w:lineRule="exact"/>
        <w:rPr>
          <w:sz w:val="20"/>
          <w:szCs w:val="20"/>
          <w:color w:val="auto"/>
        </w:rPr>
      </w:pPr>
    </w:p>
    <w:p>
      <w:pPr>
        <w:ind w:left="7" w:firstLine="218"/>
        <w:spacing w:after="0" w:line="327" w:lineRule="auto"/>
        <w:rPr>
          <w:sz w:val="20"/>
          <w:szCs w:val="20"/>
          <w:color w:val="auto"/>
        </w:rPr>
      </w:pPr>
      <w:r>
        <w:rPr>
          <w:rFonts w:ascii="Arial" w:cs="Arial" w:eastAsia="Arial" w:hAnsi="Arial"/>
          <w:sz w:val="11"/>
          <w:szCs w:val="11"/>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180" w:right="299" w:bottom="1440" w:gutter="0" w:footer="0" w:header="0"/>
        </w:sectPr>
      </w:pPr>
    </w:p>
    <w:bookmarkStart w:id="20" w:name="page21"/>
    <w:bookmarkEnd w:id="2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16"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quarterly or annually in advance of delivery.</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 accounts for revenue contracts with customers through the following steps:</w:t>
      </w:r>
    </w:p>
    <w:p>
      <w:pPr>
        <w:spacing w:after="0" w:line="116" w:lineRule="exact"/>
        <w:rPr>
          <w:sz w:val="20"/>
          <w:szCs w:val="20"/>
          <w:color w:val="auto"/>
        </w:rPr>
      </w:pPr>
    </w:p>
    <w:p>
      <w:pPr>
        <w:ind w:left="420" w:hanging="20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identify the contract with a customer;</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identify the performance obligations in the contract;</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determine the transaction price;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allocate the transaction price;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recognize revenue when or as the Company satisfies a performance obligation.</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later codified as Accounting Standards Codification (“ASC”) Topic 606 (collectively with subsequent amendments, “Topic 606”). The Company estimates these amounts based on historical experience and reduces revenue recognized.</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Level 1 - Observable inputs that reflect unadjusted quoted prices in active markets for identical assets or liabilities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Level 2 - Other inputs that are directly or indirectly observable in the marketplace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1" w:name="page22"/>
    <w:bookmarkEnd w:id="2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Level 3 - Unobservable inputs that are supported by little or no market activity, including the Company’s own assumptions in determining fair value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inputs or methodology used for valuing financial assets and liabilities are not necessarily an indication of the risk associated with investing in them.</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Cash and cash equivalents consist of highly liquid investments with maturities of three months or less at the time of purchase.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 and Significant Customers</w:t>
      </w:r>
    </w:p>
    <w:p>
      <w:pPr>
        <w:spacing w:after="0" w:line="116"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six months ended June 30, 2020 and 2019, or accounted for more than 10% of accounts receivable as of June 30, 2020 and December 31, 2019. Net assets located outside of the United States were immaterial as of June 30, 2020 and December 31, 2019.</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 and Contract Assets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Accounts receivable is comprised of invoices of revenue, net of allowance for doubtful accounts and does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June 30, 2020 and December 31, 2019.</w:t>
      </w:r>
    </w:p>
    <w:p>
      <w:pPr>
        <w:spacing w:after="0" w:line="9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116" w:lineRule="exact"/>
        <w:rPr>
          <w:sz w:val="20"/>
          <w:szCs w:val="20"/>
          <w:color w:val="auto"/>
        </w:rPr>
      </w:pPr>
    </w:p>
    <w:p>
      <w:pPr>
        <w:jc w:val="both"/>
        <w:ind w:right="20" w:firstLine="218"/>
        <w:spacing w:after="0" w:line="301" w:lineRule="auto"/>
        <w:rPr>
          <w:sz w:val="20"/>
          <w:szCs w:val="20"/>
          <w:color w:val="auto"/>
        </w:rPr>
      </w:pPr>
      <w:r>
        <w:rPr>
          <w:rFonts w:ascii="Arial" w:cs="Arial" w:eastAsia="Arial" w:hAnsi="Arial"/>
          <w:sz w:val="11"/>
          <w:szCs w:val="11"/>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Commissions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2"/>
          <w:szCs w:val="12"/>
          <w:i w:val="1"/>
          <w:iCs w:val="1"/>
          <w:color w:val="auto"/>
        </w:rPr>
        <w:t>Deferred costs</w:t>
      </w:r>
      <w:r>
        <w:rPr>
          <w:rFonts w:ascii="Arial" w:cs="Arial" w:eastAsia="Arial" w:hAnsi="Arial"/>
          <w:sz w:val="12"/>
          <w:szCs w:val="12"/>
          <w:color w:val="auto"/>
        </w:rPr>
        <w:t xml:space="preserve"> and noncurrent amounts are included in </w:t>
      </w:r>
      <w:r>
        <w:rPr>
          <w:rFonts w:ascii="Arial" w:cs="Arial" w:eastAsia="Arial" w:hAnsi="Arial"/>
          <w:sz w:val="12"/>
          <w:szCs w:val="12"/>
          <w:i w:val="1"/>
          <w:iCs w:val="1"/>
          <w:color w:val="auto"/>
        </w:rPr>
        <w:t>Deferred costs, net of current portion</w:t>
      </w:r>
      <w:r>
        <w:rPr>
          <w:rFonts w:ascii="Arial" w:cs="Arial" w:eastAsia="Arial" w:hAnsi="Arial"/>
          <w:sz w:val="12"/>
          <w:szCs w:val="12"/>
          <w:color w:val="auto"/>
        </w:rPr>
        <w:t xml:space="preserve"> in our consolidated balance sheets. Deferred sales commissions are amortized on a straight-line basis over the 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 of operations.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Certain commissions are not capitalized as they do not represent incremental costs of obtaining a contract. Such commissions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 and Promotional Expenses</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Company expenses advertising costs as incurred in accordance with ASC 720-35, Other Expenses - Advertising Cost. Advertising expenses of $2.5 million and $5.4 million were recorded for the three and six months ended June 30, 2020. Advertising expenses of $1.7 million and $3.4 million were recorded for the three and six months ended June 30, 2019. Advertising expenses are included in Sales and marketing on the consolidated statement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Restructuring and Transaction-Related Expenses</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16" w:lineRule="exact"/>
        <w:rPr>
          <w:sz w:val="20"/>
          <w:szCs w:val="20"/>
          <w:color w:val="auto"/>
        </w:rPr>
      </w:pPr>
    </w:p>
    <w:p>
      <w:pPr>
        <w:jc w:val="both"/>
        <w:ind w:right="20" w:firstLine="218"/>
        <w:spacing w:after="0" w:line="292" w:lineRule="auto"/>
        <w:rPr>
          <w:sz w:val="20"/>
          <w:szCs w:val="20"/>
          <w:color w:val="auto"/>
        </w:rPr>
      </w:pPr>
      <w:r>
        <w:rPr>
          <w:rFonts w:ascii="Arial" w:cs="Arial" w:eastAsia="Arial" w:hAnsi="Arial"/>
          <w:sz w:val="11"/>
          <w:szCs w:val="11"/>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74"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final determination of the fair value of assets acquired or liabilities assumed, whichever comes first, any subsequent adjustments are recorded to earnings.</w:t>
      </w:r>
    </w:p>
    <w:p>
      <w:pPr>
        <w:spacing w:after="0" w:line="11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Acquired Intangible Assets</w:t>
      </w:r>
    </w:p>
    <w:p>
      <w:pPr>
        <w:spacing w:after="0" w:line="11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77"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8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Acquired technology, customer lists, trade names or brand portfolios, and other intangible assets are related to previous acquisitions (see Note 6). Acquired intangible assets are amortized on a straight-line basis over the estimated period over which we expect to realize economic value related to the intangible asset. The amortization periods range from 2 years to 15 years.</w:t>
      </w:r>
    </w:p>
    <w:p>
      <w:pPr>
        <w:spacing w:after="0" w:line="77"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under ASC 350 is necessary. No impairment charges were recorded for the three and six month periods ended June 30, 2020 and 2019.</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do not have any finance leases. Operating leases are recorded in our Condensed Consolidated Balance Sheets. Right-of-use assets and lease liabilities are measured at the lease commencement date based on the present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jc w:val="both"/>
        <w:spacing w:after="0" w:line="323" w:lineRule="auto"/>
        <w:rPr>
          <w:sz w:val="20"/>
          <w:szCs w:val="20"/>
          <w:color w:val="auto"/>
        </w:rPr>
      </w:pPr>
      <w:r>
        <w:rPr>
          <w:rFonts w:ascii="Arial" w:cs="Arial" w:eastAsia="Arial" w:hAnsi="Arial"/>
          <w:sz w:val="10"/>
          <w:szCs w:val="10"/>
          <w:color w:val="auto"/>
        </w:rPr>
        <w:t>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Unearned Revenue</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Issuance Costs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1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77"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77"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8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8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Equity-Based Compensation Expense</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91"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77"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69"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55"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 Not Yet Adopted</w:t>
      </w:r>
    </w:p>
    <w:p>
      <w:pPr>
        <w:spacing w:after="0" w:line="116" w:lineRule="exact"/>
        <w:rPr>
          <w:sz w:val="20"/>
          <w:szCs w:val="20"/>
          <w:color w:val="auto"/>
        </w:rPr>
      </w:pPr>
    </w:p>
    <w:p>
      <w:pPr>
        <w:jc w:val="both"/>
        <w:ind w:firstLine="218"/>
        <w:spacing w:after="0" w:line="330" w:lineRule="auto"/>
        <w:rPr>
          <w:sz w:val="20"/>
          <w:szCs w:val="20"/>
          <w:color w:val="auto"/>
        </w:rPr>
      </w:pPr>
      <w:r>
        <w:rPr>
          <w:rFonts w:ascii="Arial" w:cs="Arial" w:eastAsia="Arial" w:hAnsi="Arial"/>
          <w:sz w:val="10"/>
          <w:szCs w:val="10"/>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6" w:name="page27"/>
    <w:bookmarkEnd w:id="2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Basis of Presentation and Summary of Significant Accounting Policies (continued)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Adopted Accounting Pronouncements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91"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Revenue from Contracts with Customers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Detail</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Revenue comprised the following service offerings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0"/>
                <w:szCs w:val="10"/>
                <w:b w:val="1"/>
                <w:bCs w:val="1"/>
                <w:color w:val="auto"/>
                <w:w w:val="88"/>
              </w:rPr>
              <w:t>Three Months Ended June 30,</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60" w:type="dxa"/>
            <w:vAlign w:val="bottom"/>
            <w:tcBorders>
              <w:bottom w:val="single" w:sz="8" w:color="auto"/>
            </w:tcBorders>
          </w:tcPr>
          <w:p>
            <w:pPr>
              <w:spacing w:after="0"/>
              <w:rPr>
                <w:sz w:val="11"/>
                <w:szCs w:val="11"/>
                <w:color w:val="auto"/>
              </w:rPr>
            </w:pPr>
          </w:p>
        </w:tc>
      </w:tr>
      <w:tr>
        <w:trPr>
          <w:trHeight w:val="134"/>
        </w:trPr>
        <w:tc>
          <w:tcPr>
            <w:tcW w:w="52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98"/>
              </w:rPr>
              <w:t>2019</w:t>
            </w:r>
          </w:p>
        </w:tc>
      </w:tr>
      <w:tr>
        <w:trPr>
          <w:trHeight w:val="179"/>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Subscription</w:t>
            </w:r>
          </w:p>
        </w:tc>
        <w:tc>
          <w:tcPr>
            <w:tcW w:w="840" w:type="dxa"/>
            <w:vAlign w:val="bottom"/>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109.7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w:t>
            </w:r>
          </w:p>
        </w:tc>
      </w:tr>
      <w:tr>
        <w:trPr>
          <w:trHeight w:val="172"/>
        </w:trPr>
        <w:tc>
          <w:tcPr>
            <w:tcW w:w="5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Usage-based</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r>
      <w:tr>
        <w:trPr>
          <w:trHeight w:val="19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w:t>
            </w:r>
          </w:p>
        </w:tc>
        <w:tc>
          <w:tcPr>
            <w:tcW w:w="8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110.9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213.1</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123.1</w:t>
            </w:r>
          </w:p>
        </w:tc>
      </w:tr>
    </w:tbl>
    <w:p>
      <w:pPr>
        <w:spacing w:after="0" w:line="20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8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Usage-based revenue is comprised of email verification services, which is a service whereby customers can verify that emails are valid prior to sending and can be helpful to avoid wasting resources or being flagged as sending spam. We recognize revenue from email verification services at the point in time the services are consumed by the customer, thereby satisfying our performance obligation.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Revenue from Contracts with Customers (continued)</w:t>
      </w:r>
    </w:p>
    <w:p>
      <w:pPr>
        <w:spacing w:after="0" w:line="302"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Of the total revenue recognized in the three and six months ended June 30, 2020, $41.7 million and $116.5 million were included in the unearned revenue balance as of December 31, 2019, respectively. Of the total revenue recognized in the three and six months ended June 30, 2019, $12.5 million and $39.4 million were included in the unearned revenue balance as of December 31, 2018, respectively. Revenue recognized from performance obligations satisfied (or partially satisfied) in previous periods was not material for the three and six months ended June 30, 2020 and 2019.</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Revenues derived from customers and partners located outside the United States, as determined based on the address provided by our customers and partners, accounted for approximately 9% and 8% of our total revenues in the three months ended June 30, 2020 and 2019, respectively. Revenues derived from customers and partners located outside the United States accounted for approximately 8% and 8% of our total revenues in the six months ended June 30, 2020 and 2019, respectively. We have no Company sales offices located in a foreign country as of June 30, 2020, and we contract exclusively with our customers in the United States Dollar.</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Assets and Unearned Revenue</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69"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 xml:space="preserve">As of June 30, 2020 and December 31, 2019, the Company had contract assets of $1.2 million and $0.1 million, respectively, which are recorded as current assets within </w:t>
      </w:r>
      <w:r>
        <w:rPr>
          <w:rFonts w:ascii="Arial" w:cs="Arial" w:eastAsia="Arial" w:hAnsi="Arial"/>
          <w:sz w:val="12"/>
          <w:szCs w:val="12"/>
          <w:i w:val="1"/>
          <w:iCs w:val="1"/>
          <w:color w:val="auto"/>
        </w:rPr>
        <w:t>Prepaid expenses and other current assets</w:t>
      </w:r>
      <w:r>
        <w:rPr>
          <w:rFonts w:ascii="Arial" w:cs="Arial" w:eastAsia="Arial" w:hAnsi="Arial"/>
          <w:sz w:val="12"/>
          <w:szCs w:val="12"/>
          <w:color w:val="auto"/>
        </w:rPr>
        <w:t xml:space="preserve"> in the consolidated balance sheets. As of June 30, 2020 and December 31, 2019, the Company had unearned revenue of $172.1 million and $159.1 million, respectively.</w:t>
      </w:r>
    </w:p>
    <w:p>
      <w:pPr>
        <w:spacing w:after="0" w:line="77" w:lineRule="exact"/>
        <w:rPr>
          <w:sz w:val="20"/>
          <w:szCs w:val="20"/>
          <w:color w:val="auto"/>
        </w:rPr>
      </w:pPr>
    </w:p>
    <w:p>
      <w:pPr>
        <w:jc w:val="both"/>
        <w:ind w:firstLine="218"/>
        <w:spacing w:after="0" w:line="330" w:lineRule="auto"/>
        <w:rPr>
          <w:sz w:val="20"/>
          <w:szCs w:val="20"/>
          <w:color w:val="auto"/>
        </w:rPr>
      </w:pPr>
      <w:r>
        <w:rPr>
          <w:rFonts w:ascii="Arial" w:cs="Arial" w:eastAsia="Arial" w:hAnsi="Arial"/>
          <w:sz w:val="10"/>
          <w:szCs w:val="10"/>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remaining performance obligations consisted of the following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ind w:left="80"/>
              <w:spacing w:after="0"/>
              <w:rPr>
                <w:sz w:val="20"/>
                <w:szCs w:val="20"/>
                <w:color w:val="auto"/>
              </w:rPr>
            </w:pPr>
            <w:r>
              <w:rPr>
                <w:rFonts w:ascii="Arial" w:cs="Arial" w:eastAsia="Arial" w:hAnsi="Arial"/>
                <w:sz w:val="10"/>
                <w:szCs w:val="10"/>
                <w:b w:val="1"/>
                <w:bCs w:val="1"/>
                <w:color w:val="auto"/>
              </w:rPr>
              <w:t>Recognized within one year</w:t>
            </w:r>
          </w:p>
        </w:tc>
        <w:tc>
          <w:tcPr>
            <w:tcW w:w="1160" w:type="dxa"/>
            <w:vAlign w:val="bottom"/>
          </w:tcPr>
          <w:p>
            <w:pPr>
              <w:jc w:val="right"/>
              <w:ind w:right="91"/>
              <w:spacing w:after="0"/>
              <w:rPr>
                <w:sz w:val="20"/>
                <w:szCs w:val="20"/>
                <w:color w:val="auto"/>
              </w:rPr>
            </w:pPr>
            <w:r>
              <w:rPr>
                <w:rFonts w:ascii="Arial" w:cs="Arial" w:eastAsia="Arial" w:hAnsi="Arial"/>
                <w:sz w:val="10"/>
                <w:szCs w:val="10"/>
                <w:b w:val="1"/>
                <w:bCs w:val="1"/>
                <w:color w:val="auto"/>
              </w:rPr>
              <w:t>Noncurrent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626"/>
              <w:spacing w:after="0"/>
              <w:rPr>
                <w:sz w:val="20"/>
                <w:szCs w:val="20"/>
                <w:color w:val="auto"/>
              </w:rPr>
            </w:pPr>
            <w:r>
              <w:rPr>
                <w:rFonts w:ascii="Arial" w:cs="Arial" w:eastAsia="Arial" w:hAnsi="Arial"/>
                <w:sz w:val="10"/>
                <w:szCs w:val="10"/>
                <w:b w:val="1"/>
                <w:bCs w:val="1"/>
                <w:color w:val="auto"/>
              </w:rPr>
              <w:t>Total</w:t>
            </w:r>
          </w:p>
        </w:tc>
      </w:tr>
      <w:tr>
        <w:trPr>
          <w:trHeight w:val="17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As of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319.5</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05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413.5</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8" w:name="page29"/>
    <w:bookmarkEnd w:id="28"/>
    <w:p>
      <w:pPr>
        <w:ind w:left="260"/>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Business Combinations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Komiko</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72"/>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Contingent earnout payments</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r>
      <w:tr>
        <w:trPr>
          <w:trHeight w:val="196"/>
        </w:trPr>
        <w:tc>
          <w:tcPr>
            <w:tcW w:w="9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purchase consideration</w:t>
            </w:r>
          </w:p>
        </w:tc>
        <w:tc>
          <w:tcPr>
            <w:tcW w:w="72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r>
    </w:tbl>
    <w:p>
      <w:pPr>
        <w:spacing w:after="0" w:line="173"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and six months ended June 30, 2020, the Company recognized an additional liability of $0.7 million and $1.7 million relating to the Komiko contingent payments.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720" w:type="dxa"/>
            <w:vAlign w:val="bottom"/>
          </w:tcPr>
          <w:p>
            <w:pPr>
              <w:ind w:left="220"/>
              <w:spacing w:after="0"/>
              <w:rPr>
                <w:sz w:val="20"/>
                <w:szCs w:val="20"/>
                <w:color w:val="auto"/>
              </w:rPr>
            </w:pPr>
            <w:r>
              <w:rPr>
                <w:rFonts w:ascii="Arial" w:cs="Arial" w:eastAsia="Arial" w:hAnsi="Arial"/>
                <w:sz w:val="12"/>
                <w:szCs w:val="12"/>
                <w:color w:val="auto"/>
              </w:rPr>
              <w:t>The following table summarizes the fair values of the assets acquired and liabilities assumed, as of the date of acquisition (in millions):</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27"/>
        </w:trPr>
        <w:tc>
          <w:tcPr>
            <w:tcW w:w="9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Developed technology</w:t>
            </w:r>
          </w:p>
        </w:tc>
        <w:tc>
          <w:tcPr>
            <w:tcW w:w="700" w:type="dxa"/>
            <w:vAlign w:val="bottom"/>
            <w:shd w:val="clear" w:color="auto" w:fill="CCEEFF"/>
          </w:tcPr>
          <w:p>
            <w:pPr>
              <w:jc w:val="right"/>
              <w:ind w:right="55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center"/>
              <w:ind w:left="559"/>
              <w:spacing w:after="0"/>
              <w:rPr>
                <w:sz w:val="20"/>
                <w:szCs w:val="20"/>
                <w:color w:val="auto"/>
              </w:rPr>
            </w:pPr>
            <w:r>
              <w:rPr>
                <w:rFonts w:ascii="Arial" w:cs="Arial" w:eastAsia="Arial" w:hAnsi="Arial"/>
                <w:sz w:val="12"/>
                <w:szCs w:val="12"/>
                <w:color w:val="auto"/>
                <w:w w:val="83"/>
              </w:rPr>
              <w:t>2.4</w:t>
            </w:r>
          </w:p>
        </w:tc>
      </w:tr>
      <w:tr>
        <w:trPr>
          <w:trHeight w:val="172"/>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Unearned revenue</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539"/>
              <w:spacing w:after="0"/>
              <w:rPr>
                <w:sz w:val="20"/>
                <w:szCs w:val="20"/>
                <w:color w:val="auto"/>
              </w:rPr>
            </w:pPr>
            <w:r>
              <w:rPr>
                <w:rFonts w:ascii="Arial" w:cs="Arial" w:eastAsia="Arial" w:hAnsi="Arial"/>
                <w:sz w:val="12"/>
                <w:szCs w:val="12"/>
                <w:color w:val="auto"/>
                <w:w w:val="97"/>
              </w:rPr>
              <w:t>(0.2)</w:t>
            </w:r>
          </w:p>
        </w:tc>
      </w:tr>
      <w:tr>
        <w:trPr>
          <w:trHeight w:val="180"/>
        </w:trPr>
        <w:tc>
          <w:tcPr>
            <w:tcW w:w="9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identifiable net assets acquired</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559"/>
              <w:spacing w:after="0"/>
              <w:rPr>
                <w:sz w:val="20"/>
                <w:szCs w:val="20"/>
                <w:color w:val="auto"/>
              </w:rPr>
            </w:pPr>
            <w:r>
              <w:rPr>
                <w:rFonts w:ascii="Arial" w:cs="Arial" w:eastAsia="Arial" w:hAnsi="Arial"/>
                <w:sz w:val="12"/>
                <w:szCs w:val="12"/>
                <w:color w:val="auto"/>
                <w:w w:val="83"/>
              </w:rPr>
              <w:t>2.2</w:t>
            </w:r>
          </w:p>
        </w:tc>
      </w:tr>
      <w:tr>
        <w:trPr>
          <w:trHeight w:val="172"/>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Goodwill</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559"/>
              <w:spacing w:after="0"/>
              <w:rPr>
                <w:sz w:val="20"/>
                <w:szCs w:val="20"/>
                <w:color w:val="auto"/>
              </w:rPr>
            </w:pPr>
            <w:r>
              <w:rPr>
                <w:rFonts w:ascii="Arial" w:cs="Arial" w:eastAsia="Arial" w:hAnsi="Arial"/>
                <w:sz w:val="12"/>
                <w:szCs w:val="12"/>
                <w:color w:val="auto"/>
                <w:w w:val="83"/>
              </w:rPr>
              <w:t>6.3</w:t>
            </w:r>
          </w:p>
        </w:tc>
      </w:tr>
      <w:tr>
        <w:trPr>
          <w:trHeight w:val="180"/>
        </w:trPr>
        <w:tc>
          <w:tcPr>
            <w:tcW w:w="9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consideration</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559"/>
              <w:spacing w:after="0"/>
              <w:rPr>
                <w:sz w:val="20"/>
                <w:szCs w:val="20"/>
                <w:color w:val="auto"/>
              </w:rPr>
            </w:pPr>
            <w:r>
              <w:rPr>
                <w:rFonts w:ascii="Arial" w:cs="Arial" w:eastAsia="Arial" w:hAnsi="Arial"/>
                <w:sz w:val="12"/>
                <w:szCs w:val="12"/>
                <w:color w:val="auto"/>
                <w:w w:val="83"/>
              </w:rPr>
              <w:t>8.5</w:t>
            </w:r>
          </w:p>
        </w:tc>
      </w:tr>
      <w:tr>
        <w:trPr>
          <w:trHeight w:val="172"/>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Contingent earnout payments</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539"/>
              <w:spacing w:after="0"/>
              <w:rPr>
                <w:sz w:val="20"/>
                <w:szCs w:val="20"/>
                <w:color w:val="auto"/>
              </w:rPr>
            </w:pPr>
            <w:r>
              <w:rPr>
                <w:rFonts w:ascii="Arial" w:cs="Arial" w:eastAsia="Arial" w:hAnsi="Arial"/>
                <w:sz w:val="12"/>
                <w:szCs w:val="12"/>
                <w:color w:val="auto"/>
                <w:w w:val="97"/>
              </w:rPr>
              <w:t>(0.2)</w:t>
            </w:r>
          </w:p>
        </w:tc>
      </w:tr>
      <w:tr>
        <w:trPr>
          <w:trHeight w:val="196"/>
        </w:trPr>
        <w:tc>
          <w:tcPr>
            <w:tcW w:w="9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paid for acquisitions, net of cash acquired</w:t>
            </w:r>
          </w:p>
        </w:tc>
        <w:tc>
          <w:tcPr>
            <w:tcW w:w="7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2"/>
                <w:szCs w:val="12"/>
                <w:color w:val="auto"/>
                <w:w w:val="83"/>
              </w:rPr>
              <w:t>8.3</w:t>
            </w:r>
          </w:p>
        </w:tc>
      </w:tr>
    </w:tbl>
    <w:p>
      <w:pPr>
        <w:spacing w:after="0" w:line="173"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8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Pre-Acquisition ZI</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9" w:name="page30"/>
    <w:bookmarkEnd w:id="29"/>
    <w:p>
      <w:pPr>
        <w:ind w:left="260"/>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Note 4 - Business Combinations (continued)</w:t>
      </w:r>
    </w:p>
    <w:p>
      <w:pPr>
        <w:spacing w:after="0" w:line="302"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acquisition date fair value of the consideration paid by the Company for Pre-Acquisition ZI was $760.1 million, including cash acquired of $12.1 million, and was comprised of the following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Cash consideration</w:t>
            </w: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667.3</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Liability for equity award settlement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25.2</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Portion of replacement awards attributable to pre-acquisition service</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Other purchase consideration liabilities</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Deferred consideration</w:t>
            </w:r>
          </w:p>
        </w:tc>
        <w:tc>
          <w:tcPr>
            <w:tcW w:w="6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w:t>
            </w:r>
          </w:p>
        </w:tc>
      </w:tr>
      <w:tr>
        <w:trPr>
          <w:trHeight w:val="180"/>
        </w:trPr>
        <w:tc>
          <w:tcPr>
            <w:tcW w:w="9720" w:type="dxa"/>
            <w:vAlign w:val="bottom"/>
          </w:tcPr>
          <w:p>
            <w:pPr>
              <w:spacing w:after="0"/>
              <w:rPr>
                <w:sz w:val="20"/>
                <w:szCs w:val="20"/>
                <w:color w:val="auto"/>
              </w:rPr>
            </w:pPr>
            <w:r>
              <w:rPr>
                <w:rFonts w:ascii="Arial" w:cs="Arial" w:eastAsia="Arial" w:hAnsi="Arial"/>
                <w:sz w:val="12"/>
                <w:szCs w:val="12"/>
                <w:color w:val="auto"/>
              </w:rPr>
              <w:t>Total purchase consideration</w:t>
            </w:r>
          </w:p>
        </w:tc>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760.1</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 xml:space="preserve">In accordance with the purchase agreement, the Company agreed to pay deferred consideration of $25.0 million and $10.0 million on the first and second anniversary of the Pre-Acquisition ZI acquisition, respectively. As of June 30, 2020, $9.8 million was recorded in </w:t>
      </w:r>
      <w:r>
        <w:rPr>
          <w:rFonts w:ascii="Arial" w:cs="Arial" w:eastAsia="Arial" w:hAnsi="Arial"/>
          <w:sz w:val="12"/>
          <w:szCs w:val="12"/>
          <w:i w:val="1"/>
          <w:iCs w:val="1"/>
          <w:color w:val="auto"/>
        </w:rPr>
        <w:t>Accrued expenses and other current liabilities</w:t>
      </w:r>
      <w:r>
        <w:rPr>
          <w:rFonts w:ascii="Arial" w:cs="Arial" w:eastAsia="Arial" w:hAnsi="Arial"/>
          <w:sz w:val="12"/>
          <w:szCs w:val="12"/>
          <w:color w:val="auto"/>
        </w:rPr>
        <w:t xml:space="preserve"> on the Company’s consolidated balance sheets representing the present value of the $10.0 million deferred consideration to be paid in 2021. The fair value of the deferred consideration payments was determined using a present value calculation. The following table summarizes the fair values of the assets acquired and liabilities assumed, as of the date of acquisition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w:t>
            </w: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Accounts receivable</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22.1</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expenses and other assets</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Property and equipment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right-of-use assets</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Intangible assets</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322.0</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other liabilities</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Lease liabilities</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(28.6)</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w:t>
            </w:r>
          </w:p>
        </w:tc>
      </w:tr>
      <w:tr>
        <w:trPr>
          <w:trHeight w:val="172"/>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Unearned revenue</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w:t>
            </w:r>
          </w:p>
        </w:tc>
      </w:tr>
      <w:tr>
        <w:trPr>
          <w:trHeight w:val="180"/>
        </w:trPr>
        <w:tc>
          <w:tcPr>
            <w:tcW w:w="9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identifiable net assets acquired</w:t>
            </w: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245.3</w:t>
            </w:r>
          </w:p>
        </w:tc>
      </w:tr>
      <w:tr>
        <w:trPr>
          <w:trHeight w:val="172"/>
        </w:trPr>
        <w:tc>
          <w:tcPr>
            <w:tcW w:w="97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Goodwill</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514.8</w:t>
            </w:r>
          </w:p>
        </w:tc>
      </w:tr>
      <w:tr>
        <w:trPr>
          <w:trHeight w:val="171"/>
        </w:trPr>
        <w:tc>
          <w:tcPr>
            <w:tcW w:w="9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consideration</w:t>
            </w: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760.1</w:t>
            </w:r>
          </w:p>
        </w:tc>
      </w:tr>
      <w:tr>
        <w:trPr>
          <w:trHeight w:val="171"/>
        </w:trPr>
        <w:tc>
          <w:tcPr>
            <w:tcW w:w="9720" w:type="dxa"/>
            <w:vAlign w:val="bottom"/>
          </w:tcPr>
          <w:p>
            <w:pPr>
              <w:ind w:left="300"/>
              <w:spacing w:after="0"/>
              <w:rPr>
                <w:sz w:val="20"/>
                <w:szCs w:val="20"/>
                <w:color w:val="auto"/>
              </w:rPr>
            </w:pPr>
            <w:r>
              <w:rPr>
                <w:rFonts w:ascii="Arial" w:cs="Arial" w:eastAsia="Arial" w:hAnsi="Arial"/>
                <w:sz w:val="12"/>
                <w:szCs w:val="12"/>
                <w:color w:val="auto"/>
              </w:rPr>
              <w:t>Deferred consideration</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(33.2)</w:t>
            </w:r>
          </w:p>
        </w:tc>
      </w:tr>
      <w:tr>
        <w:trPr>
          <w:trHeight w:val="182"/>
        </w:trPr>
        <w:tc>
          <w:tcPr>
            <w:tcW w:w="97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Cash acquired</w:t>
            </w:r>
          </w:p>
        </w:tc>
        <w:tc>
          <w:tcPr>
            <w:tcW w:w="6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w:t>
            </w:r>
          </w:p>
        </w:tc>
      </w:tr>
      <w:tr>
        <w:trPr>
          <w:trHeight w:val="180"/>
        </w:trPr>
        <w:tc>
          <w:tcPr>
            <w:tcW w:w="9720" w:type="dxa"/>
            <w:vAlign w:val="bottom"/>
          </w:tcPr>
          <w:p>
            <w:pPr>
              <w:spacing w:after="0"/>
              <w:rPr>
                <w:sz w:val="20"/>
                <w:szCs w:val="20"/>
                <w:color w:val="auto"/>
              </w:rPr>
            </w:pPr>
            <w:r>
              <w:rPr>
                <w:rFonts w:ascii="Arial" w:cs="Arial" w:eastAsia="Arial" w:hAnsi="Arial"/>
                <w:sz w:val="12"/>
                <w:szCs w:val="12"/>
                <w:color w:val="auto"/>
              </w:rPr>
              <w:t>Cash paid for acquisitions, net of cash acquired</w:t>
            </w:r>
          </w:p>
        </w:tc>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714.8</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 w:name="page31"/>
    <w:bookmarkEnd w:id="30"/>
    <w:p>
      <w:pPr>
        <w:ind w:left="260"/>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Note 4 - Business Combinations (continued)</w:t>
      </w:r>
    </w:p>
    <w:p>
      <w:pPr>
        <w:spacing w:after="0" w:line="302"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91" w:lineRule="exact"/>
        <w:rPr>
          <w:sz w:val="20"/>
          <w:szCs w:val="20"/>
          <w:color w:val="auto"/>
        </w:rPr>
      </w:pPr>
    </w:p>
    <w:p>
      <w:pPr>
        <w:jc w:val="both"/>
        <w:ind w:right="20" w:firstLine="218"/>
        <w:spacing w:after="0" w:line="301" w:lineRule="auto"/>
        <w:rPr>
          <w:sz w:val="20"/>
          <w:szCs w:val="20"/>
          <w:color w:val="auto"/>
        </w:rPr>
      </w:pPr>
      <w:r>
        <w:rPr>
          <w:rFonts w:ascii="Arial" w:cs="Arial" w:eastAsia="Arial" w:hAnsi="Arial"/>
          <w:sz w:val="11"/>
          <w:szCs w:val="11"/>
          <w:color w:val="auto"/>
        </w:rPr>
        <w:t>As of June 30, 2020, the potential value of future payments under the Cash Vesting Payment Program was $7.1 million to be paid to employees through 2022, assuming continued employment for each employee. The Company recognized $1.5 million and $4.0 million of expense under the Cash Vesting Program for the three and six months ended June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components of identifiable intangible assets acquired and the estimated useful lives as of the date of acquisition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87"/>
              </w:rPr>
              <w:t>Weighted Average Useful Life in</w:t>
            </w:r>
          </w:p>
        </w:tc>
      </w:tr>
      <w:tr>
        <w:trPr>
          <w:trHeight w:val="133"/>
        </w:trPr>
        <w:tc>
          <w:tcPr>
            <w:tcW w:w="80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Fair Value</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Years</w:t>
            </w:r>
          </w:p>
        </w:tc>
      </w:tr>
      <w:tr>
        <w:trPr>
          <w:trHeight w:val="179"/>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Brand portfolio</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Indefinite</w:t>
            </w:r>
          </w:p>
        </w:tc>
      </w:tr>
      <w:tr>
        <w:trPr>
          <w:trHeight w:val="172"/>
        </w:trPr>
        <w:tc>
          <w:tcPr>
            <w:tcW w:w="8060" w:type="dxa"/>
            <w:vAlign w:val="bottom"/>
          </w:tcPr>
          <w:p>
            <w:pPr>
              <w:spacing w:after="0"/>
              <w:rPr>
                <w:sz w:val="20"/>
                <w:szCs w:val="20"/>
                <w:color w:val="auto"/>
              </w:rPr>
            </w:pPr>
            <w:r>
              <w:rPr>
                <w:rFonts w:ascii="Arial" w:cs="Arial" w:eastAsia="Arial" w:hAnsi="Arial"/>
                <w:sz w:val="12"/>
                <w:szCs w:val="12"/>
                <w:color w:val="auto"/>
              </w:rPr>
              <w:t>Developed technology</w:t>
            </w: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116.0</w:t>
            </w:r>
          </w:p>
        </w:tc>
        <w:tc>
          <w:tcPr>
            <w:tcW w:w="1680" w:type="dxa"/>
            <w:vAlign w:val="bottom"/>
            <w:gridSpan w:val="2"/>
          </w:tcPr>
          <w:p>
            <w:pPr>
              <w:jc w:val="right"/>
              <w:ind w:right="668"/>
              <w:spacing w:after="0"/>
              <w:rPr>
                <w:sz w:val="20"/>
                <w:szCs w:val="20"/>
                <w:color w:val="auto"/>
              </w:rPr>
            </w:pPr>
            <w:r>
              <w:rPr>
                <w:rFonts w:ascii="Arial" w:cs="Arial" w:eastAsia="Arial" w:hAnsi="Arial"/>
                <w:sz w:val="12"/>
                <w:szCs w:val="12"/>
                <w:color w:val="auto"/>
              </w:rPr>
              <w:t>5.8</w:t>
            </w:r>
          </w:p>
        </w:tc>
      </w:tr>
      <w:tr>
        <w:trPr>
          <w:trHeight w:val="182"/>
        </w:trPr>
        <w:tc>
          <w:tcPr>
            <w:tcW w:w="8060" w:type="dxa"/>
            <w:vAlign w:val="bottom"/>
            <w:shd w:val="clear" w:color="auto" w:fill="CCEEFF"/>
          </w:tcPr>
          <w:p>
            <w:pPr>
              <w:spacing w:after="0"/>
              <w:rPr>
                <w:sz w:val="20"/>
                <w:szCs w:val="20"/>
                <w:color w:val="auto"/>
              </w:rPr>
            </w:pPr>
            <w:r>
              <w:rPr>
                <w:rFonts w:ascii="Arial" w:cs="Arial" w:eastAsia="Arial" w:hAnsi="Arial"/>
                <w:sz w:val="12"/>
                <w:szCs w:val="12"/>
                <w:color w:val="auto"/>
              </w:rPr>
              <w:t>Customer relationships</w:t>
            </w:r>
          </w:p>
        </w:tc>
        <w:tc>
          <w:tcPr>
            <w:tcW w:w="1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173.0</w:t>
            </w:r>
          </w:p>
        </w:tc>
        <w:tc>
          <w:tcPr>
            <w:tcW w:w="1680" w:type="dxa"/>
            <w:vAlign w:val="bottom"/>
            <w:gridSpan w:val="2"/>
            <w:shd w:val="clear" w:color="auto" w:fill="CCEEFF"/>
          </w:tcPr>
          <w:p>
            <w:pPr>
              <w:jc w:val="right"/>
              <w:ind w:right="628"/>
              <w:spacing w:after="0"/>
              <w:rPr>
                <w:sz w:val="20"/>
                <w:szCs w:val="20"/>
                <w:color w:val="auto"/>
              </w:rPr>
            </w:pPr>
            <w:r>
              <w:rPr>
                <w:rFonts w:ascii="Arial" w:cs="Arial" w:eastAsia="Arial" w:hAnsi="Arial"/>
                <w:sz w:val="12"/>
                <w:szCs w:val="12"/>
                <w:color w:val="auto"/>
              </w:rPr>
              <w:t>15.0</w:t>
            </w:r>
          </w:p>
        </w:tc>
      </w:tr>
      <w:tr>
        <w:trPr>
          <w:trHeight w:val="180"/>
        </w:trPr>
        <w:tc>
          <w:tcPr>
            <w:tcW w:w="8060" w:type="dxa"/>
            <w:vAlign w:val="bottom"/>
          </w:tcPr>
          <w:p>
            <w:pPr>
              <w:ind w:left="140"/>
              <w:spacing w:after="0"/>
              <w:rPr>
                <w:sz w:val="20"/>
                <w:szCs w:val="20"/>
                <w:color w:val="auto"/>
              </w:rPr>
            </w:pPr>
            <w:r>
              <w:rPr>
                <w:rFonts w:ascii="Arial" w:cs="Arial" w:eastAsia="Arial" w:hAnsi="Arial"/>
                <w:sz w:val="12"/>
                <w:szCs w:val="12"/>
                <w:color w:val="auto"/>
              </w:rPr>
              <w:t>Total intangible assets</w:t>
            </w:r>
          </w:p>
        </w:tc>
        <w:tc>
          <w:tcPr>
            <w:tcW w:w="1120" w:type="dxa"/>
            <w:vAlign w:val="bottom"/>
            <w:tcBorders>
              <w:bottom w:val="single" w:sz="8" w:color="auto"/>
            </w:tcBorders>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322.0</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
        </w:trPr>
        <w:tc>
          <w:tcPr>
            <w:tcW w:w="8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Property and Equipment</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fixed assets consist of the following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4"/>
              </w:rPr>
              <w:t>June 30,</w:t>
            </w:r>
          </w:p>
        </w:tc>
        <w:tc>
          <w:tcPr>
            <w:tcW w:w="240" w:type="dxa"/>
            <w:vAlign w:val="bottom"/>
          </w:tcPr>
          <w:p>
            <w:pPr>
              <w:spacing w:after="0"/>
              <w:rPr>
                <w:sz w:val="11"/>
                <w:szCs w:val="11"/>
                <w:color w:val="auto"/>
              </w:rPr>
            </w:pPr>
          </w:p>
        </w:tc>
        <w:tc>
          <w:tcPr>
            <w:tcW w:w="1200" w:type="dxa"/>
            <w:vAlign w:val="bottom"/>
          </w:tcPr>
          <w:p>
            <w:pPr>
              <w:jc w:val="right"/>
              <w:ind w:right="382"/>
              <w:spacing w:after="0"/>
              <w:rPr>
                <w:sz w:val="20"/>
                <w:szCs w:val="20"/>
                <w:color w:val="auto"/>
              </w:rPr>
            </w:pPr>
            <w:r>
              <w:rPr>
                <w:rFonts w:ascii="Arial" w:cs="Arial" w:eastAsia="Arial" w:hAnsi="Arial"/>
                <w:sz w:val="10"/>
                <w:szCs w:val="10"/>
                <w:b w:val="1"/>
                <w:bCs w:val="1"/>
                <w:color w:val="auto"/>
              </w:rPr>
              <w:t>December 31,</w:t>
            </w:r>
          </w:p>
        </w:tc>
      </w:tr>
      <w:tr>
        <w:trPr>
          <w:trHeight w:val="134"/>
        </w:trPr>
        <w:tc>
          <w:tcPr>
            <w:tcW w:w="830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2019</w:t>
            </w:r>
          </w:p>
        </w:tc>
      </w:tr>
      <w:tr>
        <w:trPr>
          <w:trHeight w:val="134"/>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(Unaudited)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90"/>
        </w:trPr>
        <w:tc>
          <w:tcPr>
            <w:tcW w:w="8300" w:type="dxa"/>
            <w:vAlign w:val="bottom"/>
            <w:shd w:val="clear" w:color="auto" w:fill="CCEEFF"/>
          </w:tcPr>
          <w:p>
            <w:pPr>
              <w:spacing w:after="0"/>
              <w:rPr>
                <w:sz w:val="20"/>
                <w:szCs w:val="20"/>
                <w:color w:val="auto"/>
              </w:rPr>
            </w:pPr>
            <w:r>
              <w:rPr>
                <w:rFonts w:ascii="Arial" w:cs="Arial" w:eastAsia="Arial" w:hAnsi="Arial"/>
                <w:sz w:val="12"/>
                <w:szCs w:val="12"/>
                <w:color w:val="auto"/>
              </w:rPr>
              <w:t>Computer equipment</w:t>
            </w: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w:t>
            </w:r>
          </w:p>
        </w:tc>
      </w:tr>
      <w:tr>
        <w:trPr>
          <w:trHeight w:val="172"/>
        </w:trPr>
        <w:tc>
          <w:tcPr>
            <w:tcW w:w="8300" w:type="dxa"/>
            <w:vAlign w:val="bottom"/>
          </w:tcPr>
          <w:p>
            <w:pPr>
              <w:spacing w:after="0"/>
              <w:rPr>
                <w:sz w:val="20"/>
                <w:szCs w:val="20"/>
                <w:color w:val="auto"/>
              </w:rPr>
            </w:pPr>
            <w:r>
              <w:rPr>
                <w:rFonts w:ascii="Arial" w:cs="Arial" w:eastAsia="Arial" w:hAnsi="Arial"/>
                <w:sz w:val="12"/>
                <w:szCs w:val="12"/>
                <w:color w:val="auto"/>
              </w:rPr>
              <w:t>Furniture and fixtures</w:t>
            </w:r>
          </w:p>
        </w:tc>
        <w:tc>
          <w:tcPr>
            <w:tcW w:w="28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4.8</w:t>
            </w:r>
          </w:p>
        </w:tc>
      </w:tr>
      <w:tr>
        <w:trPr>
          <w:trHeight w:val="191"/>
        </w:trPr>
        <w:tc>
          <w:tcPr>
            <w:tcW w:w="830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w:t>
            </w:r>
          </w:p>
        </w:tc>
      </w:tr>
      <w:tr>
        <w:trPr>
          <w:trHeight w:val="172"/>
        </w:trPr>
        <w:tc>
          <w:tcPr>
            <w:tcW w:w="8300" w:type="dxa"/>
            <w:vAlign w:val="bottom"/>
          </w:tcPr>
          <w:p>
            <w:pPr>
              <w:spacing w:after="0"/>
              <w:rPr>
                <w:sz w:val="20"/>
                <w:szCs w:val="20"/>
                <w:color w:val="auto"/>
              </w:rPr>
            </w:pPr>
            <w:r>
              <w:rPr>
                <w:rFonts w:ascii="Arial" w:cs="Arial" w:eastAsia="Arial" w:hAnsi="Arial"/>
                <w:sz w:val="12"/>
                <w:szCs w:val="12"/>
                <w:color w:val="auto"/>
              </w:rPr>
              <w:t>Internal use developed software</w:t>
            </w:r>
          </w:p>
        </w:tc>
        <w:tc>
          <w:tcPr>
            <w:tcW w:w="28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22.0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19.7</w:t>
            </w:r>
          </w:p>
        </w:tc>
      </w:tr>
      <w:tr>
        <w:trPr>
          <w:trHeight w:val="182"/>
        </w:trPr>
        <w:tc>
          <w:tcPr>
            <w:tcW w:w="830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progress</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0.9</w:t>
            </w:r>
          </w:p>
        </w:tc>
      </w:tr>
      <w:tr>
        <w:trPr>
          <w:trHeight w:val="171"/>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42.1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34.5</w:t>
            </w:r>
          </w:p>
        </w:tc>
      </w:tr>
      <w:tr>
        <w:trPr>
          <w:trHeight w:val="182"/>
        </w:trPr>
        <w:tc>
          <w:tcPr>
            <w:tcW w:w="830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w:t>
            </w:r>
          </w:p>
        </w:tc>
      </w:tr>
      <w:tr>
        <w:trPr>
          <w:trHeight w:val="180"/>
        </w:trPr>
        <w:tc>
          <w:tcPr>
            <w:tcW w:w="8300" w:type="dxa"/>
            <w:vAlign w:val="bottom"/>
          </w:tcPr>
          <w:p>
            <w:pPr>
              <w:ind w:left="140"/>
              <w:spacing w:after="0"/>
              <w:rPr>
                <w:sz w:val="20"/>
                <w:szCs w:val="20"/>
                <w:color w:val="auto"/>
              </w:rPr>
            </w:pPr>
            <w:r>
              <w:rPr>
                <w:rFonts w:ascii="Arial" w:cs="Arial" w:eastAsia="Arial" w:hAnsi="Arial"/>
                <w:sz w:val="12"/>
                <w:szCs w:val="12"/>
                <w:color w:val="auto"/>
              </w:rPr>
              <w:t>Property and equipment, net</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27.1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23.3</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Property and Equipment (continued)</w:t>
      </w:r>
    </w:p>
    <w:p>
      <w:pPr>
        <w:spacing w:after="0" w:line="200" w:lineRule="exact"/>
        <w:rPr>
          <w:sz w:val="20"/>
          <w:szCs w:val="20"/>
          <w:color w:val="auto"/>
        </w:rPr>
      </w:pPr>
    </w:p>
    <w:p>
      <w:pPr>
        <w:spacing w:after="0" w:line="35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Depreciation expense was $2.1 million and $1.3 million for the three months ended June 30, 2020 and 2019, respectively. Depreciation expense was $4.0 million and $2.4 million for the six months ended June 30,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Goodwill and Acquired Intangible Assets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Intangible assets consisted of the following as of June 30, 2020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b w:val="1"/>
                <w:bCs w:val="1"/>
                <w:color w:val="auto"/>
                <w:w w:val="95"/>
              </w:rPr>
              <w:t>Weighted Average Amortization</w:t>
            </w:r>
          </w:p>
        </w:tc>
      </w:tr>
      <w:tr>
        <w:trPr>
          <w:trHeight w:val="133"/>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Gross Carrying Amount</w:t>
            </w:r>
          </w:p>
        </w:tc>
        <w:tc>
          <w:tcPr>
            <w:tcW w:w="160" w:type="dxa"/>
            <w:vAlign w:val="bottom"/>
          </w:tcPr>
          <w:p>
            <w:pPr>
              <w:spacing w:after="0"/>
              <w:rPr>
                <w:sz w:val="11"/>
                <w:szCs w:val="11"/>
                <w:color w:val="auto"/>
              </w:rPr>
            </w:pPr>
          </w:p>
        </w:tc>
        <w:tc>
          <w:tcPr>
            <w:tcW w:w="1520" w:type="dxa"/>
            <w:vAlign w:val="bottom"/>
            <w:gridSpan w:val="2"/>
          </w:tcPr>
          <w:p>
            <w:pPr>
              <w:ind w:left="60"/>
              <w:spacing w:after="0"/>
              <w:rPr>
                <w:sz w:val="20"/>
                <w:szCs w:val="20"/>
                <w:color w:val="auto"/>
              </w:rPr>
            </w:pPr>
            <w:r>
              <w:rPr>
                <w:rFonts w:ascii="Arial" w:cs="Arial" w:eastAsia="Arial" w:hAnsi="Arial"/>
                <w:sz w:val="10"/>
                <w:szCs w:val="10"/>
                <w:b w:val="1"/>
                <w:bCs w:val="1"/>
                <w:color w:val="auto"/>
              </w:rPr>
              <w:t>Accumulated Amortization</w:t>
            </w:r>
          </w:p>
        </w:tc>
        <w:tc>
          <w:tcPr>
            <w:tcW w:w="380" w:type="dxa"/>
            <w:vAlign w:val="bottom"/>
          </w:tcPr>
          <w:p>
            <w:pPr>
              <w:spacing w:after="0"/>
              <w:rPr>
                <w:sz w:val="11"/>
                <w:szCs w:val="11"/>
                <w:color w:val="auto"/>
              </w:rPr>
            </w:pPr>
          </w:p>
        </w:tc>
        <w:tc>
          <w:tcPr>
            <w:tcW w:w="1180" w:type="dxa"/>
            <w:vAlign w:val="bottom"/>
          </w:tcPr>
          <w:p>
            <w:pPr>
              <w:jc w:val="right"/>
              <w:ind w:right="641"/>
              <w:spacing w:after="0"/>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11"/>
                <w:szCs w:val="11"/>
                <w:color w:val="auto"/>
              </w:rPr>
            </w:pPr>
          </w:p>
        </w:tc>
        <w:tc>
          <w:tcPr>
            <w:tcW w:w="1580" w:type="dxa"/>
            <w:vAlign w:val="bottom"/>
          </w:tcPr>
          <w:p>
            <w:pPr>
              <w:jc w:val="right"/>
              <w:ind w:right="432"/>
              <w:spacing w:after="0"/>
              <w:rPr>
                <w:sz w:val="20"/>
                <w:szCs w:val="20"/>
                <w:color w:val="auto"/>
              </w:rPr>
            </w:pPr>
            <w:r>
              <w:rPr>
                <w:rFonts w:ascii="Arial" w:cs="Arial" w:eastAsia="Arial" w:hAnsi="Arial"/>
                <w:sz w:val="10"/>
                <w:szCs w:val="10"/>
                <w:b w:val="1"/>
                <w:bCs w:val="1"/>
                <w:color w:val="auto"/>
              </w:rPr>
              <w:t>Period in Years</w:t>
            </w:r>
          </w:p>
        </w:tc>
      </w:tr>
      <w:tr>
        <w:trPr>
          <w:trHeight w:val="17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Intangible assets subject to amortization:</w:t>
            </w: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172"/>
        </w:trPr>
        <w:tc>
          <w:tcPr>
            <w:tcW w:w="4720" w:type="dxa"/>
            <w:vAlign w:val="bottom"/>
          </w:tcPr>
          <w:p>
            <w:pPr>
              <w:ind w:left="140"/>
              <w:spacing w:after="0"/>
              <w:rPr>
                <w:sz w:val="20"/>
                <w:szCs w:val="20"/>
                <w:color w:val="auto"/>
              </w:rPr>
            </w:pPr>
            <w:r>
              <w:rPr>
                <w:rFonts w:ascii="Arial" w:cs="Arial" w:eastAsia="Arial" w:hAnsi="Arial"/>
                <w:sz w:val="12"/>
                <w:szCs w:val="12"/>
                <w:color w:val="auto"/>
              </w:rPr>
              <w:t>Customer relationships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268.6</w:t>
            </w:r>
          </w:p>
        </w:tc>
        <w:tc>
          <w:tcPr>
            <w:tcW w:w="10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14"/>
                <w:szCs w:val="14"/>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225.1</w:t>
            </w:r>
          </w:p>
        </w:tc>
        <w:tc>
          <w:tcPr>
            <w:tcW w:w="1680" w:type="dxa"/>
            <w:vAlign w:val="bottom"/>
            <w:gridSpan w:val="2"/>
          </w:tcPr>
          <w:p>
            <w:pPr>
              <w:jc w:val="right"/>
              <w:spacing w:after="0"/>
              <w:rPr>
                <w:sz w:val="20"/>
                <w:szCs w:val="20"/>
                <w:color w:val="auto"/>
              </w:rPr>
            </w:pPr>
            <w:r>
              <w:rPr>
                <w:rFonts w:ascii="Arial" w:cs="Arial" w:eastAsia="Arial" w:hAnsi="Arial"/>
                <w:sz w:val="12"/>
                <w:szCs w:val="12"/>
                <w:color w:val="auto"/>
              </w:rPr>
              <w:t>15.0</w:t>
            </w:r>
          </w:p>
        </w:tc>
      </w:tr>
      <w:tr>
        <w:trPr>
          <w:trHeight w:val="191"/>
        </w:trPr>
        <w:tc>
          <w:tcPr>
            <w:tcW w:w="4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Acquired technology</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72"/>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Brand portfolio</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9.7</w:t>
            </w:r>
          </w:p>
        </w:tc>
      </w:tr>
      <w:tr>
        <w:trPr>
          <w:trHeight w:val="196"/>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Net intangible assets subject to amortization</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437.1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317.2</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r>
      <w:tr>
        <w:trPr>
          <w:trHeight w:val="163"/>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2"/>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not subject to amortization</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2"/>
        </w:trPr>
        <w:tc>
          <w:tcPr>
            <w:tcW w:w="4720" w:type="dxa"/>
            <w:vAlign w:val="bottom"/>
          </w:tcPr>
          <w:p>
            <w:pPr>
              <w:ind w:left="140"/>
              <w:spacing w:after="0"/>
              <w:rPr>
                <w:sz w:val="20"/>
                <w:szCs w:val="20"/>
                <w:color w:val="auto"/>
              </w:rPr>
            </w:pPr>
            <w:r>
              <w:rPr>
                <w:rFonts w:ascii="Arial" w:cs="Arial" w:eastAsia="Arial" w:hAnsi="Arial"/>
                <w:sz w:val="12"/>
                <w:szCs w:val="12"/>
                <w:color w:val="auto"/>
              </w:rPr>
              <w:t>Pre-Acquisition ZI brand portfolio</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520" w:type="dxa"/>
            <w:vAlign w:val="bottom"/>
            <w:gridSpan w:val="2"/>
          </w:tcPr>
          <w:p>
            <w:pPr>
              <w:ind w:left="124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91"/>
        </w:trPr>
        <w:tc>
          <w:tcPr>
            <w:tcW w:w="4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966.8</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bl>
    <w:p>
      <w:pPr>
        <w:spacing w:after="0" w:line="209"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Amortization expense was $10.3 million and $12.0 million for the three months ended June 30, 2020 and 2019, respectively. Amortization expense was $20.5 million and $21.3 million for the six months ended June 30, 2020 and 2019, respectively.</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Goodwill, as of June 30, 2020, was $966.8 million, and there have been no changes since December 31,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Based on the results of the Company’s impairment assessment, the Company did not recognize any impairment of goodwill during the three months ended June 30, 2020 or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Financing Arrangements</w:t>
      </w:r>
    </w:p>
    <w:p>
      <w:pPr>
        <w:spacing w:after="0" w:line="120"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In conjunction with the acquisition of Pre-Acquisition ZI on February 1, 2019, ZoomInfo raised $965 million of first lien debt (including a $100.0 million revolving credit facility), $370 million of second lien debt, and issued 51,750,000 of Series A Preferred Units in exchange for $200.2 million, net of issuance costs. In addition to funding the purchase of Pre-Acquisition ZI, the proceeds were used to repay all previously outstanding indebtedness.</w:t>
      </w:r>
    </w:p>
    <w:p>
      <w:pPr>
        <w:spacing w:after="0" w:line="164"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 The Company recognized a $2.2 million loss on the extinguishment of debt relating to the write-off of unamortized issuance costs.</w:t>
      </w:r>
    </w:p>
    <w:p>
      <w:pPr>
        <w:spacing w:after="0" w:line="8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June 30, 2020, $756.4 million aggregate principal amount of term loans were outstanding under the First Lien Credit Agreement. The interest related portion of the repayment was recorded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 w:name="page33"/>
    <w:bookmarkEnd w:id="3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Financing Arrangements (continued)</w:t>
      </w:r>
    </w:p>
    <w:p>
      <w:pPr>
        <w:spacing w:after="0" w:line="302"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 xml:space="preserve">within </w:t>
      </w:r>
      <w:r>
        <w:rPr>
          <w:rFonts w:ascii="Arial" w:cs="Arial" w:eastAsia="Arial" w:hAnsi="Arial"/>
          <w:sz w:val="11"/>
          <w:szCs w:val="11"/>
          <w:i w:val="1"/>
          <w:iCs w:val="1"/>
          <w:color w:val="auto"/>
        </w:rPr>
        <w:t>Interest expense, net</w:t>
      </w:r>
      <w:r>
        <w:rPr>
          <w:rFonts w:ascii="Arial" w:cs="Arial" w:eastAsia="Arial" w:hAnsi="Arial"/>
          <w:sz w:val="11"/>
          <w:szCs w:val="11"/>
          <w:color w:val="auto"/>
        </w:rPr>
        <w:t xml:space="preserve"> in its Consolidated Statements of Operations, and represented use of cash from operating activities in the Consolidated Statements of Cash Flows. The quarterly repayment requirement on first lien borrowings has been satisfied for the remainder of the term after the $100.0 million principal payment. The company recognized $1.7 million within </w:t>
      </w:r>
      <w:r>
        <w:rPr>
          <w:rFonts w:ascii="Arial" w:cs="Arial" w:eastAsia="Arial" w:hAnsi="Arial"/>
          <w:sz w:val="11"/>
          <w:szCs w:val="11"/>
          <w:i w:val="1"/>
          <w:iCs w:val="1"/>
          <w:color w:val="auto"/>
        </w:rPr>
        <w:t>Loss on debt extinguishment</w:t>
      </w:r>
      <w:r>
        <w:rPr>
          <w:rFonts w:ascii="Arial" w:cs="Arial" w:eastAsia="Arial" w:hAnsi="Arial"/>
          <w:sz w:val="11"/>
          <w:szCs w:val="11"/>
          <w:color w:val="auto"/>
        </w:rPr>
        <w:t xml:space="preserve"> on the Consolidated Statements of Operations comprised of the write-off of the unamortized issuance costs. The effective interest rate on the first lien debt was 4.6% and 7.5% as of June 30, 2020 and December 31, 2019, respectively.</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2"/>
          <w:szCs w:val="12"/>
          <w:i w:val="1"/>
          <w:iCs w:val="1"/>
          <w:color w:val="auto"/>
        </w:rPr>
        <w:t xml:space="preserve">Deferred costs, net of current portion </w:t>
      </w:r>
      <w:r>
        <w:rPr>
          <w:rFonts w:ascii="Arial" w:cs="Arial" w:eastAsia="Arial" w:hAnsi="Arial"/>
          <w:sz w:val="12"/>
          <w:szCs w:val="12"/>
          <w:color w:val="auto"/>
        </w:rPr>
        <w:t>on the accompanying consolidated balance sheets were immaterial as of June 30, 2020 and December 31, 2019, respectively.</w:t>
      </w:r>
    </w:p>
    <w:p>
      <w:pPr>
        <w:spacing w:after="0" w:line="8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Arial" w:cs="Arial" w:eastAsia="Arial" w:hAnsi="Arial"/>
          <w:sz w:val="12"/>
          <w:szCs w:val="12"/>
          <w:i w:val="1"/>
          <w:iCs w:val="1"/>
          <w:color w:val="auto"/>
        </w:rPr>
        <w:t>Loss on debt extinguishment</w:t>
      </w:r>
      <w:r>
        <w:rPr>
          <w:rFonts w:ascii="Arial" w:cs="Arial" w:eastAsia="Arial" w:hAnsi="Arial"/>
          <w:sz w:val="12"/>
          <w:szCs w:val="12"/>
          <w:color w:val="auto"/>
        </w:rPr>
        <w:t xml:space="preserve"> on the Consolidated Statements of Operations comprised of the write-off of unamortized issuance costs and the prepayment penalty incurred on the payoff. The effective interest rate on the second lien debt was 11.9% as of December 31, 2019.</w:t>
      </w:r>
    </w:p>
    <w:p>
      <w:pPr>
        <w:spacing w:after="0" w:line="90"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77" w:lineRule="exact"/>
        <w:rPr>
          <w:sz w:val="20"/>
          <w:szCs w:val="20"/>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incur additional indebtedness;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create or incur liens;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engage in certain fundamental changes, including mergers or consolidations;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sell or transfer assets;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pay dividends and distributions on our subsidiaries’ capital stock;</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make acquisitions, investments, loans or advances;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engage in certain transactions with affiliates;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enter into negative pledge clauses and clauses restricting subsidiary distributions.</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On June 8, 2020, the Company redeemed and cancelled all outstanding Series A Preferred Units of ZoomInfo OpCo. Refer to Note 14 for additional discussion regarding Series A Preferred Units and related redemption.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 w:name="page34"/>
    <w:bookmarkEnd w:id="3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Financing Arrangements (continued)</w:t>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June 30, 2020 and December 31, 2019, the carrying values of the Company’s borrowings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0"/>
                <w:szCs w:val="10"/>
                <w:b w:val="1"/>
                <w:bCs w:val="1"/>
                <w:color w:val="auto"/>
              </w:rPr>
              <w:t>Carrying Value as of</w:t>
            </w:r>
          </w:p>
        </w:tc>
      </w:tr>
      <w:tr>
        <w:trPr>
          <w:trHeight w:val="134"/>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0"/>
                <w:szCs w:val="10"/>
                <w:b w:val="1"/>
                <w:bCs w:val="1"/>
                <w:color w:val="auto"/>
              </w:rPr>
              <w:t>Instrument</w:t>
            </w:r>
          </w:p>
        </w:tc>
        <w:tc>
          <w:tcPr>
            <w:tcW w:w="100" w:type="dxa"/>
            <w:vAlign w:val="bottom"/>
            <w:tcBorders>
              <w:bottom w:val="single" w:sz="8" w:color="CCEEFF"/>
            </w:tcBorders>
          </w:tcPr>
          <w:p>
            <w:pPr>
              <w:spacing w:after="0"/>
              <w:rPr>
                <w:sz w:val="11"/>
                <w:szCs w:val="1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Date of Issuance</w:t>
            </w:r>
          </w:p>
        </w:tc>
        <w:tc>
          <w:tcPr>
            <w:tcW w:w="100" w:type="dxa"/>
            <w:vAlign w:val="bottom"/>
            <w:tcBorders>
              <w:bottom w:val="single" w:sz="8" w:color="CCEEFF"/>
            </w:tcBorders>
          </w:tcPr>
          <w:p>
            <w:pPr>
              <w:spacing w:after="0"/>
              <w:rPr>
                <w:sz w:val="11"/>
                <w:szCs w:val="1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Maturity Date</w:t>
            </w:r>
          </w:p>
        </w:tc>
        <w:tc>
          <w:tcPr>
            <w:tcW w:w="100" w:type="dxa"/>
            <w:vAlign w:val="bottom"/>
            <w:tcBorders>
              <w:bottom w:val="single" w:sz="8" w:color="CCEEFF"/>
            </w:tcBorders>
          </w:tcPr>
          <w:p>
            <w:pPr>
              <w:spacing w:after="0"/>
              <w:rPr>
                <w:sz w:val="11"/>
                <w:szCs w:val="11"/>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Elected Interest Rate</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w w:val="99"/>
              </w:rPr>
              <w:t>December 31, 2019</w:t>
            </w:r>
          </w:p>
        </w:tc>
      </w:tr>
      <w:tr>
        <w:trPr>
          <w:trHeight w:val="179"/>
        </w:trPr>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First Lien Term Loan</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February 1, 2019</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February 1, 2026</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7"/>
              </w:rPr>
              <w:t>LIBOR + 3.75%</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743.7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841.6</w:t>
            </w:r>
          </w:p>
        </w:tc>
      </w:tr>
      <w:tr>
        <w:trPr>
          <w:trHeight w:val="172"/>
        </w:trPr>
        <w:tc>
          <w:tcPr>
            <w:tcW w:w="2180" w:type="dxa"/>
            <w:vAlign w:val="bottom"/>
            <w:gridSpan w:val="2"/>
          </w:tcPr>
          <w:p>
            <w:pPr>
              <w:spacing w:after="0"/>
              <w:rPr>
                <w:sz w:val="20"/>
                <w:szCs w:val="20"/>
                <w:color w:val="auto"/>
              </w:rPr>
            </w:pPr>
            <w:r>
              <w:rPr>
                <w:rFonts w:ascii="Arial" w:cs="Arial" w:eastAsia="Arial" w:hAnsi="Arial"/>
                <w:sz w:val="12"/>
                <w:szCs w:val="12"/>
                <w:color w:val="auto"/>
              </w:rPr>
              <w:t>First Lien Revolver</w:t>
            </w:r>
          </w:p>
        </w:tc>
        <w:tc>
          <w:tcPr>
            <w:tcW w:w="20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February 1, 2019</w:t>
            </w:r>
          </w:p>
        </w:tc>
        <w:tc>
          <w:tcPr>
            <w:tcW w:w="20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February 1, 2024</w:t>
            </w:r>
          </w:p>
        </w:tc>
        <w:tc>
          <w:tcPr>
            <w:tcW w:w="1960" w:type="dxa"/>
            <w:vAlign w:val="bottom"/>
            <w:gridSpan w:val="2"/>
          </w:tcPr>
          <w:p>
            <w:pPr>
              <w:jc w:val="center"/>
              <w:ind w:right="100"/>
              <w:spacing w:after="0"/>
              <w:rPr>
                <w:sz w:val="20"/>
                <w:szCs w:val="20"/>
                <w:color w:val="auto"/>
              </w:rPr>
            </w:pPr>
            <w:r>
              <w:rPr>
                <w:rFonts w:ascii="Arial" w:cs="Arial" w:eastAsia="Arial" w:hAnsi="Arial"/>
                <w:sz w:val="12"/>
                <w:szCs w:val="12"/>
                <w:color w:val="auto"/>
                <w:w w:val="97"/>
              </w:rPr>
              <w:t>LIBOR + 3.50%</w:t>
            </w:r>
          </w:p>
        </w:tc>
        <w:tc>
          <w:tcPr>
            <w:tcW w:w="2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Lien Term Loan</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February 1, 2019</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February 1, 2027</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7"/>
              </w:rPr>
              <w:t>LIBOR + 8.50%</w:t>
            </w: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361.7</w:t>
            </w:r>
          </w:p>
        </w:tc>
      </w:tr>
      <w:tr>
        <w:trPr>
          <w:trHeight w:val="171"/>
        </w:trPr>
        <w:tc>
          <w:tcPr>
            <w:tcW w:w="2180" w:type="dxa"/>
            <w:vAlign w:val="bottom"/>
            <w:gridSpan w:val="2"/>
          </w:tcPr>
          <w:p>
            <w:pPr>
              <w:spacing w:after="0"/>
              <w:rPr>
                <w:sz w:val="20"/>
                <w:szCs w:val="20"/>
                <w:color w:val="auto"/>
              </w:rPr>
            </w:pPr>
            <w:r>
              <w:rPr>
                <w:rFonts w:ascii="Arial" w:cs="Arial" w:eastAsia="Arial" w:hAnsi="Arial"/>
                <w:sz w:val="12"/>
                <w:szCs w:val="12"/>
                <w:color w:val="auto"/>
              </w:rPr>
              <w:t>Total Carrying Value of Debt</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743.7</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1,203.3</w:t>
            </w:r>
          </w:p>
        </w:tc>
      </w:tr>
      <w:tr>
        <w:trPr>
          <w:trHeight w:val="182"/>
        </w:trPr>
        <w:tc>
          <w:tcPr>
            <w:tcW w:w="21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less current portion</w:t>
            </w: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r>
      <w:tr>
        <w:trPr>
          <w:trHeight w:val="180"/>
        </w:trPr>
        <w:tc>
          <w:tcPr>
            <w:tcW w:w="2180" w:type="dxa"/>
            <w:vAlign w:val="bottom"/>
            <w:gridSpan w:val="2"/>
          </w:tcPr>
          <w:p>
            <w:pPr>
              <w:spacing w:after="0"/>
              <w:rPr>
                <w:sz w:val="20"/>
                <w:szCs w:val="20"/>
                <w:color w:val="auto"/>
              </w:rPr>
            </w:pPr>
            <w:r>
              <w:rPr>
                <w:rFonts w:ascii="Arial" w:cs="Arial" w:eastAsia="Arial" w:hAnsi="Arial"/>
                <w:sz w:val="12"/>
                <w:szCs w:val="12"/>
                <w:color w:val="auto"/>
              </w:rPr>
              <w:t>Total Long Term Debt</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743.7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1,194.6</w:t>
            </w: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expected future principal payments for all borrowings as of June 30, 2020 is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00" w:type="dxa"/>
            <w:vAlign w:val="bottom"/>
            <w:tcBorders>
              <w:bottom w:val="single" w:sz="8" w:color="CCEEFF"/>
            </w:tcBorders>
          </w:tcPr>
          <w:p>
            <w:pPr>
              <w:spacing w:after="0"/>
              <w:rPr>
                <w:sz w:val="11"/>
                <w:szCs w:val="11"/>
                <w:color w:val="auto"/>
              </w:rPr>
            </w:pPr>
          </w:p>
        </w:tc>
        <w:tc>
          <w:tcPr>
            <w:tcW w:w="38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Contractual Maturity</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85"/>
              </w:rPr>
              <w:t>Discounts and Issuance Costs</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As Presented</w:t>
            </w:r>
          </w:p>
        </w:tc>
      </w:tr>
      <w:tr>
        <w:trPr>
          <w:trHeight w:val="179"/>
        </w:trPr>
        <w:tc>
          <w:tcPr>
            <w:tcW w:w="2500" w:type="dxa"/>
            <w:vAlign w:val="bottom"/>
            <w:shd w:val="clear" w:color="auto" w:fill="CCEEFF"/>
          </w:tcPr>
          <w:p>
            <w:pPr>
              <w:spacing w:after="0"/>
              <w:rPr>
                <w:sz w:val="20"/>
                <w:szCs w:val="20"/>
                <w:color w:val="auto"/>
              </w:rPr>
            </w:pPr>
            <w:r>
              <w:rPr>
                <w:rFonts w:ascii="Arial" w:cs="Arial" w:eastAsia="Arial" w:hAnsi="Arial"/>
                <w:sz w:val="12"/>
                <w:szCs w:val="12"/>
                <w:color w:val="auto"/>
              </w:rPr>
              <w:t>For the year ended December 31,</w:t>
            </w:r>
          </w:p>
        </w:tc>
        <w:tc>
          <w:tcPr>
            <w:tcW w:w="3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2020</w:t>
            </w:r>
          </w:p>
        </w:tc>
        <w:tc>
          <w:tcPr>
            <w:tcW w:w="1240" w:type="dxa"/>
            <w:vAlign w:val="bottom"/>
            <w:shd w:val="clear" w:color="auto" w:fill="CCEEFF"/>
          </w:tcPr>
          <w:p>
            <w:pPr>
              <w:jc w:val="right"/>
              <w:ind w:right="1104"/>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72"/>
        </w:trPr>
        <w:tc>
          <w:tcPr>
            <w:tcW w:w="2500" w:type="dxa"/>
            <w:vAlign w:val="bottom"/>
          </w:tcPr>
          <w:p>
            <w:pPr>
              <w:spacing w:after="0"/>
              <w:rPr>
                <w:sz w:val="14"/>
                <w:szCs w:val="14"/>
                <w:color w:val="auto"/>
              </w:rPr>
            </w:pPr>
          </w:p>
        </w:tc>
        <w:tc>
          <w:tcPr>
            <w:tcW w:w="3880" w:type="dxa"/>
            <w:vAlign w:val="bottom"/>
          </w:tcPr>
          <w:p>
            <w:pPr>
              <w:ind w:left="880"/>
              <w:spacing w:after="0"/>
              <w:rPr>
                <w:sz w:val="20"/>
                <w:szCs w:val="20"/>
                <w:color w:val="auto"/>
              </w:rPr>
            </w:pPr>
            <w:r>
              <w:rPr>
                <w:rFonts w:ascii="Arial" w:cs="Arial" w:eastAsia="Arial" w:hAnsi="Arial"/>
                <w:sz w:val="12"/>
                <w:szCs w:val="12"/>
                <w:color w:val="auto"/>
              </w:rPr>
              <w:t>2021</w:t>
            </w:r>
          </w:p>
        </w:tc>
        <w:tc>
          <w:tcPr>
            <w:tcW w:w="124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91"/>
        </w:trPr>
        <w:tc>
          <w:tcPr>
            <w:tcW w:w="2500" w:type="dxa"/>
            <w:vAlign w:val="bottom"/>
            <w:shd w:val="clear" w:color="auto" w:fill="CCEEFF"/>
          </w:tcPr>
          <w:p>
            <w:pPr>
              <w:spacing w:after="0"/>
              <w:rPr>
                <w:sz w:val="16"/>
                <w:szCs w:val="16"/>
                <w:color w:val="auto"/>
              </w:rPr>
            </w:pPr>
          </w:p>
        </w:tc>
        <w:tc>
          <w:tcPr>
            <w:tcW w:w="3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2022</w:t>
            </w:r>
          </w:p>
        </w:tc>
        <w:tc>
          <w:tcPr>
            <w:tcW w:w="1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72"/>
        </w:trPr>
        <w:tc>
          <w:tcPr>
            <w:tcW w:w="2500" w:type="dxa"/>
            <w:vAlign w:val="bottom"/>
          </w:tcPr>
          <w:p>
            <w:pPr>
              <w:spacing w:after="0"/>
              <w:rPr>
                <w:sz w:val="14"/>
                <w:szCs w:val="14"/>
                <w:color w:val="auto"/>
              </w:rPr>
            </w:pPr>
          </w:p>
        </w:tc>
        <w:tc>
          <w:tcPr>
            <w:tcW w:w="3880" w:type="dxa"/>
            <w:vAlign w:val="bottom"/>
          </w:tcPr>
          <w:p>
            <w:pPr>
              <w:ind w:left="880"/>
              <w:spacing w:after="0"/>
              <w:rPr>
                <w:sz w:val="20"/>
                <w:szCs w:val="20"/>
                <w:color w:val="auto"/>
              </w:rPr>
            </w:pPr>
            <w:r>
              <w:rPr>
                <w:rFonts w:ascii="Arial" w:cs="Arial" w:eastAsia="Arial" w:hAnsi="Arial"/>
                <w:sz w:val="12"/>
                <w:szCs w:val="12"/>
                <w:color w:val="auto"/>
              </w:rPr>
              <w:t>2023</w:t>
            </w:r>
          </w:p>
        </w:tc>
        <w:tc>
          <w:tcPr>
            <w:tcW w:w="124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91"/>
        </w:trPr>
        <w:tc>
          <w:tcPr>
            <w:tcW w:w="2500" w:type="dxa"/>
            <w:vAlign w:val="bottom"/>
            <w:shd w:val="clear" w:color="auto" w:fill="CCEEFF"/>
          </w:tcPr>
          <w:p>
            <w:pPr>
              <w:spacing w:after="0"/>
              <w:rPr>
                <w:sz w:val="16"/>
                <w:szCs w:val="16"/>
                <w:color w:val="auto"/>
              </w:rPr>
            </w:pPr>
          </w:p>
        </w:tc>
        <w:tc>
          <w:tcPr>
            <w:tcW w:w="3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2024</w:t>
            </w:r>
          </w:p>
        </w:tc>
        <w:tc>
          <w:tcPr>
            <w:tcW w:w="1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72"/>
        </w:trPr>
        <w:tc>
          <w:tcPr>
            <w:tcW w:w="250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tcPr>
          <w:p>
            <w:pPr>
              <w:ind w:left="880"/>
              <w:spacing w:after="0"/>
              <w:rPr>
                <w:sz w:val="20"/>
                <w:szCs w:val="20"/>
                <w:color w:val="auto"/>
              </w:rPr>
            </w:pPr>
            <w:r>
              <w:rPr>
                <w:rFonts w:ascii="Arial" w:cs="Arial" w:eastAsia="Arial" w:hAnsi="Arial"/>
                <w:sz w:val="12"/>
                <w:szCs w:val="12"/>
                <w:color w:val="auto"/>
              </w:rPr>
              <w:t>Thereafter</w:t>
            </w:r>
          </w:p>
        </w:tc>
        <w:tc>
          <w:tcPr>
            <w:tcW w:w="1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756.4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756.2</w:t>
            </w:r>
          </w:p>
        </w:tc>
      </w:tr>
      <w:tr>
        <w:trPr>
          <w:trHeight w:val="196"/>
        </w:trPr>
        <w:tc>
          <w:tcPr>
            <w:tcW w:w="250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10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756.4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743.7</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Derivatives and Hedging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Hedge Accounting and Hedging Programs</w:t>
      </w:r>
    </w:p>
    <w:p>
      <w:pPr>
        <w:spacing w:after="0" w:line="11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We are exposed to changes in interest rates, primarily relating to changes in interest rates on our variable rate term loans. Consequently, from time to time, we may use interest rate swaps or other financial instruments to manage our exposure to interest rate movements. We do not enter into derivative transactions for speculative or trading purposes.</w:t>
      </w:r>
    </w:p>
    <w:p>
      <w:pPr>
        <w:spacing w:after="0" w:line="150"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 xml:space="preserve">In April 2019, we entered into two separate interest rate swap agreements effectively converting $350.0 million of floating rate debt under our first lien credit facility to fixed rate obligations and one $500.0 million interest rate cap (collectively the “Derivative Instruments”). These agreements were designated and qualified as cash flow hedging instruments and, as such, changes in the fair value were recorded in </w:t>
      </w:r>
      <w:r>
        <w:rPr>
          <w:rFonts w:ascii="Arial" w:cs="Arial" w:eastAsia="Arial" w:hAnsi="Arial"/>
          <w:sz w:val="12"/>
          <w:szCs w:val="12"/>
          <w:i w:val="1"/>
          <w:iCs w:val="1"/>
          <w:color w:val="auto"/>
        </w:rPr>
        <w:t>Accumulated other comprehensive income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(loss) </w:t>
      </w:r>
      <w:r>
        <w:rPr>
          <w:rFonts w:ascii="Arial" w:cs="Arial" w:eastAsia="Arial" w:hAnsi="Arial"/>
          <w:sz w:val="12"/>
          <w:szCs w:val="12"/>
          <w:color w:val="auto"/>
        </w:rPr>
        <w:t>(“AOCI”) on our Condensed Consolidated Balance Sheets to the extent the agreements were effective hedges.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 w:name="page35"/>
    <w:bookmarkEnd w:id="3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Derivatives and Hedging Activities (continued)</w:t>
      </w:r>
    </w:p>
    <w:p>
      <w:pPr>
        <w:spacing w:after="0" w:line="302"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 xml:space="preserve">During the three months ended June 30, 2020, the Company reduced its LIBOR based debt to $756.4 million (refer to Note 7), which is below the total notional amounts of our Derivative Instruments of $850.0 million.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Concurrently, we redesignated $756.4 million of the derivatives, the notional amount representing the principal balance remaining under the First Lien Credit Agreement, of the Derivative Instruments. As the forecasted interest payments on $93.7 million not redesignated is probable to not occur, the Company reclassified the existing deferred loss on that portion of the derivative of $3.3 million from AOCI into </w:t>
      </w:r>
      <w:r>
        <w:rPr>
          <w:rFonts w:ascii="Arial" w:cs="Arial" w:eastAsia="Arial" w:hAnsi="Arial"/>
          <w:sz w:val="11"/>
          <w:szCs w:val="11"/>
          <w:i w:val="1"/>
          <w:iCs w:val="1"/>
          <w:color w:val="auto"/>
        </w:rPr>
        <w:t>Interest expense, net</w:t>
      </w:r>
      <w:r>
        <w:rPr>
          <w:rFonts w:ascii="Arial" w:cs="Arial" w:eastAsia="Arial" w:hAnsi="Arial"/>
          <w:sz w:val="11"/>
          <w:szCs w:val="11"/>
          <w:color w:val="auto"/>
        </w:rPr>
        <w:t xml:space="preserve"> in the Consolidated Statements of Operations. Furthermore, changes in fair value of the remaining hedged Derivative Instruments are recorded quarterly, net of income tax, and are included in AOCI. Over the next 12 months, we expect to reclassify approximately $5.7 million into interest expense.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June 30, 2020, the Company had the following outstanding interest rate derivatives that were designated as cash flow hedges of interest rate risk: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Interest Rate Derivatives</w:t>
            </w: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13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(Level 2)</w:t>
            </w:r>
          </w:p>
        </w:tc>
        <w:tc>
          <w:tcPr>
            <w:tcW w:w="10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Number of Instruments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87"/>
              </w:rPr>
              <w:t>Notional Aggregate Principal Amount</w:t>
            </w:r>
          </w:p>
        </w:tc>
        <w:tc>
          <w:tcPr>
            <w:tcW w:w="10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w w:val="87"/>
              </w:rPr>
              <w:t>Interest Cap / Swap Rate</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Maturity Date</w:t>
            </w:r>
          </w:p>
        </w:tc>
      </w:tr>
      <w:tr>
        <w:trPr>
          <w:trHeight w:val="179"/>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rate cap contract</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7"/>
              </w:rPr>
              <w:t>One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406.4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3.500 %</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ind w:left="1060"/>
              <w:spacing w:after="0"/>
              <w:rPr>
                <w:sz w:val="20"/>
                <w:szCs w:val="20"/>
                <w:color w:val="auto"/>
              </w:rPr>
            </w:pPr>
            <w:r>
              <w:rPr>
                <w:rFonts w:ascii="Arial" w:cs="Arial" w:eastAsia="Arial" w:hAnsi="Arial"/>
                <w:sz w:val="12"/>
                <w:szCs w:val="12"/>
                <w:color w:val="auto"/>
                <w:w w:val="94"/>
              </w:rPr>
              <w:t>April 30, 2024</w:t>
            </w:r>
          </w:p>
        </w:tc>
      </w:tr>
      <w:tr>
        <w:trPr>
          <w:trHeight w:val="163"/>
        </w:trPr>
        <w:tc>
          <w:tcPr>
            <w:tcW w:w="3720" w:type="dxa"/>
            <w:vAlign w:val="bottom"/>
            <w:gridSpan w:val="2"/>
          </w:tcPr>
          <w:p>
            <w:pPr>
              <w:spacing w:after="0"/>
              <w:rPr>
                <w:sz w:val="20"/>
                <w:szCs w:val="20"/>
                <w:color w:val="auto"/>
              </w:rPr>
            </w:pPr>
            <w:r>
              <w:rPr>
                <w:rFonts w:ascii="Arial" w:cs="Arial" w:eastAsia="Arial" w:hAnsi="Arial"/>
                <w:sz w:val="12"/>
                <w:szCs w:val="12"/>
                <w:color w:val="auto"/>
              </w:rPr>
              <w:t>Interest rate swap contracts</w:t>
            </w: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color w:val="auto"/>
                <w:w w:val="96"/>
              </w:rPr>
              <w:t>Two</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ind w:right="4"/>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6"/>
              </w:rPr>
              <w:t>2.301 %</w:t>
            </w:r>
          </w:p>
        </w:tc>
        <w:tc>
          <w:tcPr>
            <w:tcW w:w="100" w:type="dxa"/>
            <w:vAlign w:val="bottom"/>
          </w:tcPr>
          <w:p>
            <w:pPr>
              <w:spacing w:after="0"/>
              <w:rPr>
                <w:sz w:val="14"/>
                <w:szCs w:val="14"/>
                <w:color w:val="auto"/>
              </w:rPr>
            </w:pPr>
          </w:p>
        </w:tc>
        <w:tc>
          <w:tcPr>
            <w:tcW w:w="1780" w:type="dxa"/>
            <w:vAlign w:val="bottom"/>
          </w:tcPr>
          <w:p>
            <w:pPr>
              <w:ind w:left="1060"/>
              <w:spacing w:after="0"/>
              <w:rPr>
                <w:sz w:val="20"/>
                <w:szCs w:val="20"/>
                <w:color w:val="auto"/>
              </w:rPr>
            </w:pPr>
            <w:r>
              <w:rPr>
                <w:rFonts w:ascii="Arial" w:cs="Arial" w:eastAsia="Arial" w:hAnsi="Arial"/>
                <w:sz w:val="12"/>
                <w:szCs w:val="12"/>
                <w:color w:val="auto"/>
                <w:w w:val="94"/>
              </w:rPr>
              <w:t>April 29, 2022</w:t>
            </w:r>
          </w:p>
        </w:tc>
      </w:tr>
    </w:tbl>
    <w:p>
      <w:pPr>
        <w:spacing w:after="0" w:line="11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the fair value and presentation in the Consolidated Balance Sheets for derivatives as of June 30, 2020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60" w:type="dxa"/>
            <w:vAlign w:val="bottom"/>
            <w:gridSpan w:val="4"/>
          </w:tcPr>
          <w:p>
            <w:pPr>
              <w:jc w:val="right"/>
              <w:ind w:right="1301"/>
              <w:spacing w:after="0"/>
              <w:rPr>
                <w:sz w:val="20"/>
                <w:szCs w:val="20"/>
                <w:color w:val="auto"/>
              </w:rPr>
            </w:pPr>
            <w:r>
              <w:rPr>
                <w:rFonts w:ascii="Arial" w:cs="Arial" w:eastAsia="Arial" w:hAnsi="Arial"/>
                <w:sz w:val="10"/>
                <w:szCs w:val="10"/>
                <w:b w:val="1"/>
                <w:bCs w:val="1"/>
                <w:color w:val="auto"/>
              </w:rPr>
              <w:t>Fair Value of Derivative Liabilities</w:t>
            </w:r>
          </w:p>
        </w:tc>
      </w:tr>
      <w:tr>
        <w:trPr>
          <w:trHeight w:val="154"/>
        </w:trPr>
        <w:tc>
          <w:tcPr>
            <w:tcW w:w="4100" w:type="dxa"/>
            <w:vAlign w:val="bottom"/>
            <w:tcBorders>
              <w:bottom w:val="single" w:sz="8" w:color="auto"/>
            </w:tcBorders>
          </w:tcPr>
          <w:p>
            <w:pPr>
              <w:ind w:left="1820"/>
              <w:spacing w:after="0"/>
              <w:rPr>
                <w:sz w:val="20"/>
                <w:szCs w:val="20"/>
                <w:color w:val="auto"/>
              </w:rPr>
            </w:pPr>
            <w:r>
              <w:rPr>
                <w:rFonts w:ascii="Arial" w:cs="Arial" w:eastAsia="Arial" w:hAnsi="Arial"/>
                <w:sz w:val="10"/>
                <w:szCs w:val="10"/>
                <w:b w:val="1"/>
                <w:bCs w:val="1"/>
                <w:color w:val="auto"/>
              </w:rPr>
              <w:t>Instrument</w:t>
            </w:r>
          </w:p>
        </w:tc>
        <w:tc>
          <w:tcPr>
            <w:tcW w:w="100" w:type="dxa"/>
            <w:vAlign w:val="bottom"/>
            <w:tcBorders>
              <w:bottom w:val="single" w:sz="8" w:color="CCEEFF"/>
            </w:tcBorders>
          </w:tcPr>
          <w:p>
            <w:pPr>
              <w:spacing w:after="0"/>
              <w:rPr>
                <w:sz w:val="13"/>
                <w:szCs w:val="13"/>
                <w:color w:val="auto"/>
              </w:rPr>
            </w:pPr>
          </w:p>
        </w:tc>
        <w:tc>
          <w:tcPr>
            <w:tcW w:w="2840" w:type="dxa"/>
            <w:vAlign w:val="bottom"/>
            <w:tcBorders>
              <w:bottom w:val="single" w:sz="8" w:color="auto"/>
            </w:tcBorders>
          </w:tcPr>
          <w:p>
            <w:pPr>
              <w:ind w:left="940"/>
              <w:spacing w:after="0"/>
              <w:rPr>
                <w:sz w:val="20"/>
                <w:szCs w:val="20"/>
                <w:color w:val="auto"/>
              </w:rPr>
            </w:pPr>
            <w:r>
              <w:rPr>
                <w:rFonts w:ascii="Arial" w:cs="Arial" w:eastAsia="Arial" w:hAnsi="Arial"/>
                <w:sz w:val="10"/>
                <w:szCs w:val="10"/>
                <w:b w:val="1"/>
                <w:bCs w:val="1"/>
                <w:color w:val="auto"/>
              </w:rPr>
              <w:t>Balance Sheet Location</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December 31, 2019</w:t>
            </w:r>
          </w:p>
        </w:tc>
      </w:tr>
      <w:tr>
        <w:trPr>
          <w:trHeight w:val="179"/>
        </w:trPr>
        <w:tc>
          <w:tcPr>
            <w:tcW w:w="4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Derivatives designated as hedging instruments</w:t>
            </w:r>
          </w:p>
        </w:tc>
        <w:tc>
          <w:tcPr>
            <w:tcW w:w="2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72"/>
        </w:trPr>
        <w:tc>
          <w:tcPr>
            <w:tcW w:w="4200" w:type="dxa"/>
            <w:vAlign w:val="bottom"/>
            <w:gridSpan w:val="2"/>
          </w:tcPr>
          <w:p>
            <w:pPr>
              <w:ind w:left="160"/>
              <w:spacing w:after="0"/>
              <w:rPr>
                <w:sz w:val="20"/>
                <w:szCs w:val="20"/>
                <w:color w:val="auto"/>
              </w:rPr>
            </w:pPr>
            <w:r>
              <w:rPr>
                <w:rFonts w:ascii="Arial" w:cs="Arial" w:eastAsia="Arial" w:hAnsi="Arial"/>
                <w:sz w:val="12"/>
                <w:szCs w:val="12"/>
                <w:color w:val="auto"/>
              </w:rPr>
              <w:t>Interest rate cap contract</w:t>
            </w:r>
          </w:p>
        </w:tc>
        <w:tc>
          <w:tcPr>
            <w:tcW w:w="2940" w:type="dxa"/>
            <w:vAlign w:val="bottom"/>
            <w:gridSpan w:val="2"/>
          </w:tcPr>
          <w:p>
            <w:pPr>
              <w:ind w:left="20"/>
              <w:spacing w:after="0"/>
              <w:rPr>
                <w:sz w:val="20"/>
                <w:szCs w:val="20"/>
                <w:color w:val="auto"/>
              </w:rPr>
            </w:pPr>
            <w:r>
              <w:rPr>
                <w:rFonts w:ascii="Arial" w:cs="Arial" w:eastAsia="Arial" w:hAnsi="Arial"/>
                <w:sz w:val="12"/>
                <w:szCs w:val="12"/>
                <w:color w:val="auto"/>
              </w:rPr>
              <w:t>Accrued expenses and other current liabilities</w:t>
            </w: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4"/>
                <w:szCs w:val="14"/>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1"/>
              <w:spacing w:after="0"/>
              <w:rPr>
                <w:sz w:val="20"/>
                <w:szCs w:val="20"/>
                <w:color w:val="auto"/>
              </w:rPr>
            </w:pPr>
            <w:r>
              <w:rPr>
                <w:rFonts w:ascii="Arial" w:cs="Arial" w:eastAsia="Arial" w:hAnsi="Arial"/>
                <w:sz w:val="12"/>
                <w:szCs w:val="12"/>
                <w:color w:val="auto"/>
              </w:rPr>
              <w:t>0.3</w:t>
            </w:r>
          </w:p>
        </w:tc>
      </w:tr>
      <w:tr>
        <w:trPr>
          <w:trHeight w:val="191"/>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w:t>
            </w:r>
          </w:p>
        </w:tc>
      </w:tr>
      <w:tr>
        <w:trPr>
          <w:trHeight w:val="172"/>
        </w:trPr>
        <w:tc>
          <w:tcPr>
            <w:tcW w:w="4200" w:type="dxa"/>
            <w:vAlign w:val="bottom"/>
            <w:gridSpan w:val="2"/>
          </w:tcPr>
          <w:p>
            <w:pPr>
              <w:ind w:left="160"/>
              <w:spacing w:after="0"/>
              <w:rPr>
                <w:sz w:val="20"/>
                <w:szCs w:val="20"/>
                <w:color w:val="auto"/>
              </w:rPr>
            </w:pPr>
            <w:r>
              <w:rPr>
                <w:rFonts w:ascii="Arial" w:cs="Arial" w:eastAsia="Arial" w:hAnsi="Arial"/>
                <w:sz w:val="12"/>
                <w:szCs w:val="12"/>
                <w:color w:val="auto"/>
              </w:rPr>
              <w:t>Interest rate swap contracts</w:t>
            </w:r>
          </w:p>
        </w:tc>
        <w:tc>
          <w:tcPr>
            <w:tcW w:w="2940" w:type="dxa"/>
            <w:vAlign w:val="bottom"/>
            <w:gridSpan w:val="2"/>
          </w:tcPr>
          <w:p>
            <w:pPr>
              <w:ind w:left="20"/>
              <w:spacing w:after="0"/>
              <w:rPr>
                <w:sz w:val="20"/>
                <w:szCs w:val="20"/>
                <w:color w:val="auto"/>
              </w:rPr>
            </w:pPr>
            <w:r>
              <w:rPr>
                <w:rFonts w:ascii="Arial" w:cs="Arial" w:eastAsia="Arial" w:hAnsi="Arial"/>
                <w:sz w:val="12"/>
                <w:szCs w:val="12"/>
                <w:color w:val="auto"/>
              </w:rPr>
              <w:t>Accrued expenses and other current liabilities</w:t>
            </w:r>
          </w:p>
        </w:tc>
        <w:tc>
          <w:tcPr>
            <w:tcW w:w="400" w:type="dxa"/>
            <w:vAlign w:val="bottom"/>
          </w:tcPr>
          <w:p>
            <w:pPr>
              <w:spacing w:after="0"/>
              <w:rPr>
                <w:sz w:val="14"/>
                <w:szCs w:val="14"/>
                <w:color w:val="auto"/>
              </w:rPr>
            </w:pP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1"/>
              <w:spacing w:after="0"/>
              <w:rPr>
                <w:sz w:val="20"/>
                <w:szCs w:val="20"/>
                <w:color w:val="auto"/>
              </w:rPr>
            </w:pPr>
            <w:r>
              <w:rPr>
                <w:rFonts w:ascii="Arial" w:cs="Arial" w:eastAsia="Arial" w:hAnsi="Arial"/>
                <w:sz w:val="12"/>
                <w:szCs w:val="12"/>
                <w:color w:val="auto"/>
              </w:rPr>
              <w:t>2.3</w:t>
            </w:r>
          </w:p>
        </w:tc>
      </w:tr>
      <w:tr>
        <w:trPr>
          <w:trHeight w:val="182"/>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Interest rate swap contracts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4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r>
      <w:tr>
        <w:trPr>
          <w:trHeight w:val="171"/>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Total designated derivative liabilities</w:t>
            </w:r>
          </w:p>
        </w:tc>
        <w:tc>
          <w:tcPr>
            <w:tcW w:w="2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w:t>
            </w:r>
          </w:p>
        </w:tc>
      </w:tr>
      <w:tr>
        <w:trPr>
          <w:trHeight w:val="171"/>
        </w:trPr>
        <w:tc>
          <w:tcPr>
            <w:tcW w:w="4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2"/>
        </w:trPr>
        <w:tc>
          <w:tcPr>
            <w:tcW w:w="4200" w:type="dxa"/>
            <w:vAlign w:val="bottom"/>
            <w:gridSpan w:val="2"/>
          </w:tcPr>
          <w:p>
            <w:pPr>
              <w:spacing w:after="0"/>
              <w:rPr>
                <w:sz w:val="20"/>
                <w:szCs w:val="20"/>
                <w:color w:val="auto"/>
              </w:rPr>
            </w:pPr>
            <w:r>
              <w:rPr>
                <w:rFonts w:ascii="Arial" w:cs="Arial" w:eastAsia="Arial" w:hAnsi="Arial"/>
                <w:sz w:val="12"/>
                <w:szCs w:val="12"/>
                <w:color w:val="auto"/>
              </w:rPr>
              <w:t>Derivatives not designated as hedging instruments</w:t>
            </w: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91"/>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expenses and other current liabilities</w:t>
            </w: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72"/>
        </w:trPr>
        <w:tc>
          <w:tcPr>
            <w:tcW w:w="4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Interest rate cap contract</w:t>
            </w:r>
          </w:p>
        </w:tc>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long-term liabilities</w:t>
            </w: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71"/>
        </w:trPr>
        <w:tc>
          <w:tcPr>
            <w:tcW w:w="4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undesignated derivative liabilities</w:t>
            </w:r>
          </w:p>
        </w:tc>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80"/>
        </w:trPr>
        <w:tc>
          <w:tcPr>
            <w:tcW w:w="4200" w:type="dxa"/>
            <w:vAlign w:val="bottom"/>
            <w:gridSpan w:val="2"/>
          </w:tcPr>
          <w:p>
            <w:pPr>
              <w:spacing w:after="0"/>
              <w:rPr>
                <w:sz w:val="20"/>
                <w:szCs w:val="20"/>
                <w:color w:val="auto"/>
              </w:rPr>
            </w:pPr>
            <w:r>
              <w:rPr>
                <w:rFonts w:ascii="Arial" w:cs="Arial" w:eastAsia="Arial" w:hAnsi="Arial"/>
                <w:sz w:val="12"/>
                <w:szCs w:val="12"/>
                <w:color w:val="auto"/>
              </w:rPr>
              <w:t>Total derivative liabilities</w:t>
            </w: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 xml:space="preserve">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2"/>
          <w:szCs w:val="12"/>
          <w:i w:val="1"/>
          <w:iCs w:val="1"/>
          <w:color w:val="auto"/>
        </w:rPr>
        <w:t>Interest expense, net</w:t>
      </w:r>
      <w:r>
        <w:rPr>
          <w:rFonts w:ascii="Arial" w:cs="Arial" w:eastAsia="Arial" w:hAnsi="Arial"/>
          <w:sz w:val="12"/>
          <w:szCs w:val="12"/>
          <w:color w:val="auto"/>
        </w:rPr>
        <w:t xml:space="preserve"> and as operating cash flows in our Consolidated Statements of Cash Flows.</w:t>
      </w:r>
    </w:p>
    <w:p>
      <w:pPr>
        <w:spacing w:after="0" w:line="77"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Refer to our Consolidated Statements of Comprehensive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5" w:name="page36"/>
    <w:bookmarkEnd w:id="3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Fair Value</w:t>
      </w:r>
    </w:p>
    <w:p>
      <w:pPr>
        <w:spacing w:after="0" w:line="120" w:lineRule="exact"/>
        <w:rPr>
          <w:sz w:val="20"/>
          <w:szCs w:val="20"/>
          <w:color w:val="auto"/>
        </w:rPr>
      </w:pPr>
    </w:p>
    <w:p>
      <w:pPr>
        <w:jc w:val="both"/>
        <w:ind w:right="20" w:firstLine="218"/>
        <w:spacing w:after="0" w:line="301" w:lineRule="auto"/>
        <w:rPr>
          <w:sz w:val="20"/>
          <w:szCs w:val="20"/>
          <w:color w:val="auto"/>
        </w:rPr>
      </w:pPr>
      <w:r>
        <w:rPr>
          <w:rFonts w:ascii="Arial" w:cs="Arial" w:eastAsia="Arial" w:hAnsi="Arial"/>
          <w:sz w:val="11"/>
          <w:szCs w:val="11"/>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69"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The company has elected to use the income approach to value the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91"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77"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60" w:type="dxa"/>
            <w:vAlign w:val="bottom"/>
          </w:tcPr>
          <w:p>
            <w:pPr>
              <w:ind w:left="220"/>
              <w:spacing w:after="0"/>
              <w:rPr>
                <w:sz w:val="20"/>
                <w:szCs w:val="20"/>
                <w:color w:val="auto"/>
              </w:rPr>
            </w:pPr>
            <w:r>
              <w:rPr>
                <w:rFonts w:ascii="Arial" w:cs="Arial" w:eastAsia="Arial" w:hAnsi="Arial"/>
                <w:sz w:val="12"/>
                <w:szCs w:val="12"/>
                <w:color w:val="auto"/>
                <w:w w:val="91"/>
              </w:rPr>
              <w:t>Following are the disclosures related to our assets and (liabilities) that are measured at fair value (in millions):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00"/>
        </w:trPr>
        <w:tc>
          <w:tcPr>
            <w:tcW w:w="5560" w:type="dxa"/>
            <w:vAlign w:val="bottom"/>
          </w:tcPr>
          <w:p>
            <w:pPr>
              <w:spacing w:after="0"/>
              <w:rPr>
                <w:sz w:val="20"/>
                <w:szCs w:val="20"/>
                <w:color w:val="auto"/>
              </w:rPr>
            </w:pPr>
            <w:r>
              <w:rPr>
                <w:rFonts w:ascii="Arial" w:cs="Arial" w:eastAsia="Arial" w:hAnsi="Arial"/>
                <w:sz w:val="12"/>
                <w:szCs w:val="12"/>
                <w:b w:val="1"/>
                <w:bCs w:val="1"/>
                <w:color w:val="auto"/>
              </w:rPr>
              <w:t>Fair Value at June 30, 2020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Arial" w:cs="Arial" w:eastAsia="Arial" w:hAnsi="Arial"/>
                <w:sz w:val="10"/>
                <w:szCs w:val="10"/>
                <w:b w:val="1"/>
                <w:bCs w:val="1"/>
                <w:color w:val="auto"/>
              </w:rPr>
              <w:t>Level 1</w:t>
            </w:r>
          </w:p>
        </w:tc>
        <w:tc>
          <w:tcPr>
            <w:tcW w:w="340" w:type="dxa"/>
            <w:vAlign w:val="bottom"/>
          </w:tcPr>
          <w:p>
            <w:pPr>
              <w:spacing w:after="0"/>
              <w:rPr>
                <w:sz w:val="24"/>
                <w:szCs w:val="24"/>
                <w:color w:val="auto"/>
              </w:rPr>
            </w:pPr>
          </w:p>
        </w:tc>
        <w:tc>
          <w:tcPr>
            <w:tcW w:w="1320" w:type="dxa"/>
            <w:vAlign w:val="bottom"/>
            <w:gridSpan w:val="2"/>
          </w:tcPr>
          <w:p>
            <w:pPr>
              <w:ind w:left="300"/>
              <w:spacing w:after="0"/>
              <w:rPr>
                <w:sz w:val="20"/>
                <w:szCs w:val="20"/>
                <w:color w:val="auto"/>
              </w:rPr>
            </w:pPr>
            <w:r>
              <w:rPr>
                <w:rFonts w:ascii="Arial" w:cs="Arial" w:eastAsia="Arial" w:hAnsi="Arial"/>
                <w:sz w:val="10"/>
                <w:szCs w:val="10"/>
                <w:b w:val="1"/>
                <w:bCs w:val="1"/>
                <w:color w:val="auto"/>
              </w:rPr>
              <w:t>Level 2</w:t>
            </w:r>
          </w:p>
        </w:tc>
        <w:tc>
          <w:tcPr>
            <w:tcW w:w="360" w:type="dxa"/>
            <w:vAlign w:val="bottom"/>
          </w:tcPr>
          <w:p>
            <w:pPr>
              <w:spacing w:after="0"/>
              <w:rPr>
                <w:sz w:val="24"/>
                <w:szCs w:val="24"/>
                <w:color w:val="auto"/>
              </w:rPr>
            </w:pPr>
          </w:p>
        </w:tc>
        <w:tc>
          <w:tcPr>
            <w:tcW w:w="1220" w:type="dxa"/>
            <w:vAlign w:val="bottom"/>
          </w:tcPr>
          <w:p>
            <w:pPr>
              <w:jc w:val="right"/>
              <w:ind w:right="584"/>
              <w:spacing w:after="0"/>
              <w:rPr>
                <w:sz w:val="20"/>
                <w:szCs w:val="20"/>
                <w:color w:val="auto"/>
              </w:rPr>
            </w:pPr>
            <w:r>
              <w:rPr>
                <w:rFonts w:ascii="Arial" w:cs="Arial" w:eastAsia="Arial" w:hAnsi="Arial"/>
                <w:sz w:val="10"/>
                <w:szCs w:val="10"/>
                <w:b w:val="1"/>
                <w:bCs w:val="1"/>
                <w:color w:val="auto"/>
              </w:rPr>
              <w:t>Level 3</w:t>
            </w:r>
          </w:p>
        </w:tc>
      </w:tr>
      <w:tr>
        <w:trPr>
          <w:trHeight w:val="179"/>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Measured on a recurring basis:</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72"/>
        </w:trPr>
        <w:tc>
          <w:tcPr>
            <w:tcW w:w="5560" w:type="dxa"/>
            <w:vAlign w:val="bottom"/>
          </w:tcPr>
          <w:p>
            <w:pPr>
              <w:spacing w:after="0"/>
              <w:rPr>
                <w:sz w:val="20"/>
                <w:szCs w:val="20"/>
                <w:color w:val="auto"/>
              </w:rPr>
            </w:pPr>
            <w:r>
              <w:rPr>
                <w:rFonts w:ascii="Arial" w:cs="Arial" w:eastAsia="Arial" w:hAnsi="Arial"/>
                <w:sz w:val="12"/>
                <w:szCs w:val="12"/>
                <w:color w:val="auto"/>
              </w:rPr>
              <w:t>Derivative contract, net</w:t>
            </w:r>
          </w:p>
        </w:tc>
        <w:tc>
          <w:tcPr>
            <w:tcW w:w="11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w:t>
            </w:r>
          </w:p>
        </w:tc>
      </w:tr>
      <w:tr>
        <w:trPr>
          <w:trHeight w:val="109"/>
        </w:trPr>
        <w:tc>
          <w:tcPr>
            <w:tcW w:w="55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172"/>
        </w:trPr>
        <w:tc>
          <w:tcPr>
            <w:tcW w:w="5560" w:type="dxa"/>
            <w:vAlign w:val="bottom"/>
          </w:tcPr>
          <w:p>
            <w:pPr>
              <w:spacing w:after="0"/>
              <w:rPr>
                <w:sz w:val="20"/>
                <w:szCs w:val="20"/>
                <w:color w:val="auto"/>
              </w:rPr>
            </w:pPr>
            <w:r>
              <w:rPr>
                <w:rFonts w:ascii="Arial" w:cs="Arial" w:eastAsia="Arial" w:hAnsi="Arial"/>
                <w:sz w:val="12"/>
                <w:szCs w:val="12"/>
                <w:b w:val="1"/>
                <w:bCs w:val="1"/>
                <w:color w:val="auto"/>
              </w:rPr>
              <w:t>Measured on a non-recurring basis: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1"/>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N/A</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r>
      <w:tr>
        <w:trPr>
          <w:trHeight w:val="373"/>
        </w:trPr>
        <w:tc>
          <w:tcPr>
            <w:tcW w:w="5560" w:type="dxa"/>
            <w:vAlign w:val="bottom"/>
          </w:tcPr>
          <w:p>
            <w:pPr>
              <w:spacing w:after="0"/>
              <w:rPr>
                <w:sz w:val="20"/>
                <w:szCs w:val="20"/>
                <w:color w:val="auto"/>
              </w:rPr>
            </w:pPr>
            <w:r>
              <w:rPr>
                <w:rFonts w:ascii="Arial" w:cs="Arial" w:eastAsia="Arial" w:hAnsi="Arial"/>
                <w:sz w:val="12"/>
                <w:szCs w:val="12"/>
                <w:b w:val="1"/>
                <w:bCs w:val="1"/>
                <w:color w:val="auto"/>
              </w:rPr>
              <w:t>Fair Value at December 31, 2019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Arial" w:cs="Arial" w:eastAsia="Arial" w:hAnsi="Arial"/>
                <w:sz w:val="10"/>
                <w:szCs w:val="10"/>
                <w:b w:val="1"/>
                <w:bCs w:val="1"/>
                <w:color w:val="auto"/>
              </w:rPr>
              <w:t>Level 1</w:t>
            </w:r>
          </w:p>
        </w:tc>
        <w:tc>
          <w:tcPr>
            <w:tcW w:w="340" w:type="dxa"/>
            <w:vAlign w:val="bottom"/>
          </w:tcPr>
          <w:p>
            <w:pPr>
              <w:spacing w:after="0"/>
              <w:rPr>
                <w:sz w:val="24"/>
                <w:szCs w:val="24"/>
                <w:color w:val="auto"/>
              </w:rPr>
            </w:pPr>
          </w:p>
        </w:tc>
        <w:tc>
          <w:tcPr>
            <w:tcW w:w="1320" w:type="dxa"/>
            <w:vAlign w:val="bottom"/>
            <w:gridSpan w:val="2"/>
          </w:tcPr>
          <w:p>
            <w:pPr>
              <w:ind w:left="300"/>
              <w:spacing w:after="0"/>
              <w:rPr>
                <w:sz w:val="20"/>
                <w:szCs w:val="20"/>
                <w:color w:val="auto"/>
              </w:rPr>
            </w:pPr>
            <w:r>
              <w:rPr>
                <w:rFonts w:ascii="Arial" w:cs="Arial" w:eastAsia="Arial" w:hAnsi="Arial"/>
                <w:sz w:val="10"/>
                <w:szCs w:val="10"/>
                <w:b w:val="1"/>
                <w:bCs w:val="1"/>
                <w:color w:val="auto"/>
              </w:rPr>
              <w:t>Level 2</w:t>
            </w:r>
          </w:p>
        </w:tc>
        <w:tc>
          <w:tcPr>
            <w:tcW w:w="360" w:type="dxa"/>
            <w:vAlign w:val="bottom"/>
          </w:tcPr>
          <w:p>
            <w:pPr>
              <w:spacing w:after="0"/>
              <w:rPr>
                <w:sz w:val="24"/>
                <w:szCs w:val="24"/>
                <w:color w:val="auto"/>
              </w:rPr>
            </w:pPr>
          </w:p>
        </w:tc>
        <w:tc>
          <w:tcPr>
            <w:tcW w:w="1220" w:type="dxa"/>
            <w:vAlign w:val="bottom"/>
          </w:tcPr>
          <w:p>
            <w:pPr>
              <w:jc w:val="right"/>
              <w:ind w:right="584"/>
              <w:spacing w:after="0"/>
              <w:rPr>
                <w:sz w:val="20"/>
                <w:szCs w:val="20"/>
                <w:color w:val="auto"/>
              </w:rPr>
            </w:pPr>
            <w:r>
              <w:rPr>
                <w:rFonts w:ascii="Arial" w:cs="Arial" w:eastAsia="Arial" w:hAnsi="Arial"/>
                <w:sz w:val="10"/>
                <w:szCs w:val="10"/>
                <w:b w:val="1"/>
                <w:bCs w:val="1"/>
                <w:color w:val="auto"/>
              </w:rPr>
              <w:t>Level 3</w:t>
            </w:r>
          </w:p>
        </w:tc>
      </w:tr>
      <w:tr>
        <w:trPr>
          <w:trHeight w:val="179"/>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Measured on a recurring basis:</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72"/>
        </w:trPr>
        <w:tc>
          <w:tcPr>
            <w:tcW w:w="5560" w:type="dxa"/>
            <w:vAlign w:val="bottom"/>
          </w:tcPr>
          <w:p>
            <w:pPr>
              <w:spacing w:after="0"/>
              <w:rPr>
                <w:sz w:val="20"/>
                <w:szCs w:val="20"/>
                <w:color w:val="auto"/>
              </w:rPr>
            </w:pPr>
            <w:r>
              <w:rPr>
                <w:rFonts w:ascii="Arial" w:cs="Arial" w:eastAsia="Arial" w:hAnsi="Arial"/>
                <w:sz w:val="12"/>
                <w:szCs w:val="12"/>
                <w:color w:val="auto"/>
              </w:rPr>
              <w:t>Derivative contract, net</w:t>
            </w:r>
          </w:p>
        </w:tc>
        <w:tc>
          <w:tcPr>
            <w:tcW w:w="11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32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w:t>
            </w:r>
          </w:p>
        </w:tc>
      </w:tr>
      <w:tr>
        <w:trPr>
          <w:trHeight w:val="191"/>
        </w:trPr>
        <w:tc>
          <w:tcPr>
            <w:tcW w:w="5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2"/>
        </w:trPr>
        <w:tc>
          <w:tcPr>
            <w:tcW w:w="5560" w:type="dxa"/>
            <w:vAlign w:val="bottom"/>
          </w:tcPr>
          <w:p>
            <w:pPr>
              <w:spacing w:after="0"/>
              <w:rPr>
                <w:sz w:val="20"/>
                <w:szCs w:val="20"/>
                <w:color w:val="auto"/>
              </w:rPr>
            </w:pPr>
            <w:r>
              <w:rPr>
                <w:rFonts w:ascii="Arial" w:cs="Arial" w:eastAsia="Arial" w:hAnsi="Arial"/>
                <w:sz w:val="12"/>
                <w:szCs w:val="12"/>
                <w:b w:val="1"/>
                <w:bCs w:val="1"/>
                <w:color w:val="auto"/>
              </w:rPr>
              <w:t>Measured on a non-recurring basis: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1"/>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Impaired right-of-use assets</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1.4</w:t>
            </w:r>
          </w:p>
        </w:tc>
      </w:tr>
      <w:tr>
        <w:trPr>
          <w:trHeight w:val="871"/>
        </w:trPr>
        <w:tc>
          <w:tcPr>
            <w:tcW w:w="5560" w:type="dxa"/>
            <w:vAlign w:val="bottom"/>
          </w:tcPr>
          <w:p>
            <w:pPr>
              <w:spacing w:after="0"/>
              <w:rPr>
                <w:sz w:val="24"/>
                <w:szCs w:val="24"/>
                <w:color w:val="auto"/>
              </w:rPr>
            </w:pPr>
          </w:p>
        </w:tc>
        <w:tc>
          <w:tcPr>
            <w:tcW w:w="720" w:type="dxa"/>
            <w:vAlign w:val="bottom"/>
          </w:tcPr>
          <w:p>
            <w:pPr>
              <w:jc w:val="right"/>
              <w:ind w:right="519"/>
              <w:spacing w:after="0"/>
              <w:rPr>
                <w:sz w:val="20"/>
                <w:szCs w:val="20"/>
                <w:color w:val="auto"/>
              </w:rPr>
            </w:pPr>
            <w:r>
              <w:rPr>
                <w:rFonts w:ascii="Arial" w:cs="Arial" w:eastAsia="Arial" w:hAnsi="Arial"/>
                <w:sz w:val="12"/>
                <w:szCs w:val="12"/>
                <w:color w:val="auto"/>
                <w:w w:val="89"/>
              </w:rPr>
              <w:t>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5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6" w:name="page37"/>
    <w:bookmarkEnd w:id="3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Commitments and Contingencies</w:t>
      </w:r>
    </w:p>
    <w:p>
      <w:pPr>
        <w:spacing w:after="0" w:line="116" w:lineRule="exact"/>
        <w:rPr>
          <w:sz w:val="20"/>
          <w:szCs w:val="20"/>
          <w:color w:val="auto"/>
        </w:rPr>
      </w:pPr>
    </w:p>
    <w:p>
      <w:pPr>
        <w:jc w:val="both"/>
        <w:ind w:right="20" w:firstLine="218"/>
        <w:spacing w:after="0" w:line="269" w:lineRule="auto"/>
        <w:rPr>
          <w:sz w:val="20"/>
          <w:szCs w:val="20"/>
          <w:color w:val="auto"/>
        </w:rPr>
      </w:pPr>
      <w:r>
        <w:rPr>
          <w:rFonts w:ascii="Arial" w:cs="Arial" w:eastAsia="Arial" w:hAnsi="Arial"/>
          <w:sz w:val="12"/>
          <w:szCs w:val="12"/>
          <w:b w:val="1"/>
          <w:bCs w:val="1"/>
          <w:color w:val="auto"/>
        </w:rPr>
        <w:t xml:space="preserve">Sales and use tax </w:t>
      </w:r>
      <w:r>
        <w:rPr>
          <w:rFonts w:ascii="Arial" w:cs="Arial" w:eastAsia="Arial" w:hAnsi="Arial"/>
          <w:sz w:val="12"/>
          <w:szCs w:val="12"/>
          <w:color w:val="auto"/>
        </w:rPr>
        <w:t>- The Company has conducted an assessment of sales and use tax exposure in states where the Company has established nexus. Based on this assessment, the Company has recorded a liability for taxes owed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related penalties and interest in the amount of $2.1 million and $2.1 million at June 30, 2020 and December 31, 2019, respectively. This liability is included in </w:t>
      </w:r>
      <w:r>
        <w:rPr>
          <w:rFonts w:ascii="Arial" w:cs="Arial" w:eastAsia="Arial" w:hAnsi="Arial"/>
          <w:sz w:val="12"/>
          <w:szCs w:val="12"/>
          <w:i w:val="1"/>
          <w:iCs w:val="1"/>
          <w:color w:val="auto"/>
        </w:rPr>
        <w:t>Accrued expenses and other current liabilities</w:t>
      </w:r>
      <w:r>
        <w:rPr>
          <w:rFonts w:ascii="Arial" w:cs="Arial" w:eastAsia="Arial" w:hAnsi="Arial"/>
          <w:sz w:val="12"/>
          <w:szCs w:val="12"/>
          <w:color w:val="auto"/>
        </w:rPr>
        <w:t xml:space="preserve"> in the consolidated balance sheets.</w:t>
      </w:r>
    </w:p>
    <w:p>
      <w:pPr>
        <w:spacing w:after="0" w:line="81" w:lineRule="exact"/>
        <w:rPr>
          <w:sz w:val="20"/>
          <w:szCs w:val="20"/>
          <w:color w:val="auto"/>
        </w:rPr>
      </w:pPr>
    </w:p>
    <w:p>
      <w:pPr>
        <w:jc w:val="both"/>
        <w:ind w:right="20" w:firstLine="218"/>
        <w:spacing w:after="0" w:line="287" w:lineRule="auto"/>
        <w:rPr>
          <w:sz w:val="20"/>
          <w:szCs w:val="20"/>
          <w:color w:val="auto"/>
        </w:rPr>
      </w:pPr>
      <w:r>
        <w:rPr>
          <w:rFonts w:ascii="Arial" w:cs="Arial" w:eastAsia="Arial" w:hAnsi="Arial"/>
          <w:sz w:val="12"/>
          <w:szCs w:val="12"/>
          <w:b w:val="1"/>
          <w:bCs w:val="1"/>
          <w:color w:val="auto"/>
        </w:rPr>
        <w:t xml:space="preserve">Contingent earnout payments </w:t>
      </w:r>
      <w:r>
        <w:rPr>
          <w:rFonts w:ascii="Arial" w:cs="Arial" w:eastAsia="Arial" w:hAnsi="Arial"/>
          <w:sz w:val="12"/>
          <w:szCs w:val="12"/>
          <w:color w:val="auto"/>
        </w:rPr>
        <w:t>- As of June 30, 2020, in addition to the potential Komiko earnout payment of $4.0 million (refer to Note 4 for additional information), the Company is contingently committed to making</w:t>
      </w:r>
      <w:r>
        <w:rPr>
          <w:rFonts w:ascii="Arial" w:cs="Arial" w:eastAsia="Arial" w:hAnsi="Arial"/>
          <w:sz w:val="12"/>
          <w:szCs w:val="12"/>
          <w:b w:val="1"/>
          <w:bCs w:val="1"/>
          <w:color w:val="auto"/>
        </w:rPr>
        <w:t xml:space="preserve"> </w:t>
      </w:r>
      <w:r>
        <w:rPr>
          <w:rFonts w:ascii="Arial" w:cs="Arial" w:eastAsia="Arial" w:hAnsi="Arial"/>
          <w:sz w:val="12"/>
          <w:szCs w:val="12"/>
          <w:color w:val="auto"/>
        </w:rPr>
        <w:t>additional payments of up to $1.6 million as part of our acquisition of NeverBounce.</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 xml:space="preserve">Deferred acquisition related payments - </w:t>
      </w:r>
      <w:r>
        <w:rPr>
          <w:rFonts w:ascii="Arial" w:cs="Arial" w:eastAsia="Arial" w:hAnsi="Arial"/>
          <w:sz w:val="11"/>
          <w:szCs w:val="11"/>
          <w:color w:val="auto"/>
        </w:rPr>
        <w:t>In accordance with the purchase agreement, the Company will pay deferred consideration of $10.0 million on the 2nd anniversary of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Pre-acquisition ZI</w:t>
      </w:r>
      <w:r>
        <w:rPr>
          <w:rFonts w:ascii="Arial" w:cs="Arial" w:eastAsia="Arial" w:hAnsi="Arial"/>
          <w:sz w:val="11"/>
          <w:szCs w:val="11"/>
          <w:b w:val="1"/>
          <w:bCs w:val="1"/>
          <w:color w:val="auto"/>
        </w:rPr>
        <w:t xml:space="preserve"> </w:t>
      </w:r>
      <w:r>
        <w:rPr>
          <w:rFonts w:ascii="Arial" w:cs="Arial" w:eastAsia="Arial" w:hAnsi="Arial"/>
          <w:sz w:val="11"/>
          <w:szCs w:val="11"/>
          <w:color w:val="auto"/>
        </w:rPr>
        <w:t>acquisition. Refer to Note 4.</w:t>
      </w:r>
    </w:p>
    <w:p>
      <w:pPr>
        <w:spacing w:after="0" w:line="128" w:lineRule="exact"/>
        <w:rPr>
          <w:sz w:val="20"/>
          <w:szCs w:val="20"/>
          <w:color w:val="auto"/>
        </w:rPr>
      </w:pPr>
    </w:p>
    <w:p>
      <w:pPr>
        <w:jc w:val="both"/>
        <w:ind w:firstLine="218"/>
        <w:spacing w:after="0" w:line="264" w:lineRule="auto"/>
        <w:rPr>
          <w:sz w:val="20"/>
          <w:szCs w:val="20"/>
          <w:color w:val="auto"/>
        </w:rPr>
      </w:pPr>
      <w:r>
        <w:rPr>
          <w:rFonts w:ascii="Arial" w:cs="Arial" w:eastAsia="Arial" w:hAnsi="Arial"/>
          <w:sz w:val="12"/>
          <w:szCs w:val="12"/>
          <w:b w:val="1"/>
          <w:bCs w:val="1"/>
          <w:color w:val="auto"/>
        </w:rPr>
        <w:t xml:space="preserve">Legal Matters - </w:t>
      </w:r>
      <w:r>
        <w:rPr>
          <w:rFonts w:ascii="Arial" w:cs="Arial" w:eastAsia="Arial" w:hAnsi="Arial"/>
          <w:sz w:val="12"/>
          <w:szCs w:val="12"/>
          <w:color w:val="auto"/>
        </w:rPr>
        <w:t>We are subject to various legal proceedings, claims, and governmental inspections, audits, or investigations that arise in the ordinary course of our business. There are inherent uncertainties in these matters, some</w:t>
      </w:r>
      <w:r>
        <w:rPr>
          <w:rFonts w:ascii="Arial" w:cs="Arial" w:eastAsia="Arial" w:hAnsi="Arial"/>
          <w:sz w:val="12"/>
          <w:szCs w:val="12"/>
          <w:b w:val="1"/>
          <w:bCs w:val="1"/>
          <w:color w:val="auto"/>
        </w:rPr>
        <w:t xml:space="preserve"> </w:t>
      </w:r>
      <w:r>
        <w:rPr>
          <w:rFonts w:ascii="Arial" w:cs="Arial" w:eastAsia="Arial" w:hAnsi="Arial"/>
          <w:sz w:val="12"/>
          <w:szCs w:val="12"/>
          <w:color w:val="auto"/>
        </w:rPr>
        <w:t>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Noncontrolling Interest</w:t>
      </w:r>
    </w:p>
    <w:p>
      <w:pPr>
        <w:spacing w:after="0" w:line="12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2"/>
          <w:szCs w:val="12"/>
          <w:i w:val="1"/>
          <w:iCs w:val="1"/>
          <w:color w:val="auto"/>
        </w:rPr>
        <w:t>Noncontrolling interests</w:t>
      </w:r>
      <w:r>
        <w:rPr>
          <w:rFonts w:ascii="Arial" w:cs="Arial" w:eastAsia="Arial" w:hAnsi="Arial"/>
          <w:sz w:val="12"/>
          <w:szCs w:val="12"/>
          <w:color w:val="auto"/>
        </w:rPr>
        <w:t xml:space="preserve"> and increase or decrease </w:t>
      </w:r>
      <w:r>
        <w:rPr>
          <w:rFonts w:ascii="Arial" w:cs="Arial" w:eastAsia="Arial" w:hAnsi="Arial"/>
          <w:sz w:val="12"/>
          <w:szCs w:val="12"/>
          <w:i w:val="1"/>
          <w:iCs w:val="1"/>
          <w:color w:val="auto"/>
        </w:rPr>
        <w:t xml:space="preserve">Additional paid-in capital </w:t>
      </w:r>
      <w:r>
        <w:rPr>
          <w:rFonts w:ascii="Arial" w:cs="Arial" w:eastAsia="Arial" w:hAnsi="Arial"/>
          <w:sz w:val="12"/>
          <w:szCs w:val="12"/>
          <w:color w:val="auto"/>
        </w:rPr>
        <w:t>in the Company’s Condensed Consolidated Balance Sheets.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As of June 30, 2020, ZoomInfo Technologies Inc. held 150,100,678 HoldCo Units, and ZoomInfo HoldCo held 154,331,988 OpCo Units resulting in an ownership interest of 39% in the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7" w:name="page38"/>
    <w:bookmarkEnd w:id="3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Loss Per Share (As Restated)</w:t>
      </w:r>
    </w:p>
    <w:p>
      <w:pPr>
        <w:spacing w:after="0" w:line="120"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242424"/>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242424"/>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six months ended June 30, 2019.</w:t>
      </w:r>
    </w:p>
    <w:p>
      <w:pPr>
        <w:spacing w:after="0" w:line="8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242424"/>
        </w:rPr>
        <w:t>The followin</w:t>
      </w:r>
      <w:r>
        <w:rPr>
          <w:rFonts w:ascii="Arial" w:cs="Arial" w:eastAsia="Arial" w:hAnsi="Arial"/>
          <w:sz w:val="12"/>
          <w:szCs w:val="12"/>
          <w:color w:val="000000"/>
        </w:rPr>
        <w:t>g table sets forth reconciliations of the numerators and denominators used to compute basic and diluted earnings (los</w:t>
      </w:r>
      <w:r>
        <w:rPr>
          <w:rFonts w:ascii="Arial" w:cs="Arial" w:eastAsia="Arial" w:hAnsi="Arial"/>
          <w:sz w:val="12"/>
          <w:szCs w:val="12"/>
          <w:color w:val="242424"/>
        </w:rPr>
        <w:t>s) per share of Class A and Class C common stock for the three and six months ended June 30, 2020. The basic and diluted earnings per share period for the three and six months ended June 30, 2020, represents only the period from June 4, 2020 to June 30, 2020, which represents the period wherein we had outstanding Class A and Class C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Three Months Ended June 30, 2020</w:t>
            </w:r>
          </w:p>
        </w:tc>
        <w:tc>
          <w:tcPr>
            <w:tcW w:w="2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w w:val="89"/>
              </w:rPr>
              <w:t>Six Months Ended June 30, 2020</w:t>
            </w:r>
          </w:p>
        </w:tc>
      </w:tr>
      <w:tr>
        <w:trPr>
          <w:trHeight w:val="168"/>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2"/>
                <w:szCs w:val="12"/>
                <w:color w:val="auto"/>
              </w:rPr>
              <w:t>(Unaudited)</w:t>
            </w:r>
          </w:p>
        </w:tc>
        <w:tc>
          <w:tcPr>
            <w:tcW w:w="1820" w:type="dxa"/>
            <w:vAlign w:val="bottom"/>
          </w:tcPr>
          <w:p>
            <w:pPr>
              <w:spacing w:after="0"/>
              <w:rPr>
                <w:sz w:val="14"/>
                <w:szCs w:val="14"/>
                <w:color w:val="auto"/>
              </w:rPr>
            </w:pPr>
          </w:p>
        </w:tc>
      </w:tr>
      <w:tr>
        <w:trPr>
          <w:trHeight w:val="191"/>
        </w:trPr>
        <w:tc>
          <w:tcPr>
            <w:tcW w:w="7040" w:type="dxa"/>
            <w:vAlign w:val="bottom"/>
            <w:shd w:val="clear" w:color="auto" w:fill="CCEEFF"/>
          </w:tcPr>
          <w:p>
            <w:pPr>
              <w:spacing w:after="0"/>
              <w:rPr>
                <w:sz w:val="20"/>
                <w:szCs w:val="20"/>
                <w:color w:val="auto"/>
              </w:rPr>
            </w:pPr>
            <w:r>
              <w:rPr>
                <w:rFonts w:ascii="Arial" w:cs="Arial" w:eastAsia="Arial" w:hAnsi="Arial"/>
                <w:sz w:val="12"/>
                <w:szCs w:val="12"/>
                <w:color w:val="auto"/>
              </w:rPr>
              <w:t>Numerator:</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172"/>
        </w:trPr>
        <w:tc>
          <w:tcPr>
            <w:tcW w:w="7040" w:type="dxa"/>
            <w:vAlign w:val="bottom"/>
          </w:tcPr>
          <w:p>
            <w:pPr>
              <w:spacing w:after="0"/>
              <w:rPr>
                <w:sz w:val="20"/>
                <w:szCs w:val="20"/>
                <w:color w:val="auto"/>
              </w:rPr>
            </w:pPr>
            <w:r>
              <w:rPr>
                <w:rFonts w:ascii="Arial" w:cs="Arial" w:eastAsia="Arial" w:hAnsi="Arial"/>
                <w:sz w:val="12"/>
                <w:szCs w:val="12"/>
                <w:color w:val="auto"/>
              </w:rPr>
              <w:t>Net income (loss)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940" w:type="dxa"/>
            <w:vAlign w:val="bottom"/>
          </w:tcPr>
          <w:p>
            <w:pPr>
              <w:jc w:val="right"/>
              <w:spacing w:after="0"/>
              <w:rPr>
                <w:sz w:val="20"/>
                <w:szCs w:val="20"/>
                <w:color w:val="auto"/>
              </w:rPr>
            </w:pPr>
            <w:r>
              <w:rPr>
                <w:rFonts w:ascii="Arial" w:cs="Arial" w:eastAsia="Arial" w:hAnsi="Arial"/>
                <w:sz w:val="12"/>
                <w:szCs w:val="12"/>
                <w:color w:val="auto"/>
              </w:rPr>
              <w:t>(77.9)</w:t>
            </w:r>
          </w:p>
        </w:tc>
        <w:tc>
          <w:tcPr>
            <w:tcW w:w="100" w:type="dxa"/>
            <w:vAlign w:val="bottom"/>
          </w:tcPr>
          <w:p>
            <w:pPr>
              <w:spacing w:after="0"/>
              <w:rPr>
                <w:sz w:val="14"/>
                <w:szCs w:val="14"/>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(83.8)</w:t>
            </w:r>
          </w:p>
        </w:tc>
      </w:tr>
      <w:tr>
        <w:trPr>
          <w:trHeight w:val="191"/>
        </w:trPr>
        <w:tc>
          <w:tcPr>
            <w:tcW w:w="704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ZoomInfo OpCo before Reorganization Transactions</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r>
      <w:tr>
        <w:trPr>
          <w:trHeight w:val="172"/>
        </w:trPr>
        <w:tc>
          <w:tcPr>
            <w:tcW w:w="7040" w:type="dxa"/>
            <w:vAlign w:val="bottom"/>
          </w:tcPr>
          <w:p>
            <w:pPr>
              <w:spacing w:after="0"/>
              <w:rPr>
                <w:sz w:val="20"/>
                <w:szCs w:val="20"/>
                <w:color w:val="auto"/>
              </w:rPr>
            </w:pPr>
            <w:r>
              <w:rPr>
                <w:rFonts w:ascii="Arial" w:cs="Arial" w:eastAsia="Arial" w:hAnsi="Arial"/>
                <w:sz w:val="12"/>
                <w:szCs w:val="12"/>
                <w:color w:val="auto"/>
              </w:rPr>
              <w:t>Less: Net income (loss) attributable to noncontrolling interests</w:t>
            </w:r>
          </w:p>
        </w:tc>
        <w:tc>
          <w:tcPr>
            <w:tcW w:w="1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(44.3)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(44.3)</w:t>
            </w:r>
          </w:p>
        </w:tc>
      </w:tr>
      <w:tr>
        <w:trPr>
          <w:trHeight w:val="182"/>
        </w:trPr>
        <w:tc>
          <w:tcPr>
            <w:tcW w:w="7040" w:type="dxa"/>
            <w:vAlign w:val="bottom"/>
            <w:shd w:val="clear" w:color="auto" w:fill="CCEEFF"/>
          </w:tcPr>
          <w:p>
            <w:pPr>
              <w:spacing w:after="0"/>
              <w:rPr>
                <w:sz w:val="20"/>
                <w:szCs w:val="20"/>
                <w:color w:val="auto"/>
              </w:rPr>
            </w:pPr>
            <w:r>
              <w:rPr>
                <w:rFonts w:ascii="Arial" w:cs="Arial" w:eastAsia="Arial" w:hAnsi="Arial"/>
                <w:sz w:val="12"/>
                <w:szCs w:val="12"/>
                <w:color w:val="auto"/>
              </w:rPr>
              <w:t>Less: Excess of consideration paid over carrying amount to holders of Series A Preferred Units attributable to common shares</w:t>
            </w:r>
          </w:p>
        </w:tc>
        <w:tc>
          <w:tcPr>
            <w:tcW w:w="14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w:t>
            </w:r>
          </w:p>
        </w:tc>
      </w:tr>
      <w:tr>
        <w:trPr>
          <w:trHeight w:val="171"/>
        </w:trPr>
        <w:tc>
          <w:tcPr>
            <w:tcW w:w="7040" w:type="dxa"/>
            <w:vAlign w:val="bottom"/>
          </w:tcPr>
          <w:p>
            <w:pPr>
              <w:spacing w:after="0"/>
              <w:rPr>
                <w:sz w:val="20"/>
                <w:szCs w:val="20"/>
                <w:color w:val="auto"/>
              </w:rPr>
            </w:pPr>
            <w:r>
              <w:rPr>
                <w:rFonts w:ascii="Arial" w:cs="Arial" w:eastAsia="Arial" w:hAnsi="Arial"/>
                <w:sz w:val="12"/>
                <w:szCs w:val="12"/>
                <w:color w:val="auto"/>
              </w:rPr>
              <w:t>Net income (loss) attributable to ZoomInfo Technologies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r>
    </w:tbl>
    <w:p>
      <w:pPr>
        <w:spacing w:after="0" w:line="17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computation of basic and diluted net income per share of Class A and Class C common stock (in millions, except share amounts, and per share amounts,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b w:val="1"/>
                <w:bCs w:val="1"/>
                <w:color w:val="auto"/>
              </w:rPr>
              <w:t>Three Months Ended June 30, 2020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b w:val="1"/>
                <w:bCs w:val="1"/>
                <w:color w:val="auto"/>
              </w:rPr>
              <w:t>Six Months Ended June 30, 2020</w:t>
            </w:r>
          </w:p>
        </w:tc>
      </w:tr>
      <w:tr>
        <w:trPr>
          <w:trHeight w:val="171"/>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Class C</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Class C</w:t>
            </w:r>
          </w:p>
        </w:tc>
      </w:tr>
      <w:tr>
        <w:trPr>
          <w:trHeight w:val="198"/>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159"/>
              <w:spacing w:after="0"/>
              <w:rPr>
                <w:sz w:val="20"/>
                <w:szCs w:val="20"/>
                <w:color w:val="auto"/>
              </w:rPr>
            </w:pPr>
            <w:r>
              <w:rPr>
                <w:rFonts w:ascii="Arial" w:cs="Arial" w:eastAsia="Arial" w:hAnsi="Arial"/>
                <w:sz w:val="12"/>
                <w:szCs w:val="12"/>
                <w:color w:val="auto"/>
              </w:rPr>
              <w:t>(Unaudited)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1"/>
        </w:trPr>
        <w:tc>
          <w:tcPr>
            <w:tcW w:w="4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net income (loss) per share attributable to common stockholders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2"/>
        </w:trPr>
        <w:tc>
          <w:tcPr>
            <w:tcW w:w="4940" w:type="dxa"/>
            <w:vAlign w:val="bottom"/>
          </w:tcPr>
          <w:p>
            <w:pPr>
              <w:ind w:left="80"/>
              <w:spacing w:after="0"/>
              <w:rPr>
                <w:sz w:val="20"/>
                <w:szCs w:val="20"/>
                <w:color w:val="auto"/>
              </w:rPr>
            </w:pPr>
            <w:r>
              <w:rPr>
                <w:rFonts w:ascii="Arial" w:cs="Arial" w:eastAsia="Arial" w:hAnsi="Arial"/>
                <w:sz w:val="12"/>
                <w:szCs w:val="12"/>
                <w:b w:val="1"/>
                <w:bCs w:val="1"/>
                <w:color w:val="auto"/>
              </w:rPr>
              <w:t>Numerator: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4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Allocation of net income (loss) attributable to ZoomInfo Technologies Inc.</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center"/>
              <w:ind w:left="859"/>
              <w:spacing w:after="0"/>
              <w:rPr>
                <w:sz w:val="20"/>
                <w:szCs w:val="20"/>
                <w:color w:val="auto"/>
              </w:rPr>
            </w:pPr>
            <w:r>
              <w:rPr>
                <w:rFonts w:ascii="Arial" w:cs="Arial" w:eastAsia="Arial" w:hAnsi="Arial"/>
                <w:sz w:val="12"/>
                <w:szCs w:val="12"/>
                <w:color w:val="auto"/>
                <w:w w:val="95"/>
              </w:rPr>
              <w:t>(15.7)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center"/>
              <w:ind w:left="879"/>
              <w:spacing w:after="0"/>
              <w:rPr>
                <w:sz w:val="20"/>
                <w:szCs w:val="20"/>
                <w:color w:val="auto"/>
              </w:rPr>
            </w:pPr>
            <w:r>
              <w:rPr>
                <w:rFonts w:ascii="Arial" w:cs="Arial" w:eastAsia="Arial" w:hAnsi="Arial"/>
                <w:sz w:val="12"/>
                <w:szCs w:val="12"/>
                <w:color w:val="auto"/>
                <w:w w:val="95"/>
              </w:rPr>
              <w:t>(29.7)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center"/>
              <w:ind w:left="739"/>
              <w:spacing w:after="0"/>
              <w:rPr>
                <w:sz w:val="20"/>
                <w:szCs w:val="20"/>
                <w:color w:val="auto"/>
              </w:rPr>
            </w:pPr>
            <w:r>
              <w:rPr>
                <w:rFonts w:ascii="Arial" w:cs="Arial" w:eastAsia="Arial" w:hAnsi="Arial"/>
                <w:sz w:val="12"/>
                <w:szCs w:val="12"/>
                <w:color w:val="auto"/>
                <w:w w:val="95"/>
              </w:rPr>
              <w:t>(15.7)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center"/>
              <w:ind w:left="739"/>
              <w:spacing w:after="0"/>
              <w:rPr>
                <w:sz w:val="20"/>
                <w:szCs w:val="20"/>
                <w:color w:val="auto"/>
              </w:rPr>
            </w:pPr>
            <w:r>
              <w:rPr>
                <w:rFonts w:ascii="Arial" w:cs="Arial" w:eastAsia="Arial" w:hAnsi="Arial"/>
                <w:sz w:val="12"/>
                <w:szCs w:val="12"/>
                <w:color w:val="auto"/>
                <w:w w:val="95"/>
              </w:rPr>
              <w:t>(29.7)</w:t>
            </w:r>
          </w:p>
        </w:tc>
      </w:tr>
      <w:tr>
        <w:trPr>
          <w:trHeight w:val="172"/>
        </w:trPr>
        <w:tc>
          <w:tcPr>
            <w:tcW w:w="4940" w:type="dxa"/>
            <w:vAlign w:val="bottom"/>
          </w:tcPr>
          <w:p>
            <w:pPr>
              <w:ind w:left="80"/>
              <w:spacing w:after="0"/>
              <w:rPr>
                <w:sz w:val="20"/>
                <w:szCs w:val="20"/>
                <w:color w:val="auto"/>
              </w:rPr>
            </w:pPr>
            <w:r>
              <w:rPr>
                <w:rFonts w:ascii="Arial" w:cs="Arial" w:eastAsia="Arial" w:hAnsi="Arial"/>
                <w:sz w:val="12"/>
                <w:szCs w:val="12"/>
                <w:b w:val="1"/>
                <w:bCs w:val="1"/>
                <w:color w:val="auto"/>
              </w:rPr>
              <w:t>Denominator: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4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Weighted average number of shares of Class A and Class C common stock outstanding</w:t>
            </w: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2"/>
                <w:szCs w:val="12"/>
                <w:color w:val="auto"/>
                <w:w w:val="93"/>
              </w:rPr>
              <w:t>52.0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center"/>
              <w:ind w:left="879"/>
              <w:spacing w:after="0"/>
              <w:rPr>
                <w:sz w:val="20"/>
                <w:szCs w:val="20"/>
                <w:color w:val="auto"/>
              </w:rPr>
            </w:pPr>
            <w:r>
              <w:rPr>
                <w:rFonts w:ascii="Arial" w:cs="Arial" w:eastAsia="Arial" w:hAnsi="Arial"/>
                <w:sz w:val="12"/>
                <w:szCs w:val="12"/>
                <w:color w:val="auto"/>
                <w:w w:val="93"/>
              </w:rPr>
              <w:t>98.1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2"/>
                <w:szCs w:val="12"/>
                <w:color w:val="auto"/>
                <w:w w:val="85"/>
              </w:rPr>
              <w:t>52.0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2"/>
                <w:szCs w:val="12"/>
                <w:color w:val="auto"/>
                <w:w w:val="85"/>
              </w:rPr>
              <w:t>98.1</w:t>
            </w:r>
          </w:p>
        </w:tc>
      </w:tr>
      <w:tr>
        <w:trPr>
          <w:trHeight w:val="196"/>
        </w:trPr>
        <w:tc>
          <w:tcPr>
            <w:tcW w:w="4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Basic net income (loss) per share attributable to common stockholders</w:t>
            </w: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center"/>
              <w:ind w:left="859"/>
              <w:spacing w:after="0"/>
              <w:rPr>
                <w:sz w:val="20"/>
                <w:szCs w:val="20"/>
                <w:color w:val="auto"/>
              </w:rPr>
            </w:pPr>
            <w:r>
              <w:rPr>
                <w:rFonts w:ascii="Arial" w:cs="Arial" w:eastAsia="Arial" w:hAnsi="Arial"/>
                <w:sz w:val="12"/>
                <w:szCs w:val="12"/>
                <w:color w:val="auto"/>
                <w:w w:val="95"/>
              </w:rPr>
              <w:t>(0.30)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center"/>
              <w:ind w:left="879"/>
              <w:spacing w:after="0"/>
              <w:rPr>
                <w:sz w:val="20"/>
                <w:szCs w:val="20"/>
                <w:color w:val="auto"/>
              </w:rPr>
            </w:pPr>
            <w:r>
              <w:rPr>
                <w:rFonts w:ascii="Arial" w:cs="Arial" w:eastAsia="Arial" w:hAnsi="Arial"/>
                <w:sz w:val="12"/>
                <w:szCs w:val="12"/>
                <w:color w:val="auto"/>
                <w:w w:val="95"/>
              </w:rPr>
              <w:t>(0.30)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center"/>
              <w:ind w:left="739"/>
              <w:spacing w:after="0"/>
              <w:rPr>
                <w:sz w:val="20"/>
                <w:szCs w:val="20"/>
                <w:color w:val="auto"/>
              </w:rPr>
            </w:pPr>
            <w:r>
              <w:rPr>
                <w:rFonts w:ascii="Arial" w:cs="Arial" w:eastAsia="Arial" w:hAnsi="Arial"/>
                <w:sz w:val="12"/>
                <w:szCs w:val="12"/>
                <w:color w:val="auto"/>
                <w:w w:val="95"/>
              </w:rPr>
              <w:t>(0.30)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center"/>
              <w:ind w:left="739"/>
              <w:spacing w:after="0"/>
              <w:rPr>
                <w:sz w:val="20"/>
                <w:szCs w:val="20"/>
                <w:color w:val="auto"/>
              </w:rPr>
            </w:pPr>
            <w:r>
              <w:rPr>
                <w:rFonts w:ascii="Arial" w:cs="Arial" w:eastAsia="Arial" w:hAnsi="Arial"/>
                <w:sz w:val="12"/>
                <w:szCs w:val="12"/>
                <w:color w:val="auto"/>
                <w:w w:val="95"/>
              </w:rPr>
              <w:t>(0.30)</w:t>
            </w:r>
          </w:p>
        </w:tc>
      </w:tr>
      <w:tr>
        <w:trPr>
          <w:trHeight w:val="163"/>
        </w:trPr>
        <w:tc>
          <w:tcPr>
            <w:tcW w:w="4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653"/>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759"/>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9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22"/>
        </w:trPr>
        <w:tc>
          <w:tcPr>
            <w:tcW w:w="4940" w:type="dxa"/>
            <w:vAlign w:val="bottom"/>
          </w:tcPr>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471"/>
        </w:trPr>
        <w:tc>
          <w:tcPr>
            <w:tcW w:w="4940" w:type="dxa"/>
            <w:vAlign w:val="bottom"/>
          </w:tcPr>
          <w:p>
            <w:pPr>
              <w:spacing w:after="0"/>
              <w:rPr>
                <w:sz w:val="20"/>
                <w:szCs w:val="20"/>
                <w:color w:val="auto"/>
              </w:rPr>
            </w:pPr>
            <w:r>
              <w:rPr>
                <w:rFonts w:ascii="Arial" w:cs="Arial" w:eastAsia="Arial" w:hAnsi="Arial"/>
                <w:sz w:val="12"/>
                <w:szCs w:val="12"/>
                <w:b w:val="1"/>
                <w:bCs w:val="1"/>
                <w:color w:val="auto"/>
              </w:rPr>
              <w:t>Note 12 - Loss Per Share (continued)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1"/>
        </w:trPr>
        <w:tc>
          <w:tcPr>
            <w:tcW w:w="4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2"/>
                <w:szCs w:val="12"/>
                <w:b w:val="1"/>
                <w:bCs w:val="1"/>
                <w:color w:val="auto"/>
              </w:rPr>
              <w:t>Three Months Ended June 30, 2020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2"/>
                <w:szCs w:val="12"/>
                <w:b w:val="1"/>
                <w:bCs w:val="1"/>
                <w:color w:val="auto"/>
              </w:rPr>
              <w:t>Six Months Ended June 30, 2020</w:t>
            </w:r>
          </w:p>
        </w:tc>
      </w:tr>
      <w:tr>
        <w:trPr>
          <w:trHeight w:val="171"/>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Class C</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Class A</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Class C</w:t>
            </w:r>
          </w:p>
        </w:tc>
      </w:tr>
      <w:tr>
        <w:trPr>
          <w:trHeight w:val="189"/>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59"/>
              <w:spacing w:after="0"/>
              <w:rPr>
                <w:sz w:val="20"/>
                <w:szCs w:val="20"/>
                <w:color w:val="auto"/>
              </w:rPr>
            </w:pPr>
            <w:r>
              <w:rPr>
                <w:rFonts w:ascii="Arial" w:cs="Arial" w:eastAsia="Arial" w:hAnsi="Arial"/>
                <w:sz w:val="12"/>
                <w:szCs w:val="12"/>
                <w:color w:val="auto"/>
              </w:rPr>
              <w:t>(Unaudited)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940" w:type="dxa"/>
            <w:vAlign w:val="bottom"/>
          </w:tcPr>
          <w:p>
            <w:pPr>
              <w:spacing w:after="0"/>
              <w:rPr>
                <w:sz w:val="20"/>
                <w:szCs w:val="20"/>
                <w:color w:val="auto"/>
              </w:rPr>
            </w:pPr>
            <w:r>
              <w:rPr>
                <w:rFonts w:ascii="Arial" w:cs="Arial" w:eastAsia="Arial" w:hAnsi="Arial"/>
                <w:sz w:val="12"/>
                <w:szCs w:val="12"/>
                <w:b w:val="1"/>
                <w:bCs w:val="1"/>
                <w:color w:val="auto"/>
              </w:rPr>
              <w:t>Diluted net income (loss) per share attributable to common stockholders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4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Numerator:</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2"/>
        </w:trPr>
        <w:tc>
          <w:tcPr>
            <w:tcW w:w="4940" w:type="dxa"/>
            <w:vAlign w:val="bottom"/>
          </w:tcPr>
          <w:p>
            <w:pPr>
              <w:ind w:left="160"/>
              <w:spacing w:after="0"/>
              <w:rPr>
                <w:sz w:val="20"/>
                <w:szCs w:val="20"/>
                <w:color w:val="auto"/>
              </w:rPr>
            </w:pPr>
            <w:r>
              <w:rPr>
                <w:rFonts w:ascii="Arial" w:cs="Arial" w:eastAsia="Arial" w:hAnsi="Arial"/>
                <w:sz w:val="12"/>
                <w:szCs w:val="12"/>
                <w:color w:val="auto"/>
              </w:rPr>
              <w:t>Undistributed earnings for basic computation</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(29.7)</w:t>
            </w:r>
          </w:p>
        </w:tc>
        <w:tc>
          <w:tcPr>
            <w:tcW w:w="10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(29.7)</w:t>
            </w:r>
          </w:p>
        </w:tc>
      </w:tr>
      <w:tr>
        <w:trPr>
          <w:trHeight w:val="182"/>
        </w:trPr>
        <w:tc>
          <w:tcPr>
            <w:tcW w:w="494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7"/>
              </w:rPr>
              <w:t>Reallocation of undistributed earnings as a result of conversion of Class C to Class A shares</w:t>
            </w: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r>
      <w:tr>
        <w:trPr>
          <w:trHeight w:val="196"/>
        </w:trPr>
        <w:tc>
          <w:tcPr>
            <w:tcW w:w="4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Allocation of undistributed earnings</w:t>
            </w: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w:t>
            </w:r>
          </w:p>
        </w:tc>
      </w:tr>
      <w:tr>
        <w:trPr>
          <w:trHeight w:val="163"/>
        </w:trPr>
        <w:tc>
          <w:tcPr>
            <w:tcW w:w="4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2"/>
        </w:trPr>
        <w:tc>
          <w:tcPr>
            <w:tcW w:w="4940" w:type="dxa"/>
            <w:vAlign w:val="bottom"/>
          </w:tcPr>
          <w:p>
            <w:pPr>
              <w:spacing w:after="0"/>
              <w:rPr>
                <w:sz w:val="20"/>
                <w:szCs w:val="20"/>
                <w:color w:val="auto"/>
              </w:rPr>
            </w:pPr>
            <w:r>
              <w:rPr>
                <w:rFonts w:ascii="Arial" w:cs="Arial" w:eastAsia="Arial" w:hAnsi="Arial"/>
                <w:sz w:val="12"/>
                <w:szCs w:val="12"/>
                <w:b w:val="1"/>
                <w:bCs w:val="1"/>
                <w:color w:val="auto"/>
              </w:rPr>
              <w:t>Denominator: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Number of shares used in basic computation</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51,994,291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98,106,387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51,994,291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98,106,387</w:t>
            </w:r>
          </w:p>
        </w:tc>
      </w:tr>
      <w:tr>
        <w:trPr>
          <w:trHeight w:val="172"/>
        </w:trPr>
        <w:tc>
          <w:tcPr>
            <w:tcW w:w="4940" w:type="dxa"/>
            <w:vAlign w:val="bottom"/>
          </w:tcPr>
          <w:p>
            <w:pPr>
              <w:ind w:left="80"/>
              <w:spacing w:after="0"/>
              <w:rPr>
                <w:sz w:val="20"/>
                <w:szCs w:val="20"/>
                <w:color w:val="auto"/>
              </w:rPr>
            </w:pPr>
            <w:r>
              <w:rPr>
                <w:rFonts w:ascii="Arial" w:cs="Arial" w:eastAsia="Arial" w:hAnsi="Arial"/>
                <w:sz w:val="12"/>
                <w:szCs w:val="12"/>
                <w:color w:val="auto"/>
              </w:rPr>
              <w:t>Add: weighted-average effect of dilutive securities: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49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Conversion of Class C to Class A common shares outstanding</w:t>
            </w: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98,106,387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98,106,387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r>
      <w:tr>
        <w:trPr>
          <w:trHeight w:val="135"/>
        </w:trPr>
        <w:tc>
          <w:tcPr>
            <w:tcW w:w="4940" w:type="dxa"/>
            <w:vAlign w:val="bottom"/>
          </w:tcPr>
          <w:p>
            <w:pPr>
              <w:ind w:left="160"/>
              <w:spacing w:after="0" w:line="134" w:lineRule="exact"/>
              <w:rPr>
                <w:sz w:val="20"/>
                <w:szCs w:val="20"/>
                <w:color w:val="auto"/>
              </w:rPr>
            </w:pPr>
            <w:r>
              <w:rPr>
                <w:rFonts w:ascii="Arial" w:cs="Arial" w:eastAsia="Arial" w:hAnsi="Arial"/>
                <w:sz w:val="12"/>
                <w:szCs w:val="12"/>
                <w:color w:val="auto"/>
                <w:w w:val="94"/>
              </w:rPr>
              <w:t>Weighted average shares of Class A and Class C common stock outstanding used to calculate</w:t>
            </w: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3"/>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diluted net income (loss) per share</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150,100,678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98,106,387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150,100,678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98,106,387</w:t>
            </w:r>
          </w:p>
        </w:tc>
      </w:tr>
      <w:tr>
        <w:trPr>
          <w:trHeight w:val="196"/>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net income (loss) per share attributable to common stockholders</w:t>
            </w:r>
          </w:p>
        </w:tc>
        <w:tc>
          <w:tcPr>
            <w:tcW w:w="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r>
    </w:tbl>
    <w:p>
      <w:pPr>
        <w:spacing w:after="0" w:line="173"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242424"/>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77"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4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9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9"/>
              </w:rPr>
              <w:t>Six Months Ended June 30, 2020</w:t>
            </w: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HSKB II Class 1 Units</w:t>
            </w:r>
          </w:p>
        </w:tc>
        <w:tc>
          <w:tcPr>
            <w:tcW w:w="7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1,824,814</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2"/>
                <w:szCs w:val="12"/>
                <w:color w:val="auto"/>
              </w:rPr>
              <w:t>HSKB II Phantom Units</w:t>
            </w:r>
          </w:p>
        </w:tc>
        <w:tc>
          <w:tcPr>
            <w:tcW w:w="7760" w:type="dxa"/>
            <w:vAlign w:val="bottom"/>
            <w:gridSpan w:val="2"/>
          </w:tcPr>
          <w:p>
            <w:pPr>
              <w:jc w:val="right"/>
              <w:ind w:right="3"/>
              <w:spacing w:after="0"/>
              <w:rPr>
                <w:sz w:val="20"/>
                <w:szCs w:val="20"/>
                <w:color w:val="auto"/>
              </w:rPr>
            </w:pPr>
            <w:r>
              <w:rPr>
                <w:rFonts w:ascii="Arial" w:cs="Arial" w:eastAsia="Arial" w:hAnsi="Arial"/>
                <w:sz w:val="12"/>
                <w:szCs w:val="12"/>
                <w:color w:val="auto"/>
              </w:rPr>
              <w:t>375,201</w:t>
            </w: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HSKB I Class 1 Units</w:t>
            </w:r>
          </w:p>
        </w:tc>
        <w:tc>
          <w:tcPr>
            <w:tcW w:w="7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13,169,365</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2"/>
                <w:szCs w:val="12"/>
                <w:color w:val="auto"/>
              </w:rPr>
              <w:t>OpCo Units</w:t>
            </w:r>
          </w:p>
        </w:tc>
        <w:tc>
          <w:tcPr>
            <w:tcW w:w="7760" w:type="dxa"/>
            <w:vAlign w:val="bottom"/>
            <w:gridSpan w:val="2"/>
          </w:tcPr>
          <w:p>
            <w:pPr>
              <w:jc w:val="right"/>
              <w:ind w:right="3"/>
              <w:spacing w:after="0"/>
              <w:rPr>
                <w:sz w:val="20"/>
                <w:szCs w:val="20"/>
                <w:color w:val="auto"/>
              </w:rPr>
            </w:pPr>
            <w:r>
              <w:rPr>
                <w:rFonts w:ascii="Arial" w:cs="Arial" w:eastAsia="Arial" w:hAnsi="Arial"/>
                <w:sz w:val="12"/>
                <w:szCs w:val="12"/>
                <w:color w:val="auto"/>
              </w:rPr>
              <w:t>219,637,430</w:t>
            </w: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Class P Units</w:t>
            </w:r>
          </w:p>
        </w:tc>
        <w:tc>
          <w:tcPr>
            <w:tcW w:w="7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12,548,938</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2"/>
                <w:szCs w:val="12"/>
                <w:color w:val="auto"/>
              </w:rPr>
              <w:t>LTIP Units</w:t>
            </w:r>
          </w:p>
        </w:tc>
        <w:tc>
          <w:tcPr>
            <w:tcW w:w="7760" w:type="dxa"/>
            <w:vAlign w:val="bottom"/>
            <w:gridSpan w:val="2"/>
          </w:tcPr>
          <w:p>
            <w:pPr>
              <w:jc w:val="right"/>
              <w:ind w:right="3"/>
              <w:spacing w:after="0"/>
              <w:rPr>
                <w:sz w:val="20"/>
                <w:szCs w:val="20"/>
                <w:color w:val="auto"/>
              </w:rPr>
            </w:pPr>
            <w:r>
              <w:rPr>
                <w:rFonts w:ascii="Arial" w:cs="Arial" w:eastAsia="Arial" w:hAnsi="Arial"/>
                <w:sz w:val="12"/>
                <w:szCs w:val="12"/>
                <w:color w:val="auto"/>
              </w:rPr>
              <w:t>26,595</w:t>
            </w: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Class A Stock Options / LROs</w:t>
            </w:r>
          </w:p>
        </w:tc>
        <w:tc>
          <w:tcPr>
            <w:tcW w:w="776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287,299</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2"/>
                <w:szCs w:val="12"/>
                <w:color w:val="auto"/>
              </w:rPr>
              <w:t>Restricted Stock Units</w:t>
            </w:r>
          </w:p>
        </w:tc>
        <w:tc>
          <w:tcPr>
            <w:tcW w:w="7760" w:type="dxa"/>
            <w:vAlign w:val="bottom"/>
            <w:gridSpan w:val="2"/>
          </w:tcPr>
          <w:p>
            <w:pPr>
              <w:jc w:val="right"/>
              <w:ind w:right="3"/>
              <w:spacing w:after="0"/>
              <w:rPr>
                <w:sz w:val="20"/>
                <w:szCs w:val="20"/>
                <w:color w:val="auto"/>
              </w:rPr>
            </w:pPr>
            <w:r>
              <w:rPr>
                <w:rFonts w:ascii="Arial" w:cs="Arial" w:eastAsia="Arial" w:hAnsi="Arial"/>
                <w:sz w:val="12"/>
                <w:szCs w:val="12"/>
                <w:color w:val="auto"/>
              </w:rPr>
              <w:t>290,795</w:t>
            </w: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HoldCo Units</w:t>
            </w:r>
          </w:p>
        </w:tc>
        <w:tc>
          <w:tcPr>
            <w:tcW w:w="5820" w:type="dxa"/>
            <w:vAlign w:val="bottom"/>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1,250,509</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2"/>
                <w:szCs w:val="12"/>
                <w:color w:val="auto"/>
              </w:rPr>
              <w:t>Total anti-dilutive securities</w:t>
            </w:r>
          </w:p>
        </w:tc>
        <w:tc>
          <w:tcPr>
            <w:tcW w:w="7760" w:type="dxa"/>
            <w:vAlign w:val="bottom"/>
            <w:gridSpan w:val="2"/>
          </w:tcPr>
          <w:p>
            <w:pPr>
              <w:jc w:val="right"/>
              <w:ind w:right="3"/>
              <w:spacing w:after="0"/>
              <w:rPr>
                <w:sz w:val="20"/>
                <w:szCs w:val="20"/>
                <w:color w:val="auto"/>
              </w:rPr>
            </w:pPr>
            <w:r>
              <w:rPr>
                <w:rFonts w:ascii="Arial" w:cs="Arial" w:eastAsia="Arial" w:hAnsi="Arial"/>
                <w:sz w:val="12"/>
                <w:szCs w:val="12"/>
                <w:color w:val="auto"/>
              </w:rPr>
              <w:t>249,410,946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20" w:type="dxa"/>
            <w:vAlign w:val="bottom"/>
            <w:vMerge w:val="restart"/>
          </w:tcPr>
          <w:p>
            <w:pPr>
              <w:jc w:val="right"/>
              <w:ind w:right="3599"/>
              <w:spacing w:after="0"/>
              <w:rPr>
                <w:sz w:val="20"/>
                <w:szCs w:val="20"/>
                <w:color w:val="auto"/>
              </w:rPr>
            </w:pPr>
            <w:r>
              <w:rPr>
                <w:rFonts w:ascii="Arial" w:cs="Arial" w:eastAsia="Arial" w:hAnsi="Arial"/>
                <w:sz w:val="12"/>
                <w:szCs w:val="12"/>
                <w:color w:val="auto"/>
              </w:rPr>
              <w:t>32</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354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540" w:type="dxa"/>
            <w:vAlign w:val="bottom"/>
            <w:tcBorders>
              <w:bottom w:val="single" w:sz="8" w:color="9A9A9A"/>
            </w:tcBorders>
          </w:tcPr>
          <w:p>
            <w:pPr>
              <w:spacing w:after="0"/>
              <w:rPr>
                <w:sz w:val="15"/>
                <w:szCs w:val="15"/>
                <w:color w:val="auto"/>
              </w:rPr>
            </w:pPr>
          </w:p>
        </w:tc>
        <w:tc>
          <w:tcPr>
            <w:tcW w:w="582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9" w:name="page40"/>
    <w:bookmarkEnd w:id="3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Leases</w:t>
      </w:r>
    </w:p>
    <w:p>
      <w:pPr>
        <w:spacing w:after="0" w:line="120" w:lineRule="exact"/>
        <w:rPr>
          <w:sz w:val="20"/>
          <w:szCs w:val="20"/>
          <w:color w:val="auto"/>
        </w:rPr>
      </w:pPr>
    </w:p>
    <w:p>
      <w:pPr>
        <w:jc w:val="both"/>
        <w:ind w:right="20" w:firstLine="218"/>
        <w:spacing w:after="0" w:line="261" w:lineRule="auto"/>
        <w:rPr>
          <w:sz w:val="20"/>
          <w:szCs w:val="20"/>
          <w:color w:val="auto"/>
        </w:rPr>
      </w:pPr>
      <w:r>
        <w:rPr>
          <w:rFonts w:ascii="Arial" w:cs="Arial" w:eastAsia="Arial" w:hAnsi="Arial"/>
          <w:sz w:val="12"/>
          <w:szCs w:val="12"/>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9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 xml:space="preserve">The Company also has a sublease of a former corporate office. The sublease has a remaining lease term of less than 2 years. Sublease income, which is recorded as a reduction of rent expense and allocated to the appropriate financial statement line item to arrive at </w:t>
      </w:r>
      <w:r>
        <w:rPr>
          <w:rFonts w:ascii="Arial" w:cs="Arial" w:eastAsia="Arial" w:hAnsi="Arial"/>
          <w:sz w:val="12"/>
          <w:szCs w:val="12"/>
          <w:i w:val="1"/>
          <w:iCs w:val="1"/>
          <w:color w:val="auto"/>
        </w:rPr>
        <w:t>Income from operations</w:t>
      </w:r>
      <w:r>
        <w:rPr>
          <w:rFonts w:ascii="Arial" w:cs="Arial" w:eastAsia="Arial" w:hAnsi="Arial"/>
          <w:sz w:val="12"/>
          <w:szCs w:val="12"/>
          <w:color w:val="auto"/>
        </w:rPr>
        <w:t xml:space="preserve"> in the consolidated statements of operations was immaterial for the three and six months ended June 30, 2020 and 2019.</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are additional details related to leases recorded on our balance sheet as of June 30, 2020 and December 31, 2019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80" w:type="dxa"/>
            <w:vAlign w:val="bottom"/>
          </w:tcPr>
          <w:p>
            <w:pPr>
              <w:spacing w:after="0"/>
              <w:rPr>
                <w:sz w:val="20"/>
                <w:szCs w:val="20"/>
                <w:color w:val="auto"/>
              </w:rPr>
            </w:pPr>
            <w:r>
              <w:rPr>
                <w:rFonts w:ascii="Arial" w:cs="Arial" w:eastAsia="Arial" w:hAnsi="Arial"/>
                <w:sz w:val="12"/>
                <w:szCs w:val="12"/>
                <w:b w:val="1"/>
                <w:bCs w:val="1"/>
                <w:color w:val="auto"/>
              </w:rPr>
              <w:t>Leases</w:t>
            </w:r>
          </w:p>
        </w:tc>
        <w:tc>
          <w:tcPr>
            <w:tcW w:w="2280" w:type="dxa"/>
            <w:vAlign w:val="bottom"/>
            <w:gridSpan w:val="2"/>
          </w:tcPr>
          <w:p>
            <w:pPr>
              <w:ind w:left="820"/>
              <w:spacing w:after="0"/>
              <w:rPr>
                <w:sz w:val="20"/>
                <w:szCs w:val="20"/>
                <w:color w:val="auto"/>
              </w:rPr>
            </w:pPr>
            <w:r>
              <w:rPr>
                <w:rFonts w:ascii="Arial" w:cs="Arial" w:eastAsia="Arial" w:hAnsi="Arial"/>
                <w:sz w:val="10"/>
                <w:szCs w:val="10"/>
                <w:b w:val="1"/>
                <w:bCs w:val="1"/>
                <w:color w:val="auto"/>
              </w:rPr>
              <w:t>Classification</w:t>
            </w:r>
          </w:p>
        </w:tc>
        <w:tc>
          <w:tcPr>
            <w:tcW w:w="1660" w:type="dxa"/>
            <w:vAlign w:val="bottom"/>
            <w:gridSpan w:val="3"/>
          </w:tcPr>
          <w:p>
            <w:pPr>
              <w:spacing w:after="0"/>
              <w:rPr>
                <w:sz w:val="20"/>
                <w:szCs w:val="20"/>
                <w:color w:val="auto"/>
              </w:rPr>
            </w:pPr>
            <w:r>
              <w:rPr>
                <w:rFonts w:ascii="Arial" w:cs="Arial" w:eastAsia="Arial" w:hAnsi="Arial"/>
                <w:sz w:val="10"/>
                <w:szCs w:val="10"/>
                <w:b w:val="1"/>
                <w:bCs w:val="1"/>
                <w:color w:val="auto"/>
                <w:w w:val="93"/>
              </w:rPr>
              <w:t>Balance at June 30, 2020 (Unaudited)</w:t>
            </w:r>
          </w:p>
        </w:tc>
        <w:tc>
          <w:tcPr>
            <w:tcW w:w="120" w:type="dxa"/>
            <w:vAlign w:val="bottom"/>
          </w:tcPr>
          <w:p>
            <w:pPr>
              <w:spacing w:after="0"/>
              <w:rPr>
                <w:sz w:val="14"/>
                <w:szCs w:val="14"/>
                <w:color w:val="auto"/>
              </w:rPr>
            </w:pPr>
          </w:p>
        </w:tc>
        <w:tc>
          <w:tcPr>
            <w:tcW w:w="1460" w:type="dxa"/>
            <w:vAlign w:val="bottom"/>
          </w:tcPr>
          <w:p>
            <w:pPr>
              <w:jc w:val="right"/>
              <w:ind w:right="123"/>
              <w:spacing w:after="0"/>
              <w:rPr>
                <w:sz w:val="20"/>
                <w:szCs w:val="20"/>
                <w:color w:val="auto"/>
              </w:rPr>
            </w:pPr>
            <w:r>
              <w:rPr>
                <w:rFonts w:ascii="Arial" w:cs="Arial" w:eastAsia="Arial" w:hAnsi="Arial"/>
                <w:sz w:val="10"/>
                <w:szCs w:val="10"/>
                <w:b w:val="1"/>
                <w:bCs w:val="1"/>
                <w:color w:val="auto"/>
                <w:w w:val="88"/>
              </w:rPr>
              <w:t>Balance at December 31, 2019</w:t>
            </w:r>
          </w:p>
        </w:tc>
      </w:tr>
      <w:tr>
        <w:trPr>
          <w:trHeight w:val="17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r>
      <w:tr>
        <w:trPr>
          <w:trHeight w:val="172"/>
        </w:trPr>
        <w:tc>
          <w:tcPr>
            <w:tcW w:w="578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2280" w:type="dxa"/>
            <w:vAlign w:val="bottom"/>
            <w:gridSpan w:val="2"/>
          </w:tcPr>
          <w:p>
            <w:pPr>
              <w:ind w:left="20"/>
              <w:spacing w:after="0"/>
              <w:rPr>
                <w:sz w:val="20"/>
                <w:szCs w:val="20"/>
                <w:color w:val="auto"/>
              </w:rPr>
            </w:pPr>
            <w:r>
              <w:rPr>
                <w:rFonts w:ascii="Arial" w:cs="Arial" w:eastAsia="Arial" w:hAnsi="Arial"/>
                <w:sz w:val="12"/>
                <w:szCs w:val="12"/>
                <w:color w:val="auto"/>
              </w:rPr>
              <w:t>Operating leases</w:t>
            </w:r>
          </w:p>
        </w:tc>
        <w:tc>
          <w:tcPr>
            <w:tcW w:w="68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36.8</w:t>
            </w:r>
          </w:p>
        </w:tc>
      </w:tr>
      <w:tr>
        <w:trPr>
          <w:trHeight w:val="191"/>
        </w:trPr>
        <w:tc>
          <w:tcPr>
            <w:tcW w:w="578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72"/>
        </w:trPr>
        <w:tc>
          <w:tcPr>
            <w:tcW w:w="578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5780" w:type="dxa"/>
            <w:vAlign w:val="bottom"/>
            <w:shd w:val="clear" w:color="auto" w:fill="CCEEFF"/>
          </w:tcPr>
          <w:p>
            <w:pPr>
              <w:spacing w:after="0"/>
              <w:rPr>
                <w:sz w:val="20"/>
                <w:szCs w:val="20"/>
                <w:color w:val="auto"/>
              </w:rPr>
            </w:pPr>
            <w:r>
              <w:rPr>
                <w:rFonts w:ascii="Arial" w:cs="Arial" w:eastAsia="Arial" w:hAnsi="Arial"/>
                <w:sz w:val="12"/>
                <w:szCs w:val="12"/>
                <w:color w:val="auto"/>
              </w:rPr>
              <w:t>Current portion of operating lease liabilities</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leases</w:t>
            </w:r>
          </w:p>
        </w:tc>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4.0</w:t>
            </w:r>
          </w:p>
        </w:tc>
      </w:tr>
      <w:tr>
        <w:trPr>
          <w:trHeight w:val="163"/>
        </w:trPr>
        <w:tc>
          <w:tcPr>
            <w:tcW w:w="5780" w:type="dxa"/>
            <w:vAlign w:val="bottom"/>
          </w:tcPr>
          <w:p>
            <w:pPr>
              <w:spacing w:after="0"/>
              <w:rPr>
                <w:sz w:val="20"/>
                <w:szCs w:val="20"/>
                <w:color w:val="auto"/>
              </w:rPr>
            </w:pPr>
            <w:r>
              <w:rPr>
                <w:rFonts w:ascii="Arial" w:cs="Arial" w:eastAsia="Arial" w:hAnsi="Arial"/>
                <w:sz w:val="12"/>
                <w:szCs w:val="12"/>
                <w:color w:val="auto"/>
              </w:rPr>
              <w:t>Operating lease liabilities, net of current portion</w:t>
            </w:r>
          </w:p>
        </w:tc>
        <w:tc>
          <w:tcPr>
            <w:tcW w:w="2280" w:type="dxa"/>
            <w:vAlign w:val="bottom"/>
            <w:gridSpan w:val="2"/>
          </w:tcPr>
          <w:p>
            <w:pPr>
              <w:ind w:left="20"/>
              <w:spacing w:after="0"/>
              <w:rPr>
                <w:sz w:val="20"/>
                <w:szCs w:val="20"/>
                <w:color w:val="auto"/>
              </w:rPr>
            </w:pPr>
            <w:r>
              <w:rPr>
                <w:rFonts w:ascii="Arial" w:cs="Arial" w:eastAsia="Arial" w:hAnsi="Arial"/>
                <w:sz w:val="12"/>
                <w:szCs w:val="12"/>
                <w:color w:val="auto"/>
              </w:rPr>
              <w:t>Operating leases</w:t>
            </w:r>
          </w:p>
        </w:tc>
        <w:tc>
          <w:tcPr>
            <w:tcW w:w="68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40.7</w:t>
            </w:r>
          </w:p>
        </w:tc>
      </w:tr>
    </w:tbl>
    <w:p>
      <w:pPr>
        <w:spacing w:after="0" w:line="22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Rent expense was $1.6 million and $1.2 million for the three months ended June 30, 2020 and 2019, respectively. Rent expense was $3.3 million and $2.5 million for the six months ended June 30, 2020 and 2019, respectively.</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Other information related to leases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June 30,</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52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Supplemental Cash Flow Information (in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4"/>
                <w:szCs w:val="14"/>
                <w:color w:val="auto"/>
              </w:rPr>
            </w:pPr>
          </w:p>
        </w:tc>
      </w:tr>
      <w:tr>
        <w:trPr>
          <w:trHeight w:val="179"/>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Cash paid for amounts included in the measurement of operating lease liabilities</w:t>
            </w: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40" w:type="dxa"/>
            <w:vAlign w:val="bottom"/>
          </w:tcPr>
          <w:p>
            <w:pPr>
              <w:spacing w:after="0"/>
              <w:rPr>
                <w:sz w:val="15"/>
                <w:szCs w:val="15"/>
                <w:color w:val="auto"/>
              </w:rPr>
            </w:pPr>
          </w:p>
        </w:tc>
      </w:tr>
      <w:tr>
        <w:trPr>
          <w:trHeight w:val="182"/>
        </w:trPr>
        <w:tc>
          <w:tcPr>
            <w:tcW w:w="5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Lease liabilities arising from obtaining right-of-use assets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2"/>
        </w:trPr>
        <w:tc>
          <w:tcPr>
            <w:tcW w:w="5200" w:type="dxa"/>
            <w:vAlign w:val="bottom"/>
          </w:tcPr>
          <w:p>
            <w:pPr>
              <w:spacing w:after="0"/>
              <w:rPr>
                <w:sz w:val="20"/>
                <w:szCs w:val="20"/>
                <w:color w:val="auto"/>
              </w:rPr>
            </w:pPr>
            <w:r>
              <w:rPr>
                <w:rFonts w:ascii="Arial" w:cs="Arial" w:eastAsia="Arial" w:hAnsi="Arial"/>
                <w:sz w:val="12"/>
                <w:szCs w:val="12"/>
                <w:color w:val="auto"/>
              </w:rPr>
              <w:t>From Zoom Information, Inc. acquisition</w:t>
            </w: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59"/>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28.6</w:t>
            </w:r>
          </w:p>
        </w:tc>
        <w:tc>
          <w:tcPr>
            <w:tcW w:w="40" w:type="dxa"/>
            <w:vAlign w:val="bottom"/>
          </w:tcPr>
          <w:p>
            <w:pPr>
              <w:spacing w:after="0"/>
              <w:rPr>
                <w:sz w:val="14"/>
                <w:szCs w:val="14"/>
                <w:color w:val="auto"/>
              </w:rPr>
            </w:pPr>
          </w:p>
        </w:tc>
      </w:tr>
      <w:tr>
        <w:trPr>
          <w:trHeight w:val="191"/>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40" w:type="dxa"/>
            <w:vAlign w:val="bottom"/>
          </w:tcPr>
          <w:p>
            <w:pPr>
              <w:spacing w:after="0"/>
              <w:rPr>
                <w:sz w:val="16"/>
                <w:szCs w:val="16"/>
                <w:color w:val="auto"/>
              </w:rPr>
            </w:pPr>
          </w:p>
        </w:tc>
      </w:tr>
      <w:tr>
        <w:trPr>
          <w:trHeight w:val="871"/>
        </w:trPr>
        <w:tc>
          <w:tcPr>
            <w:tcW w:w="5200" w:type="dxa"/>
            <w:vAlign w:val="bottom"/>
          </w:tcPr>
          <w:p>
            <w:pPr>
              <w:spacing w:after="0"/>
              <w:rPr>
                <w:sz w:val="24"/>
                <w:szCs w:val="24"/>
                <w:color w:val="auto"/>
              </w:rPr>
            </w:pPr>
          </w:p>
        </w:tc>
        <w:tc>
          <w:tcPr>
            <w:tcW w:w="840" w:type="dxa"/>
            <w:vAlign w:val="bottom"/>
          </w:tcPr>
          <w:p>
            <w:pPr>
              <w:jc w:val="right"/>
              <w:ind w:right="288"/>
              <w:spacing w:after="0"/>
              <w:rPr>
                <w:sz w:val="20"/>
                <w:szCs w:val="20"/>
                <w:color w:val="auto"/>
              </w:rPr>
            </w:pPr>
            <w:r>
              <w:rPr>
                <w:rFonts w:ascii="Arial" w:cs="Arial" w:eastAsia="Arial" w:hAnsi="Arial"/>
                <w:sz w:val="12"/>
                <w:szCs w:val="12"/>
                <w:color w:val="auto"/>
              </w:rPr>
              <w:t>33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52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0" w:name="page41"/>
    <w:bookmarkEnd w:id="4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Leases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As of</w:t>
            </w:r>
          </w:p>
        </w:tc>
        <w:tc>
          <w:tcPr>
            <w:tcW w:w="1860" w:type="dxa"/>
            <w:vAlign w:val="bottom"/>
            <w:tcBorders>
              <w:bottom w:val="single" w:sz="8" w:color="auto"/>
            </w:tcBorders>
          </w:tcPr>
          <w:p>
            <w:pPr>
              <w:spacing w:after="0"/>
              <w:rPr>
                <w:sz w:val="11"/>
                <w:szCs w:val="11"/>
                <w:color w:val="auto"/>
              </w:rPr>
            </w:pPr>
          </w:p>
        </w:tc>
      </w:tr>
      <w:tr>
        <w:trPr>
          <w:trHeight w:val="134"/>
        </w:trPr>
        <w:tc>
          <w:tcPr>
            <w:tcW w:w="670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ind w:left="820"/>
              <w:spacing w:after="0"/>
              <w:rPr>
                <w:sz w:val="20"/>
                <w:szCs w:val="20"/>
                <w:color w:val="auto"/>
              </w:rPr>
            </w:pPr>
            <w:r>
              <w:rPr>
                <w:rFonts w:ascii="Arial" w:cs="Arial" w:eastAsia="Arial" w:hAnsi="Arial"/>
                <w:sz w:val="10"/>
                <w:szCs w:val="10"/>
                <w:b w:val="1"/>
                <w:bCs w:val="1"/>
                <w:color w:val="auto"/>
              </w:rPr>
              <w:t>June 30, 2020</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ind w:right="704"/>
              <w:spacing w:after="0"/>
              <w:rPr>
                <w:sz w:val="20"/>
                <w:szCs w:val="20"/>
                <w:color w:val="auto"/>
              </w:rPr>
            </w:pPr>
            <w:r>
              <w:rPr>
                <w:rFonts w:ascii="Arial" w:cs="Arial" w:eastAsia="Arial" w:hAnsi="Arial"/>
                <w:sz w:val="10"/>
                <w:szCs w:val="10"/>
                <w:b w:val="1"/>
                <w:bCs w:val="1"/>
                <w:color w:val="auto"/>
              </w:rPr>
              <w:t>December 31, 2019</w:t>
            </w:r>
          </w:p>
        </w:tc>
      </w:tr>
      <w:tr>
        <w:trPr>
          <w:trHeight w:val="179"/>
        </w:trPr>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Weighted average remaining lease term (in years)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r>
      <w:tr>
        <w:trPr>
          <w:trHeight w:val="182"/>
        </w:trPr>
        <w:tc>
          <w:tcPr>
            <w:tcW w:w="6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2"/>
        </w:trPr>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Weighted average discount rate</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6.3 %</w:t>
            </w:r>
          </w:p>
        </w:tc>
      </w:tr>
    </w:tbl>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table below reconciles the undiscounted future minimum lease payments under non-cancelable leases to the total lease liabilities recognized on the condensed consolidated balance sheets as of June 30, 2020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b w:val="1"/>
                <w:bCs w:val="1"/>
                <w:color w:val="auto"/>
              </w:rPr>
              <w:t>Operating Leases</w:t>
            </w:r>
          </w:p>
        </w:tc>
      </w:tr>
      <w:tr>
        <w:trPr>
          <w:trHeight w:val="179"/>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2020 (excluding six months ended June 30, 2020)</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2021</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2023</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91"/>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r>
      <w:tr>
        <w:trPr>
          <w:trHeight w:val="172"/>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w:t>
            </w:r>
          </w:p>
        </w:tc>
      </w:tr>
      <w:tr>
        <w:trPr>
          <w:trHeight w:val="180"/>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Total future minimum lease payments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r>
      <w:tr>
        <w:trPr>
          <w:trHeight w:val="172"/>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effects of discounting</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r>
      <w:tr>
        <w:trPr>
          <w:trHeight w:val="196"/>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lease liabilities</w:t>
            </w: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42.3</w:t>
            </w:r>
          </w:p>
        </w:tc>
      </w:tr>
      <w:tr>
        <w:trPr>
          <w:trHeight w:val="163"/>
        </w:trPr>
        <w:tc>
          <w:tcPr>
            <w:tcW w:w="9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Reported as of June 30, 2020</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2"/>
        </w:trPr>
        <w:tc>
          <w:tcPr>
            <w:tcW w:w="9720" w:type="dxa"/>
            <w:vAlign w:val="bottom"/>
          </w:tcPr>
          <w:p>
            <w:pPr>
              <w:spacing w:after="0"/>
              <w:rPr>
                <w:sz w:val="20"/>
                <w:szCs w:val="20"/>
                <w:color w:val="auto"/>
              </w:rPr>
            </w:pPr>
            <w:r>
              <w:rPr>
                <w:rFonts w:ascii="Arial" w:cs="Arial" w:eastAsia="Arial" w:hAnsi="Arial"/>
                <w:sz w:val="12"/>
                <w:szCs w:val="12"/>
                <w:color w:val="auto"/>
              </w:rPr>
              <w:t>Current portion of operating lease liabilities</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82"/>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net of current portion</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w:t>
            </w:r>
          </w:p>
        </w:tc>
      </w:tr>
      <w:tr>
        <w:trPr>
          <w:trHeight w:val="180"/>
        </w:trPr>
        <w:tc>
          <w:tcPr>
            <w:tcW w:w="9720" w:type="dxa"/>
            <w:vAlign w:val="bottom"/>
          </w:tcPr>
          <w:p>
            <w:pPr>
              <w:ind w:left="140"/>
              <w:spacing w:after="0"/>
              <w:rPr>
                <w:sz w:val="20"/>
                <w:szCs w:val="20"/>
                <w:color w:val="auto"/>
              </w:rPr>
            </w:pPr>
            <w:r>
              <w:rPr>
                <w:rFonts w:ascii="Arial" w:cs="Arial" w:eastAsia="Arial" w:hAnsi="Arial"/>
                <w:sz w:val="12"/>
                <w:szCs w:val="12"/>
                <w:color w:val="auto"/>
              </w:rPr>
              <w:t>Total lease liabilities</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table above does not include any legally binding minimum lease payments for leases signed but not yet commenced. As of June 30, 2020, all executed leases agreements have commenced and appropriately recorded on the balance sheet. Expense associated with short term leases and variable lease costs were immaterial for the three and six months ended June 30, 2020. The expense related to short-term leases reasonably reflects our short-term lease commitments.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Redeemable Series A Preferred Units</w:t>
      </w:r>
    </w:p>
    <w:p>
      <w:pPr>
        <w:spacing w:after="0" w:line="12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 xml:space="preserve">On June 8, 2020, the Company redeemed and cancelled all outstanding Series A Preferred Units of ZoomInfo OpCo for $274.2 million, the total redemption price, resulting in a $74.0 million reduction to </w:t>
      </w:r>
      <w:r>
        <w:rPr>
          <w:rFonts w:ascii="Arial" w:cs="Arial" w:eastAsia="Arial" w:hAnsi="Arial"/>
          <w:sz w:val="12"/>
          <w:szCs w:val="12"/>
          <w:i w:val="1"/>
          <w:iCs w:val="1"/>
          <w:color w:val="auto"/>
        </w:rPr>
        <w:t>Additional paid-in</w:t>
      </w:r>
      <w:r>
        <w:rPr>
          <w:rFonts w:ascii="Arial" w:cs="Arial" w:eastAsia="Arial" w:hAnsi="Arial"/>
          <w:sz w:val="12"/>
          <w:szCs w:val="12"/>
          <w:color w:val="auto"/>
        </w:rPr>
        <w:t xml:space="preserve"> </w:t>
      </w:r>
      <w:r>
        <w:rPr>
          <w:rFonts w:ascii="Arial" w:cs="Arial" w:eastAsia="Arial" w:hAnsi="Arial"/>
          <w:sz w:val="12"/>
          <w:szCs w:val="12"/>
          <w:i w:val="1"/>
          <w:iCs w:val="1"/>
          <w:color w:val="auto"/>
        </w:rPr>
        <w:t>capital</w:t>
      </w:r>
      <w:r>
        <w:rPr>
          <w:rFonts w:ascii="Arial" w:cs="Arial" w:eastAsia="Arial" w:hAnsi="Arial"/>
          <w:sz w:val="12"/>
          <w:szCs w:val="12"/>
          <w:color w:val="auto"/>
        </w:rPr>
        <w:t>. The total redemption price paid included the carrying amount of $200.2 million, accreted but unpaid dividends of $45.4 million, and an excess amount due upon early redemption of $28.6 million. Of the $28.6 million excess</w:t>
      </w:r>
      <w:r>
        <w:rPr>
          <w:rFonts w:ascii="Arial" w:cs="Arial" w:eastAsia="Arial" w:hAnsi="Arial"/>
          <w:sz w:val="12"/>
          <w:szCs w:val="12"/>
          <w:i w:val="1"/>
          <w:iCs w:val="1"/>
          <w:color w:val="auto"/>
        </w:rPr>
        <w:t xml:space="preserve"> </w:t>
      </w:r>
      <w:r>
        <w:rPr>
          <w:rFonts w:ascii="Arial" w:cs="Arial" w:eastAsia="Arial" w:hAnsi="Arial"/>
          <w:sz w:val="12"/>
          <w:szCs w:val="12"/>
          <w:color w:val="auto"/>
        </w:rPr>
        <w:t>amount paid, $17.6 million was attributed to noncontrolling interests and $11.0 million to common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Equity-based Compensation</w:t>
      </w:r>
    </w:p>
    <w:p>
      <w:pPr>
        <w:spacing w:after="0" w:line="116" w:lineRule="exact"/>
        <w:rPr>
          <w:sz w:val="20"/>
          <w:szCs w:val="20"/>
          <w:color w:val="auto"/>
        </w:rPr>
      </w:pPr>
    </w:p>
    <w:p>
      <w:pPr>
        <w:jc w:val="both"/>
        <w:ind w:right="20" w:firstLine="218"/>
        <w:spacing w:after="0" w:line="269" w:lineRule="auto"/>
        <w:rPr>
          <w:sz w:val="20"/>
          <w:szCs w:val="20"/>
          <w:color w:val="auto"/>
        </w:rPr>
      </w:pPr>
      <w:r>
        <w:rPr>
          <w:rFonts w:ascii="Arial" w:cs="Arial" w:eastAsia="Arial" w:hAnsi="Arial"/>
          <w:sz w:val="12"/>
          <w:szCs w:val="12"/>
          <w:b w:val="1"/>
          <w:bCs w:val="1"/>
          <w:color w:val="auto"/>
        </w:rPr>
        <w:t xml:space="preserve">2020 Omnibus Incentive Plan </w:t>
      </w:r>
      <w:r>
        <w:rPr>
          <w:rFonts w:ascii="Arial" w:cs="Arial" w:eastAsia="Arial" w:hAnsi="Arial"/>
          <w:sz w:val="12"/>
          <w:szCs w:val="12"/>
          <w:color w:val="auto"/>
        </w:rPr>
        <w:t>- On May 27, 2020, the Board of Directors of the Company (the “Board”) adopted the ZoomInfo Technologies Inc. 2020 Omnibus Incentive Plan (the “Omnibus Plan”). The Omnibus Plan</w:t>
      </w:r>
      <w:r>
        <w:rPr>
          <w:rFonts w:ascii="Arial" w:cs="Arial" w:eastAsia="Arial" w:hAnsi="Arial"/>
          <w:sz w:val="12"/>
          <w:szCs w:val="12"/>
          <w:b w:val="1"/>
          <w:bCs w:val="1"/>
          <w:color w:val="auto"/>
        </w:rPr>
        <w:t xml:space="preserve"> </w:t>
      </w:r>
      <w:r>
        <w:rPr>
          <w:rFonts w:ascii="Arial" w:cs="Arial" w:eastAsia="Arial" w:hAnsi="Arial"/>
          <w:sz w:val="12"/>
          <w:szCs w:val="12"/>
          <w:color w:val="auto"/>
        </w:rPr>
        <w:t>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1" w:name="page42"/>
    <w:bookmarkEnd w:id="4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Equity-based Compensation (continued)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(v) restricted stock units; (vi) OpCo Units, and (vii) Other equity-based and cash-based incentive awards as determined by the compensation committee of the Board or any properly delegated subcommittee.</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74"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55"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9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Restricted Stock Unit (“RSU”) activity was as follows during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20" w:type="dxa"/>
            <w:vAlign w:val="bottom"/>
          </w:tcPr>
          <w:p>
            <w:pPr>
              <w:spacing w:after="0"/>
              <w:rPr>
                <w:sz w:val="11"/>
                <w:szCs w:val="11"/>
                <w:color w:val="auto"/>
              </w:rPr>
            </w:pPr>
          </w:p>
        </w:tc>
        <w:tc>
          <w:tcPr>
            <w:tcW w:w="2860" w:type="dxa"/>
            <w:vAlign w:val="bottom"/>
            <w:tcBorders>
              <w:bottom w:val="single" w:sz="8" w:color="auto"/>
            </w:tcBorders>
            <w:gridSpan w:val="3"/>
          </w:tcPr>
          <w:p>
            <w:pPr>
              <w:ind w:left="1120"/>
              <w:spacing w:after="0"/>
              <w:rPr>
                <w:sz w:val="20"/>
                <w:szCs w:val="20"/>
                <w:color w:val="auto"/>
              </w:rPr>
            </w:pPr>
            <w:r>
              <w:rPr>
                <w:rFonts w:ascii="Arial" w:cs="Arial" w:eastAsia="Arial" w:hAnsi="Arial"/>
                <w:sz w:val="10"/>
                <w:szCs w:val="10"/>
                <w:b w:val="1"/>
                <w:bCs w:val="1"/>
                <w:color w:val="auto"/>
              </w:rPr>
              <w:t>Six Months Ended June 30, 2020</w:t>
            </w:r>
          </w:p>
        </w:tc>
        <w:tc>
          <w:tcPr>
            <w:tcW w:w="720" w:type="dxa"/>
            <w:vAlign w:val="bottom"/>
            <w:tcBorders>
              <w:bottom w:val="single" w:sz="8" w:color="auto"/>
            </w:tcBorders>
          </w:tcPr>
          <w:p>
            <w:pPr>
              <w:spacing w:after="0"/>
              <w:rPr>
                <w:sz w:val="11"/>
                <w:szCs w:val="11"/>
                <w:color w:val="auto"/>
              </w:rPr>
            </w:pPr>
          </w:p>
        </w:tc>
      </w:tr>
      <w:tr>
        <w:trPr>
          <w:trHeight w:val="134"/>
        </w:trPr>
        <w:tc>
          <w:tcPr>
            <w:tcW w:w="772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Restricted Stock Units</w:t>
            </w:r>
          </w:p>
        </w:tc>
        <w:tc>
          <w:tcPr>
            <w:tcW w:w="10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8"/>
              </w:rPr>
              <w:t>Weighted Average Grant Date Fair Value</w:t>
            </w:r>
          </w:p>
        </w:tc>
      </w:tr>
      <w:tr>
        <w:trPr>
          <w:trHeight w:val="179"/>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Unvested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7720" w:type="dxa"/>
            <w:vAlign w:val="bottom"/>
          </w:tcPr>
          <w:p>
            <w:pPr>
              <w:ind w:left="80"/>
              <w:spacing w:after="0"/>
              <w:rPr>
                <w:sz w:val="20"/>
                <w:szCs w:val="20"/>
                <w:color w:val="auto"/>
              </w:rPr>
            </w:pPr>
            <w:r>
              <w:rPr>
                <w:rFonts w:ascii="Arial" w:cs="Arial" w:eastAsia="Arial" w:hAnsi="Arial"/>
                <w:sz w:val="12"/>
                <w:szCs w:val="12"/>
                <w:color w:val="auto"/>
              </w:rPr>
              <w:t>Granted</w:t>
            </w:r>
          </w:p>
        </w:tc>
        <w:tc>
          <w:tcPr>
            <w:tcW w:w="1740" w:type="dxa"/>
            <w:vAlign w:val="bottom"/>
          </w:tcPr>
          <w:p>
            <w:pPr>
              <w:jc w:val="right"/>
              <w:spacing w:after="0"/>
              <w:rPr>
                <w:sz w:val="20"/>
                <w:szCs w:val="20"/>
                <w:color w:val="auto"/>
              </w:rPr>
            </w:pPr>
            <w:r>
              <w:rPr>
                <w:rFonts w:ascii="Arial" w:cs="Arial" w:eastAsia="Arial" w:hAnsi="Arial"/>
                <w:sz w:val="12"/>
                <w:szCs w:val="12"/>
                <w:color w:val="auto"/>
              </w:rPr>
              <w:t>511,537</w:t>
            </w:r>
          </w:p>
        </w:tc>
        <w:tc>
          <w:tcPr>
            <w:tcW w:w="11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21.00</w:t>
            </w:r>
          </w:p>
        </w:tc>
      </w:tr>
      <w:tr>
        <w:trPr>
          <w:trHeight w:val="182"/>
        </w:trPr>
        <w:tc>
          <w:tcPr>
            <w:tcW w:w="7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(1,124)</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r>
      <w:tr>
        <w:trPr>
          <w:trHeight w:val="180"/>
        </w:trPr>
        <w:tc>
          <w:tcPr>
            <w:tcW w:w="7720" w:type="dxa"/>
            <w:vAlign w:val="bottom"/>
          </w:tcPr>
          <w:p>
            <w:pPr>
              <w:spacing w:after="0"/>
              <w:rPr>
                <w:sz w:val="20"/>
                <w:szCs w:val="20"/>
                <w:color w:val="auto"/>
              </w:rPr>
            </w:pPr>
            <w:r>
              <w:rPr>
                <w:rFonts w:ascii="Arial" w:cs="Arial" w:eastAsia="Arial" w:hAnsi="Arial"/>
                <w:sz w:val="12"/>
                <w:szCs w:val="12"/>
                <w:color w:val="auto"/>
              </w:rPr>
              <w:t>Unvested at June 30, 2020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510,413</w:t>
            </w:r>
          </w:p>
        </w:tc>
        <w:tc>
          <w:tcPr>
            <w:tcW w:w="11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21.00</w:t>
            </w:r>
          </w:p>
        </w:tc>
      </w:tr>
      <w:tr>
        <w:trPr>
          <w:trHeight w:val="20"/>
        </w:trPr>
        <w:tc>
          <w:tcPr>
            <w:tcW w:w="77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2" w:name="page43"/>
    <w:bookmarkEnd w:id="4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Equity-based Compensation (continued)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A Common Stock Options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Unvested Options activity was as follows during the periods indicated:</w:t>
      </w:r>
    </w:p>
    <w:p>
      <w:pPr>
        <w:spacing w:after="0" w:line="147" w:lineRule="exact"/>
        <w:rPr>
          <w:sz w:val="20"/>
          <w:szCs w:val="20"/>
          <w:color w:val="auto"/>
        </w:rPr>
      </w:pPr>
    </w:p>
    <w:p>
      <w:pPr>
        <w:ind w:left="8840"/>
        <w:spacing w:after="0"/>
        <w:rPr>
          <w:sz w:val="20"/>
          <w:szCs w:val="20"/>
          <w:color w:val="auto"/>
        </w:rPr>
      </w:pPr>
      <w:r>
        <w:rPr>
          <w:rFonts w:ascii="Arial" w:cs="Arial" w:eastAsia="Arial" w:hAnsi="Arial"/>
          <w:sz w:val="10"/>
          <w:szCs w:val="10"/>
          <w:b w:val="1"/>
          <w:bCs w:val="1"/>
          <w:color w:val="auto"/>
        </w:rPr>
        <w:t>Six Months Ended June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0"/>
                <w:szCs w:val="10"/>
                <w:b w:val="1"/>
                <w:bCs w:val="1"/>
                <w:color w:val="auto"/>
              </w:rPr>
              <w:t>Options</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90"/>
              </w:rPr>
              <w:t>Weighted Average Exercise Price</w:t>
            </w:r>
          </w:p>
        </w:tc>
      </w:tr>
      <w:tr>
        <w:trPr>
          <w:trHeight w:val="179"/>
        </w:trPr>
        <w:tc>
          <w:tcPr>
            <w:tcW w:w="8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Unvested at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72"/>
        </w:trPr>
        <w:tc>
          <w:tcPr>
            <w:tcW w:w="8880" w:type="dxa"/>
            <w:vAlign w:val="bottom"/>
            <w:gridSpan w:val="2"/>
          </w:tcPr>
          <w:p>
            <w:pPr>
              <w:ind w:left="80"/>
              <w:spacing w:after="0"/>
              <w:rPr>
                <w:sz w:val="20"/>
                <w:szCs w:val="20"/>
                <w:color w:val="auto"/>
              </w:rPr>
            </w:pPr>
            <w:r>
              <w:rPr>
                <w:rFonts w:ascii="Arial" w:cs="Arial" w:eastAsia="Arial" w:hAnsi="Arial"/>
                <w:sz w:val="12"/>
                <w:szCs w:val="12"/>
                <w:color w:val="auto"/>
              </w:rPr>
              <w:t>Effect of Reorganization Transactions and IPO</w:t>
            </w:r>
          </w:p>
        </w:tc>
        <w:tc>
          <w:tcPr>
            <w:tcW w:w="580" w:type="dxa"/>
            <w:vAlign w:val="bottom"/>
          </w:tcPr>
          <w:p>
            <w:pPr>
              <w:jc w:val="right"/>
              <w:spacing w:after="0"/>
              <w:rPr>
                <w:sz w:val="20"/>
                <w:szCs w:val="20"/>
                <w:color w:val="auto"/>
              </w:rPr>
            </w:pPr>
            <w:r>
              <w:rPr>
                <w:rFonts w:ascii="Arial" w:cs="Arial" w:eastAsia="Arial" w:hAnsi="Arial"/>
                <w:sz w:val="12"/>
                <w:szCs w:val="12"/>
                <w:color w:val="auto"/>
              </w:rPr>
              <w:t>576,708</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21.00</w:t>
            </w:r>
          </w:p>
        </w:tc>
      </w:tr>
      <w:tr>
        <w:trPr>
          <w:trHeight w:val="182"/>
        </w:trPr>
        <w:tc>
          <w:tcPr>
            <w:tcW w:w="7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Forfeited</w:t>
            </w: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21.00</w:t>
            </w:r>
          </w:p>
        </w:tc>
      </w:tr>
      <w:tr>
        <w:trPr>
          <w:trHeight w:val="180"/>
        </w:trPr>
        <w:tc>
          <w:tcPr>
            <w:tcW w:w="7720" w:type="dxa"/>
            <w:vAlign w:val="bottom"/>
          </w:tcPr>
          <w:p>
            <w:pPr>
              <w:spacing w:after="0"/>
              <w:rPr>
                <w:sz w:val="20"/>
                <w:szCs w:val="20"/>
                <w:color w:val="auto"/>
              </w:rPr>
            </w:pPr>
            <w:r>
              <w:rPr>
                <w:rFonts w:ascii="Arial" w:cs="Arial" w:eastAsia="Arial" w:hAnsi="Arial"/>
                <w:sz w:val="12"/>
                <w:szCs w:val="12"/>
                <w:color w:val="auto"/>
              </w:rPr>
              <w:t>Unvested at June 30, 2020</w:t>
            </w:r>
          </w:p>
        </w:tc>
        <w:tc>
          <w:tcPr>
            <w:tcW w:w="1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569,543</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21.00</w:t>
            </w:r>
          </w:p>
        </w:tc>
      </w:tr>
      <w:tr>
        <w:trPr>
          <w:trHeight w:val="20"/>
        </w:trPr>
        <w:tc>
          <w:tcPr>
            <w:tcW w:w="7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39"/>
        </w:trPr>
        <w:tc>
          <w:tcPr>
            <w:tcW w:w="8880" w:type="dxa"/>
            <w:vAlign w:val="bottom"/>
            <w:gridSpan w:val="2"/>
          </w:tcPr>
          <w:p>
            <w:pPr>
              <w:ind w:left="220"/>
              <w:spacing w:after="0"/>
              <w:rPr>
                <w:sz w:val="20"/>
                <w:szCs w:val="20"/>
                <w:color w:val="auto"/>
              </w:rPr>
            </w:pPr>
            <w:r>
              <w:rPr>
                <w:rFonts w:ascii="Arial" w:cs="Arial" w:eastAsia="Arial" w:hAnsi="Arial"/>
                <w:sz w:val="12"/>
                <w:szCs w:val="12"/>
                <w:color w:val="auto"/>
                <w:w w:val="98"/>
              </w:rPr>
              <w:t>The aggregate intrinsic value and weighted average remaining contractual terms of Options outstanding and Options exercisable were as follows as of June 30, 2020.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June 30, 2020</w:t>
            </w:r>
          </w:p>
        </w:tc>
      </w:tr>
      <w:tr>
        <w:trPr>
          <w:trHeight w:val="170"/>
        </w:trPr>
        <w:tc>
          <w:tcPr>
            <w:tcW w:w="8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Aggregate intrinsic value (in millions)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72"/>
        </w:trPr>
        <w:tc>
          <w:tcPr>
            <w:tcW w:w="8880" w:type="dxa"/>
            <w:vAlign w:val="bottom"/>
            <w:gridSpan w:val="2"/>
          </w:tcPr>
          <w:p>
            <w:pPr>
              <w:ind w:left="80"/>
              <w:spacing w:after="0"/>
              <w:rPr>
                <w:sz w:val="20"/>
                <w:szCs w:val="20"/>
                <w:color w:val="auto"/>
              </w:rPr>
            </w:pPr>
            <w:r>
              <w:rPr>
                <w:rFonts w:ascii="Arial" w:cs="Arial" w:eastAsia="Arial" w:hAnsi="Arial"/>
                <w:sz w:val="12"/>
                <w:szCs w:val="12"/>
                <w:color w:val="auto"/>
              </w:rPr>
              <w:t>Unit Options outstanding</w:t>
            </w:r>
          </w:p>
        </w:tc>
        <w:tc>
          <w:tcPr>
            <w:tcW w:w="5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17.1</w:t>
            </w:r>
          </w:p>
        </w:tc>
      </w:tr>
      <w:tr>
        <w:trPr>
          <w:trHeight w:val="191"/>
        </w:trPr>
        <w:tc>
          <w:tcPr>
            <w:tcW w:w="88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Unit Options exercisable</w:t>
            </w:r>
          </w:p>
        </w:tc>
        <w:tc>
          <w:tcPr>
            <w:tcW w:w="5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72"/>
        </w:trPr>
        <w:tc>
          <w:tcPr>
            <w:tcW w:w="8880" w:type="dxa"/>
            <w:vAlign w:val="bottom"/>
            <w:gridSpan w:val="2"/>
          </w:tcPr>
          <w:p>
            <w:pPr>
              <w:spacing w:after="0"/>
              <w:rPr>
                <w:sz w:val="20"/>
                <w:szCs w:val="20"/>
                <w:color w:val="auto"/>
              </w:rPr>
            </w:pPr>
            <w:r>
              <w:rPr>
                <w:rFonts w:ascii="Arial" w:cs="Arial" w:eastAsia="Arial" w:hAnsi="Arial"/>
                <w:sz w:val="12"/>
                <w:szCs w:val="12"/>
                <w:color w:val="auto"/>
              </w:rPr>
              <w:t>Weighted average remaining contractual life (in years)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91"/>
        </w:trPr>
        <w:tc>
          <w:tcPr>
            <w:tcW w:w="88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Unit Options outstanding</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years</w:t>
            </w:r>
          </w:p>
        </w:tc>
      </w:tr>
      <w:tr>
        <w:trPr>
          <w:trHeight w:val="163"/>
        </w:trPr>
        <w:tc>
          <w:tcPr>
            <w:tcW w:w="8880" w:type="dxa"/>
            <w:vAlign w:val="bottom"/>
            <w:gridSpan w:val="2"/>
          </w:tcPr>
          <w:p>
            <w:pPr>
              <w:ind w:left="80"/>
              <w:spacing w:after="0"/>
              <w:rPr>
                <w:sz w:val="20"/>
                <w:szCs w:val="20"/>
                <w:color w:val="auto"/>
              </w:rPr>
            </w:pPr>
            <w:r>
              <w:rPr>
                <w:rFonts w:ascii="Arial" w:cs="Arial" w:eastAsia="Arial" w:hAnsi="Arial"/>
                <w:sz w:val="12"/>
                <w:szCs w:val="12"/>
                <w:color w:val="auto"/>
              </w:rPr>
              <w:t>Unit Options exercisable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381"/>
        </w:trPr>
        <w:tc>
          <w:tcPr>
            <w:tcW w:w="8880" w:type="dxa"/>
            <w:vAlign w:val="bottom"/>
            <w:gridSpan w:val="2"/>
          </w:tcPr>
          <w:p>
            <w:pPr>
              <w:ind w:left="220"/>
              <w:spacing w:after="0"/>
              <w:rPr>
                <w:sz w:val="20"/>
                <w:szCs w:val="20"/>
                <w:color w:val="auto"/>
              </w:rPr>
            </w:pPr>
            <w:r>
              <w:rPr>
                <w:rFonts w:ascii="Arial" w:cs="Arial" w:eastAsia="Arial" w:hAnsi="Arial"/>
                <w:sz w:val="12"/>
                <w:szCs w:val="12"/>
                <w:color w:val="auto"/>
              </w:rPr>
              <w:t>The fair value of Class A stock options was determined using the Black-Scholes option pricing model with the following assumption ranges and fair value per unit: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87"/>
              </w:rPr>
              <w:t>Six Months Ended June 30, 2020</w:t>
            </w:r>
          </w:p>
        </w:tc>
      </w:tr>
      <w:tr>
        <w:trPr>
          <w:trHeight w:val="179"/>
        </w:trPr>
        <w:tc>
          <w:tcPr>
            <w:tcW w:w="8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Volatility</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ind w:right="162"/>
              <w:spacing w:after="0"/>
              <w:rPr>
                <w:sz w:val="20"/>
                <w:szCs w:val="20"/>
                <w:color w:val="auto"/>
              </w:rPr>
            </w:pPr>
            <w:r>
              <w:rPr>
                <w:rFonts w:ascii="Arial" w:cs="Arial" w:eastAsia="Arial" w:hAnsi="Arial"/>
                <w:sz w:val="12"/>
                <w:szCs w:val="12"/>
                <w:color w:val="auto"/>
                <w:w w:val="92"/>
              </w:rPr>
              <w:t>39.0% to 39.3%</w:t>
            </w:r>
          </w:p>
        </w:tc>
      </w:tr>
      <w:tr>
        <w:trPr>
          <w:trHeight w:val="172"/>
        </w:trPr>
        <w:tc>
          <w:tcPr>
            <w:tcW w:w="8880" w:type="dxa"/>
            <w:vAlign w:val="bottom"/>
            <w:gridSpan w:val="2"/>
          </w:tcPr>
          <w:p>
            <w:pPr>
              <w:spacing w:after="0"/>
              <w:rPr>
                <w:sz w:val="20"/>
                <w:szCs w:val="20"/>
                <w:color w:val="auto"/>
              </w:rPr>
            </w:pPr>
            <w:r>
              <w:rPr>
                <w:rFonts w:ascii="Arial" w:cs="Arial" w:eastAsia="Arial" w:hAnsi="Arial"/>
                <w:sz w:val="12"/>
                <w:szCs w:val="12"/>
                <w:color w:val="auto"/>
              </w:rPr>
              <w:t>Expected life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right="162"/>
              <w:spacing w:after="0"/>
              <w:rPr>
                <w:sz w:val="20"/>
                <w:szCs w:val="20"/>
                <w:color w:val="auto"/>
              </w:rPr>
            </w:pPr>
            <w:r>
              <w:rPr>
                <w:rFonts w:ascii="Arial" w:cs="Arial" w:eastAsia="Arial" w:hAnsi="Arial"/>
                <w:sz w:val="12"/>
                <w:szCs w:val="12"/>
                <w:color w:val="auto"/>
                <w:w w:val="89"/>
              </w:rPr>
              <w:t>5.6 to 5.9 years</w:t>
            </w:r>
          </w:p>
        </w:tc>
      </w:tr>
      <w:tr>
        <w:trPr>
          <w:trHeight w:val="191"/>
        </w:trPr>
        <w:tc>
          <w:tcPr>
            <w:tcW w:w="8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Risk-free rate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rPr>
              <w:t>0.5%</w:t>
            </w:r>
          </w:p>
        </w:tc>
      </w:tr>
      <w:tr>
        <w:trPr>
          <w:trHeight w:val="163"/>
        </w:trPr>
        <w:tc>
          <w:tcPr>
            <w:tcW w:w="8880" w:type="dxa"/>
            <w:vAlign w:val="bottom"/>
            <w:gridSpan w:val="2"/>
          </w:tcPr>
          <w:p>
            <w:pPr>
              <w:spacing w:after="0"/>
              <w:rPr>
                <w:sz w:val="20"/>
                <w:szCs w:val="20"/>
                <w:color w:val="auto"/>
              </w:rPr>
            </w:pPr>
            <w:r>
              <w:rPr>
                <w:rFonts w:ascii="Arial" w:cs="Arial" w:eastAsia="Arial" w:hAnsi="Arial"/>
                <w:sz w:val="12"/>
                <w:szCs w:val="12"/>
                <w:color w:val="auto"/>
              </w:rPr>
              <w:t>Fair value per unit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702"/>
              <w:spacing w:after="0"/>
              <w:rPr>
                <w:sz w:val="20"/>
                <w:szCs w:val="20"/>
                <w:color w:val="auto"/>
              </w:rPr>
            </w:pPr>
            <w:r>
              <w:rPr>
                <w:rFonts w:ascii="Arial" w:cs="Arial" w:eastAsia="Arial" w:hAnsi="Arial"/>
                <w:sz w:val="12"/>
                <w:szCs w:val="12"/>
                <w:color w:val="auto"/>
              </w:rPr>
              <w:t>$21.00</w:t>
            </w:r>
          </w:p>
        </w:tc>
      </w:tr>
    </w:tbl>
    <w:p>
      <w:pPr>
        <w:spacing w:after="0" w:line="227"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HoldCo Units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Unvested HoldCo Unit activity was as follows during the periods indicated:</w:t>
      </w:r>
    </w:p>
    <w:p>
      <w:pPr>
        <w:spacing w:after="0" w:line="147" w:lineRule="exact"/>
        <w:rPr>
          <w:sz w:val="20"/>
          <w:szCs w:val="20"/>
          <w:color w:val="auto"/>
        </w:rPr>
      </w:pPr>
    </w:p>
    <w:p>
      <w:pPr>
        <w:ind w:left="8840"/>
        <w:spacing w:after="0"/>
        <w:rPr>
          <w:sz w:val="20"/>
          <w:szCs w:val="20"/>
          <w:color w:val="auto"/>
        </w:rPr>
      </w:pPr>
      <w:r>
        <w:rPr>
          <w:rFonts w:ascii="Arial" w:cs="Arial" w:eastAsia="Arial" w:hAnsi="Arial"/>
          <w:sz w:val="10"/>
          <w:szCs w:val="10"/>
          <w:b w:val="1"/>
          <w:bCs w:val="1"/>
          <w:color w:val="auto"/>
        </w:rPr>
        <w:t>Six Months Ended June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2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0"/>
                <w:szCs w:val="10"/>
                <w:b w:val="1"/>
                <w:bCs w:val="1"/>
                <w:color w:val="auto"/>
                <w:w w:val="88"/>
              </w:rPr>
              <w:t>HoldCo Units</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7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8"/>
              </w:rPr>
              <w:t>Weighted Average Grant Date Fair Value</w:t>
            </w:r>
          </w:p>
        </w:tc>
      </w:tr>
      <w:tr>
        <w:trPr>
          <w:trHeight w:val="179"/>
        </w:trPr>
        <w:tc>
          <w:tcPr>
            <w:tcW w:w="8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Unvested at beginning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8900" w:type="dxa"/>
            <w:vAlign w:val="bottom"/>
            <w:gridSpan w:val="2"/>
          </w:tcPr>
          <w:p>
            <w:pPr>
              <w:ind w:left="80"/>
              <w:spacing w:after="0"/>
              <w:rPr>
                <w:sz w:val="20"/>
                <w:szCs w:val="20"/>
                <w:color w:val="auto"/>
              </w:rPr>
            </w:pPr>
            <w:r>
              <w:rPr>
                <w:rFonts w:ascii="Arial" w:cs="Arial" w:eastAsia="Arial" w:hAnsi="Arial"/>
                <w:sz w:val="12"/>
                <w:szCs w:val="12"/>
                <w:color w:val="auto"/>
              </w:rPr>
              <w:t>Effect of Reorganization Transactions and IPO</w:t>
            </w:r>
          </w:p>
        </w:tc>
        <w:tc>
          <w:tcPr>
            <w:tcW w:w="560" w:type="dxa"/>
            <w:vAlign w:val="bottom"/>
          </w:tcPr>
          <w:p>
            <w:pPr>
              <w:jc w:val="right"/>
              <w:spacing w:after="0"/>
              <w:rPr>
                <w:sz w:val="20"/>
                <w:szCs w:val="20"/>
                <w:color w:val="auto"/>
              </w:rPr>
            </w:pPr>
            <w:r>
              <w:rPr>
                <w:rFonts w:ascii="Arial" w:cs="Arial" w:eastAsia="Arial" w:hAnsi="Arial"/>
                <w:sz w:val="12"/>
                <w:szCs w:val="12"/>
                <w:color w:val="auto"/>
                <w:w w:val="93"/>
              </w:rPr>
              <w:t>1,332,239</w:t>
            </w: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8.98</w:t>
            </w:r>
          </w:p>
        </w:tc>
      </w:tr>
      <w:tr>
        <w:trPr>
          <w:trHeight w:val="191"/>
        </w:trPr>
        <w:tc>
          <w:tcPr>
            <w:tcW w:w="89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(35,758)</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r>
      <w:tr>
        <w:trPr>
          <w:trHeight w:val="172"/>
        </w:trPr>
        <w:tc>
          <w:tcPr>
            <w:tcW w:w="77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Forfeited</w:t>
            </w: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(6,262)</w:t>
            </w:r>
          </w:p>
        </w:tc>
        <w:tc>
          <w:tcPr>
            <w:tcW w:w="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12.77</w:t>
            </w:r>
          </w:p>
        </w:tc>
      </w:tr>
      <w:tr>
        <w:trPr>
          <w:trHeight w:val="196"/>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Unvested at June 30, 2020</w:t>
            </w:r>
          </w:p>
        </w:tc>
        <w:tc>
          <w:tcPr>
            <w:tcW w:w="1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1,290,219</w:t>
            </w:r>
          </w:p>
        </w:tc>
        <w:tc>
          <w:tcPr>
            <w:tcW w:w="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9.06</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3" w:name="page44"/>
    <w:bookmarkEnd w:id="4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Equity-based Compensation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OpCo Units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OpCo Unit activity was as follows during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900" w:type="dxa"/>
            <w:vAlign w:val="bottom"/>
          </w:tcPr>
          <w:p>
            <w:pPr>
              <w:spacing w:after="0"/>
              <w:rPr>
                <w:sz w:val="11"/>
                <w:szCs w:val="11"/>
                <w:color w:val="auto"/>
              </w:rPr>
            </w:pPr>
          </w:p>
        </w:tc>
        <w:tc>
          <w:tcPr>
            <w:tcW w:w="2840" w:type="dxa"/>
            <w:vAlign w:val="bottom"/>
            <w:tcBorders>
              <w:bottom w:val="single" w:sz="8" w:color="auto"/>
            </w:tcBorders>
            <w:gridSpan w:val="4"/>
          </w:tcPr>
          <w:p>
            <w:pPr>
              <w:ind w:left="1100"/>
              <w:spacing w:after="0"/>
              <w:rPr>
                <w:sz w:val="20"/>
                <w:szCs w:val="20"/>
                <w:color w:val="auto"/>
              </w:rPr>
            </w:pPr>
            <w:r>
              <w:rPr>
                <w:rFonts w:ascii="Arial" w:cs="Arial" w:eastAsia="Arial" w:hAnsi="Arial"/>
                <w:sz w:val="10"/>
                <w:szCs w:val="10"/>
                <w:b w:val="1"/>
                <w:bCs w:val="1"/>
                <w:color w:val="auto"/>
              </w:rPr>
              <w:t>Six Months Ended June 30, 2020</w:t>
            </w: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w w:val="98"/>
              </w:rPr>
              <w:t>Six Months Ended June 30, 2019</w:t>
            </w:r>
          </w:p>
        </w:tc>
      </w:tr>
      <w:tr>
        <w:trPr>
          <w:trHeight w:val="134"/>
        </w:trPr>
        <w:tc>
          <w:tcPr>
            <w:tcW w:w="59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w w:val="98"/>
              </w:rPr>
              <w:t>OpCo Units</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8"/>
              </w:rPr>
              <w:t>Weighted Average Grant Date Fair Value</w:t>
            </w:r>
          </w:p>
        </w:tc>
        <w:tc>
          <w:tcPr>
            <w:tcW w:w="100" w:type="dxa"/>
            <w:vAlign w:val="bottom"/>
          </w:tcPr>
          <w:p>
            <w:pPr>
              <w:spacing w:after="0"/>
              <w:rPr>
                <w:sz w:val="11"/>
                <w:szCs w:val="11"/>
                <w:color w:val="auto"/>
              </w:rPr>
            </w:pPr>
          </w:p>
        </w:tc>
        <w:tc>
          <w:tcPr>
            <w:tcW w:w="174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OpCo Units</w:t>
            </w:r>
          </w:p>
        </w:tc>
      </w:tr>
      <w:tr>
        <w:trPr>
          <w:trHeight w:val="179"/>
        </w:trPr>
        <w:tc>
          <w:tcPr>
            <w:tcW w:w="7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Unvested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228,819</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5"/>
                <w:szCs w:val="15"/>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441,681</w:t>
            </w:r>
          </w:p>
        </w:tc>
      </w:tr>
      <w:tr>
        <w:trPr>
          <w:trHeight w:val="172"/>
        </w:trPr>
        <w:tc>
          <w:tcPr>
            <w:tcW w:w="7080" w:type="dxa"/>
            <w:vAlign w:val="bottom"/>
            <w:gridSpan w:val="2"/>
          </w:tcPr>
          <w:p>
            <w:pPr>
              <w:ind w:left="80"/>
              <w:spacing w:after="0"/>
              <w:rPr>
                <w:sz w:val="20"/>
                <w:szCs w:val="20"/>
                <w:color w:val="auto"/>
              </w:rPr>
            </w:pPr>
            <w:r>
              <w:rPr>
                <w:rFonts w:ascii="Arial" w:cs="Arial" w:eastAsia="Arial" w:hAnsi="Arial"/>
                <w:sz w:val="12"/>
                <w:szCs w:val="12"/>
                <w:color w:val="auto"/>
              </w:rPr>
              <w:t>Effect of Reorganization Transactions and IPO</w:t>
            </w:r>
          </w:p>
        </w:tc>
        <w:tc>
          <w:tcPr>
            <w:tcW w:w="540" w:type="dxa"/>
            <w:vAlign w:val="bottom"/>
          </w:tcPr>
          <w:p>
            <w:pPr>
              <w:jc w:val="right"/>
              <w:spacing w:after="0"/>
              <w:rPr>
                <w:sz w:val="20"/>
                <w:szCs w:val="20"/>
                <w:color w:val="auto"/>
              </w:rPr>
            </w:pPr>
            <w:r>
              <w:rPr>
                <w:rFonts w:ascii="Arial" w:cs="Arial" w:eastAsia="Arial" w:hAnsi="Arial"/>
                <w:sz w:val="12"/>
                <w:szCs w:val="12"/>
                <w:color w:val="auto"/>
              </w:rPr>
              <w:t>(6,909)</w:t>
            </w:r>
          </w:p>
        </w:tc>
        <w:tc>
          <w:tcPr>
            <w:tcW w:w="11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10.48</w:t>
            </w:r>
          </w:p>
        </w:tc>
        <w:tc>
          <w:tcPr>
            <w:tcW w:w="100" w:type="dxa"/>
            <w:vAlign w:val="bottom"/>
          </w:tcPr>
          <w:p>
            <w:pPr>
              <w:spacing w:after="0"/>
              <w:rPr>
                <w:sz w:val="14"/>
                <w:szCs w:val="14"/>
                <w:color w:val="auto"/>
              </w:rPr>
            </w:pPr>
          </w:p>
        </w:tc>
        <w:tc>
          <w:tcPr>
            <w:tcW w:w="174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91"/>
        </w:trPr>
        <w:tc>
          <w:tcPr>
            <w:tcW w:w="70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(162,218)</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(118,867)</w:t>
            </w:r>
          </w:p>
        </w:tc>
      </w:tr>
      <w:tr>
        <w:trPr>
          <w:trHeight w:val="172"/>
        </w:trPr>
        <w:tc>
          <w:tcPr>
            <w:tcW w:w="59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Forfeited</w:t>
            </w:r>
          </w:p>
        </w:tc>
        <w:tc>
          <w:tcPr>
            <w:tcW w:w="1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(59,692)</w:t>
            </w:r>
          </w:p>
        </w:tc>
        <w:tc>
          <w:tcPr>
            <w:tcW w:w="1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0.68</w:t>
            </w:r>
          </w:p>
        </w:tc>
        <w:tc>
          <w:tcPr>
            <w:tcW w:w="100" w:type="dxa"/>
            <w:vAlign w:val="bottom"/>
          </w:tcPr>
          <w:p>
            <w:pPr>
              <w:spacing w:after="0"/>
              <w:rPr>
                <w:sz w:val="14"/>
                <w:szCs w:val="14"/>
                <w:color w:val="auto"/>
              </w:rPr>
            </w:pPr>
          </w:p>
        </w:tc>
        <w:tc>
          <w:tcPr>
            <w:tcW w:w="1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r>
      <w:tr>
        <w:trPr>
          <w:trHeight w:val="196"/>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Unvested at June 30, 2020</w:t>
            </w:r>
          </w:p>
        </w:tc>
        <w:tc>
          <w:tcPr>
            <w:tcW w:w="1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322,814</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P Units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Class P Units were issued under both the prior and current LLC agreement of ZoomInfo OpCo. Class P Unit activity was as follows during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900" w:type="dxa"/>
            <w:vAlign w:val="bottom"/>
          </w:tcPr>
          <w:p>
            <w:pPr>
              <w:spacing w:after="0"/>
              <w:rPr>
                <w:sz w:val="11"/>
                <w:szCs w:val="11"/>
                <w:color w:val="auto"/>
              </w:rPr>
            </w:pPr>
          </w:p>
        </w:tc>
        <w:tc>
          <w:tcPr>
            <w:tcW w:w="3560" w:type="dxa"/>
            <w:vAlign w:val="bottom"/>
            <w:tcBorders>
              <w:bottom w:val="single" w:sz="8" w:color="auto"/>
            </w:tcBorders>
            <w:gridSpan w:val="5"/>
          </w:tcPr>
          <w:p>
            <w:pPr>
              <w:jc w:val="right"/>
              <w:ind w:right="1043"/>
              <w:spacing w:after="0"/>
              <w:rPr>
                <w:sz w:val="20"/>
                <w:szCs w:val="20"/>
                <w:color w:val="auto"/>
              </w:rPr>
            </w:pPr>
            <w:r>
              <w:rPr>
                <w:rFonts w:ascii="Arial" w:cs="Arial" w:eastAsia="Arial" w:hAnsi="Arial"/>
                <w:sz w:val="10"/>
                <w:szCs w:val="10"/>
                <w:b w:val="1"/>
                <w:bCs w:val="1"/>
                <w:color w:val="auto"/>
              </w:rPr>
              <w:t>Six Months Ended June 30, 2020</w:t>
            </w:r>
          </w:p>
        </w:tc>
        <w:tc>
          <w:tcPr>
            <w:tcW w:w="100" w:type="dxa"/>
            <w:vAlign w:val="bottom"/>
          </w:tcPr>
          <w:p>
            <w:pPr>
              <w:spacing w:after="0"/>
              <w:rPr>
                <w:sz w:val="11"/>
                <w:szCs w:val="11"/>
                <w:color w:val="auto"/>
              </w:rPr>
            </w:pPr>
          </w:p>
        </w:tc>
        <w:tc>
          <w:tcPr>
            <w:tcW w:w="174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w w:val="98"/>
              </w:rPr>
              <w:t>Six Months Ended June 30, 2019</w:t>
            </w:r>
          </w:p>
        </w:tc>
      </w:tr>
      <w:tr>
        <w:trPr>
          <w:trHeight w:val="110"/>
        </w:trPr>
        <w:tc>
          <w:tcPr>
            <w:tcW w:w="5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jc w:val="right"/>
              <w:ind w:right="143"/>
              <w:spacing w:after="0" w:line="111" w:lineRule="exact"/>
              <w:rPr>
                <w:sz w:val="20"/>
                <w:szCs w:val="20"/>
                <w:color w:val="auto"/>
              </w:rPr>
            </w:pPr>
            <w:r>
              <w:rPr>
                <w:rFonts w:ascii="Arial" w:cs="Arial" w:eastAsia="Arial" w:hAnsi="Arial"/>
                <w:sz w:val="10"/>
                <w:szCs w:val="10"/>
                <w:b w:val="1"/>
                <w:bCs w:val="1"/>
                <w:color w:val="auto"/>
                <w:w w:val="91"/>
              </w:rPr>
              <w:t>Weighted Average Participation</w:t>
            </w: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r>
      <w:tr>
        <w:trPr>
          <w:trHeight w:val="133"/>
        </w:trPr>
        <w:tc>
          <w:tcPr>
            <w:tcW w:w="59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w w:val="84"/>
              </w:rPr>
              <w:t>Class P Units</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Threshold</w:t>
            </w:r>
          </w:p>
        </w:tc>
        <w:tc>
          <w:tcPr>
            <w:tcW w:w="100" w:type="dxa"/>
            <w:vAlign w:val="bottom"/>
          </w:tcPr>
          <w:p>
            <w:pPr>
              <w:spacing w:after="0"/>
              <w:rPr>
                <w:sz w:val="11"/>
                <w:szCs w:val="11"/>
                <w:color w:val="auto"/>
              </w:rPr>
            </w:pPr>
          </w:p>
        </w:tc>
        <w:tc>
          <w:tcPr>
            <w:tcW w:w="174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Class P Units</w:t>
            </w:r>
          </w:p>
        </w:tc>
      </w:tr>
      <w:tr>
        <w:trPr>
          <w:trHeight w:val="179"/>
        </w:trPr>
        <w:tc>
          <w:tcPr>
            <w:tcW w:w="7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Unvested at beginning of period</w:t>
            </w:r>
          </w:p>
        </w:tc>
        <w:tc>
          <w:tcPr>
            <w:tcW w:w="580" w:type="dxa"/>
            <w:vAlign w:val="bottom"/>
            <w:shd w:val="clear" w:color="auto" w:fill="CCEEFF"/>
          </w:tcPr>
          <w:p>
            <w:pPr>
              <w:spacing w:after="0"/>
              <w:rPr>
                <w:sz w:val="20"/>
                <w:szCs w:val="20"/>
                <w:color w:val="auto"/>
              </w:rPr>
            </w:pPr>
            <w:r>
              <w:rPr>
                <w:rFonts w:ascii="Arial" w:cs="Arial" w:eastAsia="Arial" w:hAnsi="Arial"/>
                <w:sz w:val="12"/>
                <w:szCs w:val="12"/>
                <w:color w:val="auto"/>
                <w:w w:val="93"/>
              </w:rPr>
              <w:t>16,893,603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w:t>
            </w:r>
          </w:p>
        </w:tc>
        <w:tc>
          <w:tcPr>
            <w:tcW w:w="100" w:type="dxa"/>
            <w:vAlign w:val="bottom"/>
          </w:tcPr>
          <w:p>
            <w:pPr>
              <w:spacing w:after="0"/>
              <w:rPr>
                <w:sz w:val="15"/>
                <w:szCs w:val="15"/>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5,716,467</w:t>
            </w:r>
          </w:p>
        </w:tc>
      </w:tr>
      <w:tr>
        <w:trPr>
          <w:trHeight w:val="172"/>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Effect of Reorganization Transactions and IPO</w:t>
            </w:r>
          </w:p>
        </w:tc>
        <w:tc>
          <w:tcPr>
            <w:tcW w:w="580" w:type="dxa"/>
            <w:vAlign w:val="bottom"/>
          </w:tcPr>
          <w:p>
            <w:pPr>
              <w:spacing w:after="0"/>
              <w:rPr>
                <w:sz w:val="20"/>
                <w:szCs w:val="20"/>
                <w:color w:val="auto"/>
              </w:rPr>
            </w:pPr>
            <w:r>
              <w:rPr>
                <w:rFonts w:ascii="Arial" w:cs="Arial" w:eastAsia="Arial" w:hAnsi="Arial"/>
                <w:sz w:val="12"/>
                <w:szCs w:val="12"/>
                <w:color w:val="auto"/>
                <w:w w:val="91"/>
              </w:rPr>
              <w:t>(1,950,930)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7.01</w:t>
            </w:r>
          </w:p>
        </w:tc>
        <w:tc>
          <w:tcPr>
            <w:tcW w:w="100" w:type="dxa"/>
            <w:vAlign w:val="bottom"/>
          </w:tcPr>
          <w:p>
            <w:pPr>
              <w:spacing w:after="0"/>
              <w:rPr>
                <w:sz w:val="14"/>
                <w:szCs w:val="14"/>
                <w:color w:val="auto"/>
              </w:rPr>
            </w:pPr>
          </w:p>
        </w:tc>
        <w:tc>
          <w:tcPr>
            <w:tcW w:w="174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91"/>
        </w:trPr>
        <w:tc>
          <w:tcPr>
            <w:tcW w:w="70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Granted</w:t>
            </w:r>
          </w:p>
        </w:tc>
        <w:tc>
          <w:tcPr>
            <w:tcW w:w="5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6"/>
              </w:rPr>
              <w:t>642,500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c>
          <w:tcPr>
            <w:tcW w:w="100" w:type="dxa"/>
            <w:vAlign w:val="bottom"/>
          </w:tcPr>
          <w:p>
            <w:pPr>
              <w:spacing w:after="0"/>
              <w:rPr>
                <w:sz w:val="16"/>
                <w:szCs w:val="16"/>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7,376,918</w:t>
            </w:r>
          </w:p>
        </w:tc>
      </w:tr>
      <w:tr>
        <w:trPr>
          <w:trHeight w:val="172"/>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Vested</w:t>
            </w:r>
          </w:p>
        </w:tc>
        <w:tc>
          <w:tcPr>
            <w:tcW w:w="580" w:type="dxa"/>
            <w:vAlign w:val="bottom"/>
          </w:tcPr>
          <w:p>
            <w:pPr>
              <w:spacing w:after="0"/>
              <w:rPr>
                <w:sz w:val="20"/>
                <w:szCs w:val="20"/>
                <w:color w:val="auto"/>
              </w:rPr>
            </w:pPr>
            <w:r>
              <w:rPr>
                <w:rFonts w:ascii="Arial" w:cs="Arial" w:eastAsia="Arial" w:hAnsi="Arial"/>
                <w:sz w:val="12"/>
                <w:szCs w:val="12"/>
                <w:color w:val="auto"/>
                <w:w w:val="91"/>
              </w:rPr>
              <w:t>(3,504,844)</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5.77</w:t>
            </w:r>
          </w:p>
        </w:tc>
        <w:tc>
          <w:tcPr>
            <w:tcW w:w="100" w:type="dxa"/>
            <w:vAlign w:val="bottom"/>
          </w:tcPr>
          <w:p>
            <w:pPr>
              <w:spacing w:after="0"/>
              <w:rPr>
                <w:sz w:val="14"/>
                <w:szCs w:val="14"/>
                <w:color w:val="auto"/>
              </w:rPr>
            </w:pPr>
          </w:p>
        </w:tc>
        <w:tc>
          <w:tcPr>
            <w:tcW w:w="174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82"/>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Forfeited</w:t>
            </w:r>
          </w:p>
        </w:tc>
        <w:tc>
          <w:tcPr>
            <w:tcW w:w="1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w w:val="89"/>
              </w:rPr>
              <w:t>(343,289)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100" w:type="dxa"/>
            <w:vAlign w:val="bottom"/>
          </w:tcPr>
          <w:p>
            <w:pPr>
              <w:spacing w:after="0"/>
              <w:rPr>
                <w:sz w:val="15"/>
                <w:szCs w:val="15"/>
                <w:color w:val="auto"/>
              </w:rPr>
            </w:pP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80"/>
        </w:trPr>
        <w:tc>
          <w:tcPr>
            <w:tcW w:w="7040" w:type="dxa"/>
            <w:vAlign w:val="bottom"/>
            <w:gridSpan w:val="2"/>
          </w:tcPr>
          <w:p>
            <w:pPr>
              <w:spacing w:after="0"/>
              <w:rPr>
                <w:sz w:val="20"/>
                <w:szCs w:val="20"/>
                <w:color w:val="auto"/>
              </w:rPr>
            </w:pPr>
            <w:r>
              <w:rPr>
                <w:rFonts w:ascii="Arial" w:cs="Arial" w:eastAsia="Arial" w:hAnsi="Arial"/>
                <w:sz w:val="12"/>
                <w:szCs w:val="12"/>
                <w:color w:val="auto"/>
              </w:rPr>
              <w:t>Unvested at June 30, 2020</w:t>
            </w:r>
          </w:p>
        </w:tc>
        <w:tc>
          <w:tcPr>
            <w:tcW w:w="580" w:type="dxa"/>
            <w:vAlign w:val="bottom"/>
          </w:tcPr>
          <w:p>
            <w:pPr>
              <w:spacing w:after="0"/>
              <w:rPr>
                <w:sz w:val="20"/>
                <w:szCs w:val="20"/>
                <w:color w:val="auto"/>
              </w:rPr>
            </w:pPr>
            <w:r>
              <w:rPr>
                <w:rFonts w:ascii="Arial" w:cs="Arial" w:eastAsia="Arial" w:hAnsi="Arial"/>
                <w:sz w:val="12"/>
                <w:szCs w:val="12"/>
                <w:color w:val="auto"/>
                <w:w w:val="93"/>
              </w:rPr>
              <w:t>11,737,040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6.31</w:t>
            </w:r>
          </w:p>
        </w:tc>
        <w:tc>
          <w:tcPr>
            <w:tcW w:w="1840" w:type="dxa"/>
            <w:vAlign w:val="bottom"/>
            <w:gridSpan w:val="2"/>
          </w:tcPr>
          <w:p>
            <w:pPr>
              <w:jc w:val="right"/>
              <w:ind w:right="3"/>
              <w:spacing w:after="0"/>
              <w:rPr>
                <w:sz w:val="20"/>
                <w:szCs w:val="20"/>
                <w:color w:val="auto"/>
              </w:rPr>
            </w:pPr>
            <w:r>
              <w:rPr>
                <w:rFonts w:ascii="Arial" w:cs="Arial" w:eastAsia="Arial" w:hAnsi="Arial"/>
                <w:sz w:val="12"/>
                <w:szCs w:val="12"/>
                <w:color w:val="auto"/>
              </w:rPr>
              <w:t>13,093,385</w:t>
            </w:r>
          </w:p>
        </w:tc>
      </w:tr>
      <w:tr>
        <w:trPr>
          <w:trHeight w:val="20"/>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June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9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2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580" w:type="dxa"/>
            <w:vAlign w:val="bottom"/>
            <w:tcBorders>
              <w:bottom w:val="single" w:sz="8" w:color="auto"/>
            </w:tcBorders>
            <w:gridSpan w:val="3"/>
          </w:tcPr>
          <w:p>
            <w:pPr>
              <w:ind w:left="1220"/>
              <w:spacing w:after="0"/>
              <w:rPr>
                <w:sz w:val="20"/>
                <w:szCs w:val="20"/>
                <w:color w:val="auto"/>
              </w:rPr>
            </w:pPr>
            <w:r>
              <w:rPr>
                <w:rFonts w:ascii="Arial" w:cs="Arial" w:eastAsia="Arial" w:hAnsi="Arial"/>
                <w:sz w:val="10"/>
                <w:szCs w:val="10"/>
                <w:b w:val="1"/>
                <w:bCs w:val="1"/>
                <w:color w:val="auto"/>
              </w:rPr>
              <w:t>Six Months Ended June 30,</w:t>
            </w:r>
          </w:p>
        </w:tc>
      </w:tr>
      <w:tr>
        <w:trPr>
          <w:trHeight w:val="134"/>
        </w:trPr>
        <w:tc>
          <w:tcPr>
            <w:tcW w:w="3240" w:type="dxa"/>
            <w:vAlign w:val="bottom"/>
            <w:tcBorders>
              <w:bottom w:val="single" w:sz="8" w:color="CCEEFF"/>
            </w:tcBorders>
          </w:tcPr>
          <w:p>
            <w:pPr>
              <w:spacing w:after="0"/>
              <w:rPr>
                <w:sz w:val="11"/>
                <w:szCs w:val="11"/>
                <w:color w:val="auto"/>
              </w:rPr>
            </w:pPr>
          </w:p>
        </w:tc>
        <w:tc>
          <w:tcPr>
            <w:tcW w:w="448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2019</w:t>
            </w:r>
          </w:p>
        </w:tc>
      </w:tr>
      <w:tr>
        <w:trPr>
          <w:trHeight w:val="179"/>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6220" w:type="dxa"/>
            <w:vAlign w:val="bottom"/>
            <w:gridSpan w:val="2"/>
            <w:shd w:val="clear" w:color="auto" w:fill="CCEEFF"/>
          </w:tcPr>
          <w:p>
            <w:pPr>
              <w:jc w:val="center"/>
              <w:ind w:left="4439"/>
              <w:spacing w:after="0"/>
              <w:rPr>
                <w:sz w:val="20"/>
                <w:szCs w:val="20"/>
                <w:color w:val="auto"/>
              </w:rPr>
            </w:pPr>
            <w:r>
              <w:rPr>
                <w:rFonts w:ascii="Arial" w:cs="Arial" w:eastAsia="Arial" w:hAnsi="Arial"/>
                <w:sz w:val="12"/>
                <w:szCs w:val="12"/>
                <w:color w:val="auto"/>
                <w:w w:val="93"/>
              </w:rPr>
              <w:t>39.9%</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40.4% to 41.2%</w:t>
            </w:r>
          </w:p>
        </w:tc>
      </w:tr>
      <w:tr>
        <w:trPr>
          <w:trHeight w:val="172"/>
        </w:trPr>
        <w:tc>
          <w:tcPr>
            <w:tcW w:w="3240" w:type="dxa"/>
            <w:vAlign w:val="bottom"/>
          </w:tcPr>
          <w:p>
            <w:pPr>
              <w:spacing w:after="0"/>
              <w:rPr>
                <w:sz w:val="20"/>
                <w:szCs w:val="20"/>
                <w:color w:val="auto"/>
              </w:rPr>
            </w:pPr>
            <w:r>
              <w:rPr>
                <w:rFonts w:ascii="Arial" w:cs="Arial" w:eastAsia="Arial" w:hAnsi="Arial"/>
                <w:sz w:val="12"/>
                <w:szCs w:val="12"/>
                <w:color w:val="auto"/>
              </w:rPr>
              <w:t>Expected life</w:t>
            </w:r>
          </w:p>
        </w:tc>
        <w:tc>
          <w:tcPr>
            <w:tcW w:w="4480" w:type="dxa"/>
            <w:vAlign w:val="bottom"/>
          </w:tcPr>
          <w:p>
            <w:pPr>
              <w:spacing w:after="0"/>
              <w:rPr>
                <w:sz w:val="14"/>
                <w:szCs w:val="14"/>
                <w:color w:val="auto"/>
              </w:rPr>
            </w:pPr>
          </w:p>
        </w:tc>
        <w:tc>
          <w:tcPr>
            <w:tcW w:w="1840" w:type="dxa"/>
            <w:vAlign w:val="bottom"/>
            <w:gridSpan w:val="2"/>
          </w:tcPr>
          <w:p>
            <w:pPr>
              <w:ind w:left="500"/>
              <w:spacing w:after="0"/>
              <w:rPr>
                <w:sz w:val="20"/>
                <w:szCs w:val="20"/>
                <w:color w:val="auto"/>
              </w:rPr>
            </w:pPr>
            <w:r>
              <w:rPr>
                <w:rFonts w:ascii="Arial" w:cs="Arial" w:eastAsia="Arial" w:hAnsi="Arial"/>
                <w:sz w:val="12"/>
                <w:szCs w:val="12"/>
                <w:color w:val="auto"/>
              </w:rPr>
              <w:t>6.5 to 6.8 years</w:t>
            </w:r>
          </w:p>
        </w:tc>
        <w:tc>
          <w:tcPr>
            <w:tcW w:w="1740" w:type="dxa"/>
            <w:vAlign w:val="bottom"/>
          </w:tcPr>
          <w:p>
            <w:pPr>
              <w:jc w:val="center"/>
              <w:spacing w:after="0"/>
              <w:rPr>
                <w:sz w:val="20"/>
                <w:szCs w:val="20"/>
                <w:color w:val="auto"/>
              </w:rPr>
            </w:pPr>
            <w:r>
              <w:rPr>
                <w:rFonts w:ascii="Arial" w:cs="Arial" w:eastAsia="Arial" w:hAnsi="Arial"/>
                <w:sz w:val="12"/>
                <w:szCs w:val="12"/>
                <w:color w:val="auto"/>
                <w:w w:val="86"/>
              </w:rPr>
              <w:t>4 years</w:t>
            </w:r>
          </w:p>
        </w:tc>
      </w:tr>
      <w:tr>
        <w:trPr>
          <w:trHeight w:val="191"/>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Risk-free rate</w:t>
            </w:r>
          </w:p>
        </w:tc>
        <w:tc>
          <w:tcPr>
            <w:tcW w:w="6220" w:type="dxa"/>
            <w:vAlign w:val="bottom"/>
            <w:gridSpan w:val="2"/>
            <w:shd w:val="clear" w:color="auto" w:fill="CCEEFF"/>
          </w:tcPr>
          <w:p>
            <w:pPr>
              <w:jc w:val="center"/>
              <w:ind w:left="4419"/>
              <w:spacing w:after="0"/>
              <w:rPr>
                <w:sz w:val="20"/>
                <w:szCs w:val="20"/>
                <w:color w:val="auto"/>
              </w:rPr>
            </w:pPr>
            <w:r>
              <w:rPr>
                <w:rFonts w:ascii="Arial" w:cs="Arial" w:eastAsia="Arial" w:hAnsi="Arial"/>
                <w:sz w:val="12"/>
                <w:szCs w:val="12"/>
                <w:color w:val="auto"/>
                <w:w w:val="94"/>
              </w:rPr>
              <w:t>0.5%</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1.8% to 2.5%</w:t>
            </w:r>
          </w:p>
        </w:tc>
      </w:tr>
      <w:tr>
        <w:trPr>
          <w:trHeight w:val="163"/>
        </w:trPr>
        <w:tc>
          <w:tcPr>
            <w:tcW w:w="3240" w:type="dxa"/>
            <w:vAlign w:val="bottom"/>
          </w:tcPr>
          <w:p>
            <w:pPr>
              <w:spacing w:after="0"/>
              <w:rPr>
                <w:sz w:val="20"/>
                <w:szCs w:val="20"/>
                <w:color w:val="auto"/>
              </w:rPr>
            </w:pPr>
            <w:r>
              <w:rPr>
                <w:rFonts w:ascii="Arial" w:cs="Arial" w:eastAsia="Arial" w:hAnsi="Arial"/>
                <w:sz w:val="12"/>
                <w:szCs w:val="12"/>
                <w:color w:val="auto"/>
              </w:rPr>
              <w:t>Fair value per unit</w:t>
            </w:r>
          </w:p>
        </w:tc>
        <w:tc>
          <w:tcPr>
            <w:tcW w:w="6220" w:type="dxa"/>
            <w:vAlign w:val="bottom"/>
            <w:gridSpan w:val="2"/>
          </w:tcPr>
          <w:p>
            <w:pPr>
              <w:jc w:val="center"/>
              <w:ind w:left="4419"/>
              <w:spacing w:after="0"/>
              <w:rPr>
                <w:sz w:val="20"/>
                <w:szCs w:val="20"/>
                <w:color w:val="auto"/>
              </w:rPr>
            </w:pPr>
            <w:r>
              <w:rPr>
                <w:rFonts w:ascii="Arial" w:cs="Arial" w:eastAsia="Arial" w:hAnsi="Arial"/>
                <w:sz w:val="12"/>
                <w:szCs w:val="12"/>
                <w:color w:val="auto"/>
                <w:w w:val="92"/>
              </w:rPr>
              <w:t>$21.00</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91"/>
              </w:rPr>
              <w:t>$5.20 to $9.04</w:t>
            </w:r>
          </w:p>
        </w:tc>
      </w:tr>
      <w:tr>
        <w:trPr>
          <w:trHeight w:val="890"/>
        </w:trPr>
        <w:tc>
          <w:tcPr>
            <w:tcW w:w="3240" w:type="dxa"/>
            <w:vAlign w:val="bottom"/>
          </w:tcPr>
          <w:p>
            <w:pPr>
              <w:spacing w:after="0"/>
              <w:rPr>
                <w:sz w:val="24"/>
                <w:szCs w:val="24"/>
                <w:color w:val="auto"/>
              </w:rPr>
            </w:pPr>
          </w:p>
        </w:tc>
        <w:tc>
          <w:tcPr>
            <w:tcW w:w="4480" w:type="dxa"/>
            <w:vAlign w:val="bottom"/>
          </w:tcPr>
          <w:p>
            <w:pPr>
              <w:jc w:val="right"/>
              <w:ind w:right="1959"/>
              <w:spacing w:after="0"/>
              <w:rPr>
                <w:sz w:val="20"/>
                <w:szCs w:val="20"/>
                <w:color w:val="auto"/>
              </w:rPr>
            </w:pPr>
            <w:r>
              <w:rPr>
                <w:rFonts w:ascii="Arial" w:cs="Arial" w:eastAsia="Arial" w:hAnsi="Arial"/>
                <w:sz w:val="12"/>
                <w:szCs w:val="12"/>
                <w:color w:val="auto"/>
              </w:rPr>
              <w:t>37</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2"/>
        </w:trPr>
        <w:tc>
          <w:tcPr>
            <w:tcW w:w="3240" w:type="dxa"/>
            <w:vAlign w:val="bottom"/>
            <w:tcBorders>
              <w:bottom w:val="single" w:sz="8" w:color="9A9A9A"/>
            </w:tcBorders>
          </w:tcPr>
          <w:p>
            <w:pPr>
              <w:spacing w:after="0"/>
              <w:rPr>
                <w:sz w:val="15"/>
                <w:szCs w:val="15"/>
                <w:color w:val="auto"/>
              </w:rPr>
            </w:pPr>
          </w:p>
        </w:tc>
        <w:tc>
          <w:tcPr>
            <w:tcW w:w="44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-5080</wp:posOffset>
            </wp:positionV>
            <wp:extent cx="57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4" w:name="page45"/>
    <w:bookmarkEnd w:id="4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Equity-based Compensation (continued)</w:t>
      </w:r>
    </w:p>
    <w:p>
      <w:pPr>
        <w:spacing w:after="0" w:line="200" w:lineRule="exact"/>
        <w:rPr>
          <w:sz w:val="20"/>
          <w:szCs w:val="20"/>
          <w:color w:val="auto"/>
        </w:rPr>
      </w:pPr>
    </w:p>
    <w:p>
      <w:pPr>
        <w:spacing w:after="0" w:line="320" w:lineRule="exact"/>
        <w:rPr>
          <w:sz w:val="20"/>
          <w:szCs w:val="20"/>
          <w:color w:val="auto"/>
        </w:rPr>
      </w:pPr>
    </w:p>
    <w:p>
      <w:pPr>
        <w:ind w:firstLine="218"/>
        <w:spacing w:after="0" w:line="280" w:lineRule="auto"/>
        <w:rPr>
          <w:sz w:val="20"/>
          <w:szCs w:val="20"/>
          <w:color w:val="auto"/>
        </w:rPr>
      </w:pPr>
      <w:r>
        <w:rPr>
          <w:rFonts w:ascii="Arial" w:cs="Arial" w:eastAsia="Arial" w:hAnsi="Arial"/>
          <w:sz w:val="12"/>
          <w:szCs w:val="12"/>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ectPr>
          <w:pgSz w:w="11900" w:h="16838" w:orient="portrait"/>
          <w:cols w:equalWidth="0" w:num="1">
            <w:col w:w="11300"/>
          </w:cols>
          <w:pgMar w:left="300" w:top="128" w:right="29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LTIP Units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LTIP Unit activity was as follows during the periods indicated: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auto"/>
        </w:rPr>
        <w:t>Unvested at beginning of period</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2"/>
          <w:szCs w:val="12"/>
          <w:color w:val="auto"/>
        </w:rPr>
        <w:t>Granted</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Unvested at June 30, 2020</w:t>
      </w: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HSKB Incentive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20"/>
        <w:spacing w:after="0"/>
        <w:rPr>
          <w:sz w:val="20"/>
          <w:szCs w:val="20"/>
          <w:color w:val="auto"/>
        </w:rPr>
      </w:pPr>
      <w:r>
        <w:rPr>
          <w:rFonts w:ascii="Arial" w:cs="Arial" w:eastAsia="Arial" w:hAnsi="Arial"/>
          <w:sz w:val="10"/>
          <w:szCs w:val="10"/>
          <w:b w:val="1"/>
          <w:bCs w:val="1"/>
          <w:color w:val="auto"/>
        </w:rPr>
        <w:t>Six Months Ended June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right"/>
              <w:ind w:right="164"/>
              <w:spacing w:after="0"/>
              <w:rPr>
                <w:sz w:val="20"/>
                <w:szCs w:val="20"/>
                <w:color w:val="auto"/>
              </w:rPr>
            </w:pPr>
            <w:r>
              <w:rPr>
                <w:rFonts w:ascii="Arial" w:cs="Arial" w:eastAsia="Arial" w:hAnsi="Arial"/>
                <w:sz w:val="10"/>
                <w:szCs w:val="10"/>
                <w:b w:val="1"/>
                <w:bCs w:val="1"/>
                <w:color w:val="auto"/>
                <w:w w:val="90"/>
              </w:rPr>
              <w:t>Weighted Average Participation</w:t>
            </w:r>
          </w:p>
        </w:tc>
      </w:tr>
      <w:tr>
        <w:trPr>
          <w:trHeight w:val="133"/>
        </w:trPr>
        <w:tc>
          <w:tcPr>
            <w:tcW w:w="174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LTIP Units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04"/>
              <w:spacing w:after="0"/>
              <w:rPr>
                <w:sz w:val="20"/>
                <w:szCs w:val="20"/>
                <w:color w:val="auto"/>
              </w:rPr>
            </w:pPr>
            <w:r>
              <w:rPr>
                <w:rFonts w:ascii="Arial" w:cs="Arial" w:eastAsia="Arial" w:hAnsi="Arial"/>
                <w:sz w:val="10"/>
                <w:szCs w:val="10"/>
                <w:b w:val="1"/>
                <w:bCs w:val="1"/>
                <w:color w:val="auto"/>
              </w:rPr>
              <w:t>Threshold</w:t>
            </w:r>
          </w:p>
        </w:tc>
      </w:tr>
      <w:tr>
        <w:trPr>
          <w:trHeight w:val="161"/>
        </w:trPr>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4"/>
              <w:spacing w:after="0"/>
              <w:rPr>
                <w:sz w:val="20"/>
                <w:szCs w:val="20"/>
                <w:color w:val="auto"/>
              </w:rPr>
            </w:pPr>
            <w:r>
              <w:rPr>
                <w:rFonts w:ascii="Arial" w:cs="Arial" w:eastAsia="Arial" w:hAnsi="Arial"/>
                <w:sz w:val="12"/>
                <w:szCs w:val="12"/>
                <w:color w:val="auto"/>
              </w:rPr>
              <w:t>—</w:t>
            </w:r>
          </w:p>
        </w:tc>
      </w:tr>
      <w:tr>
        <w:trPr>
          <w:trHeight w:val="191"/>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47,620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4"/>
              <w:spacing w:after="0"/>
              <w:rPr>
                <w:sz w:val="20"/>
                <w:szCs w:val="20"/>
                <w:color w:val="auto"/>
              </w:rPr>
            </w:pPr>
            <w:r>
              <w:rPr>
                <w:rFonts w:ascii="Arial" w:cs="Arial" w:eastAsia="Arial" w:hAnsi="Arial"/>
                <w:sz w:val="12"/>
                <w:szCs w:val="12"/>
                <w:color w:val="auto"/>
              </w:rPr>
              <w:t>21.00</w:t>
            </w:r>
          </w:p>
        </w:tc>
      </w:tr>
      <w:tr>
        <w:trPr>
          <w:trHeight w:val="18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47,620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4"/>
              <w:spacing w:after="0"/>
              <w:rPr>
                <w:sz w:val="20"/>
                <w:szCs w:val="20"/>
                <w:color w:val="auto"/>
              </w:rPr>
            </w:pPr>
            <w:r>
              <w:rPr>
                <w:rFonts w:ascii="Arial" w:cs="Arial" w:eastAsia="Arial" w:hAnsi="Arial"/>
                <w:sz w:val="12"/>
                <w:szCs w:val="12"/>
                <w:color w:val="auto"/>
              </w:rPr>
              <w:t>21.00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-379730</wp:posOffset>
            </wp:positionV>
            <wp:extent cx="7177405"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7405" cy="1212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-143510</wp:posOffset>
            </wp:positionV>
            <wp:extent cx="7177405" cy="132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13271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7000" w:space="720"/>
            <w:col w:w="3580"/>
          </w:cols>
          <w:pgMar w:left="300" w:top="128" w:right="299" w:bottom="1440" w:gutter="0" w:footer="0" w:header="0"/>
          <w:type w:val="continuous"/>
        </w:sectPr>
      </w:pPr>
    </w:p>
    <w:p>
      <w:pPr>
        <w:jc w:val="both"/>
        <w:ind w:firstLine="218"/>
        <w:spacing w:after="0" w:line="261" w:lineRule="auto"/>
        <w:rPr>
          <w:sz w:val="20"/>
          <w:szCs w:val="20"/>
          <w:color w:val="auto"/>
        </w:rPr>
      </w:pPr>
      <w:r>
        <w:rPr>
          <w:rFonts w:ascii="Arial" w:cs="Arial" w:eastAsia="Arial" w:hAnsi="Arial"/>
          <w:sz w:val="12"/>
          <w:szCs w:val="12"/>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90"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will begin to recognize compensation cost under these awards on a straight-line basis in the same manner as if the Company had paid cash in lieu of awarding the HSKB Grants, per the requirements of ASC 718.</w:t>
      </w:r>
    </w:p>
    <w:p>
      <w:pPr>
        <w:spacing w:after="0" w:line="7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six months ended June 30, 2020, HSKB paid $11.3 million from allocated funds and has $12.2 million remaining that it has allocated to be paid through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45" w:name="page46"/>
    <w:bookmarkEnd w:id="4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Equity-based Compensation (continued)</w:t>
      </w:r>
    </w:p>
    <w:p>
      <w:pPr>
        <w:spacing w:after="0" w:line="200" w:lineRule="exact"/>
        <w:rPr>
          <w:sz w:val="20"/>
          <w:szCs w:val="20"/>
          <w:color w:val="auto"/>
        </w:rPr>
      </w:pPr>
    </w:p>
    <w:p>
      <w:pPr>
        <w:spacing w:after="0" w:line="207"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b w:val="1"/>
          <w:bCs w:val="1"/>
          <w:color w:val="auto"/>
        </w:rPr>
        <w:t xml:space="preserve">HSKB Phantom Units </w:t>
      </w:r>
      <w:r>
        <w:rPr>
          <w:rFonts w:ascii="Arial" w:cs="Arial" w:eastAsia="Arial" w:hAnsi="Arial"/>
          <w:sz w:val="12"/>
          <w:szCs w:val="12"/>
          <w:color w:val="auto"/>
        </w:rPr>
        <w:t>- In December 2019, HSKB I adopted the HSKB Funds, LLC 2019 Phantom Unit Plan wherein HSKB may grant Phantom Units (“HSKB Phantom Units”) to employees of the Company. HSKB Phantom</w:t>
      </w:r>
      <w:r>
        <w:rPr>
          <w:rFonts w:ascii="Arial" w:cs="Arial" w:eastAsia="Arial" w:hAnsi="Arial"/>
          <w:sz w:val="12"/>
          <w:szCs w:val="12"/>
          <w:b w:val="1"/>
          <w:bCs w:val="1"/>
          <w:color w:val="auto"/>
        </w:rPr>
        <w:t xml:space="preserve"> </w:t>
      </w:r>
      <w:r>
        <w:rPr>
          <w:rFonts w:ascii="Arial" w:cs="Arial" w:eastAsia="Arial" w:hAnsi="Arial"/>
          <w:sz w:val="12"/>
          <w:szCs w:val="12"/>
          <w:color w:val="auto"/>
        </w:rPr>
        <w:t>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91"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6"/>
          </w:tcPr>
          <w:p>
            <w:pPr>
              <w:jc w:val="right"/>
              <w:ind w:right="861"/>
              <w:spacing w:after="0"/>
              <w:rPr>
                <w:sz w:val="20"/>
                <w:szCs w:val="20"/>
                <w:color w:val="auto"/>
              </w:rPr>
            </w:pPr>
            <w:r>
              <w:rPr>
                <w:rFonts w:ascii="Arial" w:cs="Arial" w:eastAsia="Arial" w:hAnsi="Arial"/>
                <w:sz w:val="10"/>
                <w:szCs w:val="10"/>
                <w:b w:val="1"/>
                <w:bCs w:val="1"/>
                <w:color w:val="auto"/>
              </w:rPr>
              <w:t>Six Months Ended June 30,</w:t>
            </w:r>
          </w:p>
        </w:tc>
        <w:tc>
          <w:tcPr>
            <w:tcW w:w="40" w:type="dxa"/>
            <w:vAlign w:val="bottom"/>
          </w:tcPr>
          <w:p>
            <w:pPr>
              <w:spacing w:after="0"/>
              <w:rPr>
                <w:sz w:val="11"/>
                <w:szCs w:val="11"/>
                <w:color w:val="auto"/>
              </w:rPr>
            </w:pPr>
          </w:p>
        </w:tc>
      </w:tr>
      <w:tr>
        <w:trPr>
          <w:trHeight w:val="134"/>
        </w:trPr>
        <w:tc>
          <w:tcPr>
            <w:tcW w:w="5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89"/>
              </w:rPr>
              <w:t>2019</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1"/>
                <w:szCs w:val="11"/>
                <w:color w:val="auto"/>
              </w:rPr>
            </w:pPr>
          </w:p>
        </w:tc>
      </w:tr>
      <w:tr>
        <w:trPr>
          <w:trHeight w:val="162"/>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339"/>
              <w:spacing w:after="0"/>
              <w:rPr>
                <w:sz w:val="20"/>
                <w:szCs w:val="20"/>
                <w:color w:val="auto"/>
              </w:rPr>
            </w:pPr>
            <w:r>
              <w:rPr>
                <w:rFonts w:ascii="Arial" w:cs="Arial" w:eastAsia="Arial" w:hAnsi="Arial"/>
                <w:sz w:val="10"/>
                <w:szCs w:val="10"/>
                <w:b w:val="1"/>
                <w:bCs w:val="1"/>
                <w:color w:val="auto"/>
              </w:rPr>
              <w:t>(unaudited)</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0"/>
                <w:szCs w:val="10"/>
                <w:b w:val="1"/>
                <w:bCs w:val="1"/>
                <w:color w:val="auto"/>
                <w:w w:val="99"/>
              </w:rPr>
              <w:t>(unaudited)</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w w:val="99"/>
              </w:rPr>
              <w:t>Cost of service and Operating expenses include equity-based compensation expenses as follows: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72"/>
        </w:trPr>
        <w:tc>
          <w:tcPr>
            <w:tcW w:w="5200" w:type="dxa"/>
            <w:vAlign w:val="bottom"/>
          </w:tcPr>
          <w:p>
            <w:pPr>
              <w:ind w:left="140"/>
              <w:spacing w:after="0"/>
              <w:rPr>
                <w:sz w:val="20"/>
                <w:szCs w:val="20"/>
                <w:color w:val="auto"/>
              </w:rPr>
            </w:pPr>
            <w:r>
              <w:rPr>
                <w:rFonts w:ascii="Arial" w:cs="Arial" w:eastAsia="Arial" w:hAnsi="Arial"/>
                <w:sz w:val="12"/>
                <w:szCs w:val="12"/>
                <w:color w:val="auto"/>
              </w:rPr>
              <w:t>Cost of service</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600" w:type="dxa"/>
            <w:vAlign w:val="bottom"/>
          </w:tcPr>
          <w:p>
            <w:pPr>
              <w:jc w:val="right"/>
              <w:ind w:right="459"/>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4"/>
                <w:szCs w:val="14"/>
                <w:color w:val="auto"/>
              </w:rPr>
            </w:pPr>
          </w:p>
        </w:tc>
        <w:tc>
          <w:tcPr>
            <w:tcW w:w="560" w:type="dxa"/>
            <w:vAlign w:val="bottom"/>
          </w:tcPr>
          <w:p>
            <w:pPr>
              <w:jc w:val="right"/>
              <w:ind w:right="424"/>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1.9</w:t>
            </w:r>
          </w:p>
        </w:tc>
        <w:tc>
          <w:tcPr>
            <w:tcW w:w="40" w:type="dxa"/>
            <w:vAlign w:val="bottom"/>
          </w:tcPr>
          <w:p>
            <w:pPr>
              <w:spacing w:after="0"/>
              <w:rPr>
                <w:sz w:val="14"/>
                <w:szCs w:val="14"/>
                <w:color w:val="auto"/>
              </w:rPr>
            </w:pPr>
          </w:p>
        </w:tc>
      </w:tr>
      <w:tr>
        <w:trPr>
          <w:trHeight w:val="191"/>
        </w:trPr>
        <w:tc>
          <w:tcPr>
            <w:tcW w:w="5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6"/>
                <w:szCs w:val="16"/>
                <w:color w:val="auto"/>
              </w:rPr>
            </w:pPr>
          </w:p>
        </w:tc>
      </w:tr>
      <w:tr>
        <w:trPr>
          <w:trHeight w:val="172"/>
        </w:trPr>
        <w:tc>
          <w:tcPr>
            <w:tcW w:w="5200" w:type="dxa"/>
            <w:vAlign w:val="bottom"/>
          </w:tcPr>
          <w:p>
            <w:pPr>
              <w:ind w:left="140"/>
              <w:spacing w:after="0"/>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4"/>
                <w:szCs w:val="14"/>
                <w:color w:val="auto"/>
              </w:rPr>
            </w:pPr>
          </w:p>
        </w:tc>
        <w:tc>
          <w:tcPr>
            <w:tcW w:w="1100" w:type="dxa"/>
            <w:vAlign w:val="bottom"/>
          </w:tcPr>
          <w:p>
            <w:pPr>
              <w:jc w:val="right"/>
              <w:ind w:right="4"/>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w:t>
            </w:r>
          </w:p>
        </w:tc>
        <w:tc>
          <w:tcPr>
            <w:tcW w:w="40" w:type="dxa"/>
            <w:vAlign w:val="bottom"/>
          </w:tcPr>
          <w:p>
            <w:pPr>
              <w:spacing w:after="0"/>
              <w:rPr>
                <w:sz w:val="14"/>
                <w:szCs w:val="14"/>
                <w:color w:val="auto"/>
              </w:rPr>
            </w:pPr>
          </w:p>
        </w:tc>
      </w:tr>
      <w:tr>
        <w:trPr>
          <w:trHeight w:val="182"/>
        </w:trPr>
        <w:tc>
          <w:tcPr>
            <w:tcW w:w="5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40" w:type="dxa"/>
            <w:vAlign w:val="bottom"/>
          </w:tcPr>
          <w:p>
            <w:pPr>
              <w:spacing w:after="0"/>
              <w:rPr>
                <w:sz w:val="15"/>
                <w:szCs w:val="15"/>
                <w:color w:val="auto"/>
              </w:rPr>
            </w:pPr>
          </w:p>
        </w:tc>
      </w:tr>
      <w:tr>
        <w:trPr>
          <w:trHeight w:val="180"/>
        </w:trPr>
        <w:tc>
          <w:tcPr>
            <w:tcW w:w="5200" w:type="dxa"/>
            <w:vAlign w:val="bottom"/>
          </w:tcPr>
          <w:p>
            <w:pPr>
              <w:ind w:left="300"/>
              <w:spacing w:after="0"/>
              <w:rPr>
                <w:sz w:val="20"/>
                <w:szCs w:val="20"/>
                <w:color w:val="auto"/>
              </w:rPr>
            </w:pPr>
            <w:r>
              <w:rPr>
                <w:rFonts w:ascii="Arial" w:cs="Arial" w:eastAsia="Arial" w:hAnsi="Arial"/>
                <w:sz w:val="12"/>
                <w:szCs w:val="12"/>
                <w:color w:val="auto"/>
              </w:rPr>
              <w:t>Total equity-based compensation expense</w:t>
            </w: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75.8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w:t>
            </w:r>
          </w:p>
        </w:tc>
        <w:tc>
          <w:tcPr>
            <w:tcW w:w="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9"/>
        </w:trPr>
        <w:tc>
          <w:tcPr>
            <w:tcW w:w="7340" w:type="dxa"/>
            <w:vAlign w:val="bottom"/>
            <w:gridSpan w:val="5"/>
          </w:tcPr>
          <w:p>
            <w:pPr>
              <w:ind w:left="220"/>
              <w:spacing w:after="0"/>
              <w:rPr>
                <w:sz w:val="20"/>
                <w:szCs w:val="20"/>
                <w:color w:val="auto"/>
              </w:rPr>
            </w:pPr>
            <w:r>
              <w:rPr>
                <w:rFonts w:ascii="Arial" w:cs="Arial" w:eastAsia="Arial" w:hAnsi="Arial"/>
                <w:sz w:val="12"/>
                <w:szCs w:val="12"/>
                <w:color w:val="auto"/>
                <w:w w:val="91"/>
              </w:rPr>
              <w:t>As of June 30, 2020, unamortized equity-based compensation costs related to each equity-based incentive award described above is the following:</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jc w:val="right"/>
              <w:ind w:right="1"/>
              <w:spacing w:after="0"/>
              <w:rPr>
                <w:sz w:val="20"/>
                <w:szCs w:val="20"/>
                <w:color w:val="auto"/>
              </w:rPr>
            </w:pPr>
            <w:r>
              <w:rPr>
                <w:rFonts w:ascii="Arial" w:cs="Arial" w:eastAsia="Arial" w:hAnsi="Arial"/>
                <w:sz w:val="10"/>
                <w:szCs w:val="10"/>
                <w:b w:val="1"/>
                <w:bCs w:val="1"/>
                <w:color w:val="auto"/>
                <w:w w:val="90"/>
              </w:rPr>
              <w:t>Weighted Average Remaining Service</w:t>
            </w:r>
          </w:p>
        </w:tc>
        <w:tc>
          <w:tcPr>
            <w:tcW w:w="40" w:type="dxa"/>
            <w:vAlign w:val="bottom"/>
          </w:tcPr>
          <w:p>
            <w:pPr>
              <w:spacing w:after="0"/>
              <w:rPr>
                <w:sz w:val="20"/>
                <w:szCs w:val="20"/>
                <w:color w:val="auto"/>
              </w:rPr>
            </w:pPr>
          </w:p>
        </w:tc>
      </w:tr>
      <w:tr>
        <w:trPr>
          <w:trHeight w:val="133"/>
        </w:trPr>
        <w:tc>
          <w:tcPr>
            <w:tcW w:w="52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Amount</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w w:val="92"/>
              </w:rPr>
              <w:t>Period (years)</w:t>
            </w:r>
          </w:p>
        </w:tc>
        <w:tc>
          <w:tcPr>
            <w:tcW w:w="40" w:type="dxa"/>
            <w:vAlign w:val="bottom"/>
            <w:tcBorders>
              <w:bottom w:val="single" w:sz="8" w:color="auto"/>
            </w:tcBorders>
          </w:tcPr>
          <w:p>
            <w:pPr>
              <w:spacing w:after="0"/>
              <w:rPr>
                <w:sz w:val="11"/>
                <w:szCs w:val="11"/>
                <w:color w:val="auto"/>
              </w:rPr>
            </w:pPr>
          </w:p>
        </w:tc>
      </w:tr>
      <w:tr>
        <w:trPr>
          <w:trHeight w:val="179"/>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Units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40" w:type="dxa"/>
            <w:vAlign w:val="bottom"/>
            <w:shd w:val="clear" w:color="auto" w:fill="CCEEFF"/>
          </w:tcPr>
          <w:p>
            <w:pPr>
              <w:spacing w:after="0"/>
              <w:rPr>
                <w:sz w:val="15"/>
                <w:szCs w:val="15"/>
                <w:color w:val="auto"/>
              </w:rPr>
            </w:pPr>
          </w:p>
        </w:tc>
      </w:tr>
      <w:tr>
        <w:trPr>
          <w:trHeight w:val="172"/>
        </w:trPr>
        <w:tc>
          <w:tcPr>
            <w:tcW w:w="5200" w:type="dxa"/>
            <w:vAlign w:val="bottom"/>
          </w:tcPr>
          <w:p>
            <w:pPr>
              <w:spacing w:after="0"/>
              <w:rPr>
                <w:sz w:val="20"/>
                <w:szCs w:val="20"/>
                <w:color w:val="auto"/>
              </w:rPr>
            </w:pPr>
            <w:r>
              <w:rPr>
                <w:rFonts w:ascii="Arial" w:cs="Arial" w:eastAsia="Arial" w:hAnsi="Arial"/>
                <w:sz w:val="12"/>
                <w:szCs w:val="12"/>
                <w:color w:val="auto"/>
              </w:rPr>
              <w:t>Class A Common Stock Options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w:t>
            </w:r>
          </w:p>
        </w:tc>
        <w:tc>
          <w:tcPr>
            <w:tcW w:w="40" w:type="dxa"/>
            <w:vAlign w:val="bottom"/>
          </w:tcPr>
          <w:p>
            <w:pPr>
              <w:spacing w:after="0"/>
              <w:rPr>
                <w:sz w:val="14"/>
                <w:szCs w:val="14"/>
                <w:color w:val="auto"/>
              </w:rPr>
            </w:pPr>
          </w:p>
        </w:tc>
      </w:tr>
      <w:tr>
        <w:trPr>
          <w:trHeight w:val="191"/>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HoldCo Units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40" w:type="dxa"/>
            <w:vAlign w:val="bottom"/>
            <w:shd w:val="clear" w:color="auto" w:fill="CCEEFF"/>
          </w:tcPr>
          <w:p>
            <w:pPr>
              <w:spacing w:after="0"/>
              <w:rPr>
                <w:sz w:val="16"/>
                <w:szCs w:val="16"/>
                <w:color w:val="auto"/>
              </w:rPr>
            </w:pPr>
          </w:p>
        </w:tc>
      </w:tr>
      <w:tr>
        <w:trPr>
          <w:trHeight w:val="172"/>
        </w:trPr>
        <w:tc>
          <w:tcPr>
            <w:tcW w:w="5200" w:type="dxa"/>
            <w:vAlign w:val="bottom"/>
          </w:tcPr>
          <w:p>
            <w:pPr>
              <w:spacing w:after="0"/>
              <w:rPr>
                <w:sz w:val="20"/>
                <w:szCs w:val="20"/>
                <w:color w:val="auto"/>
              </w:rPr>
            </w:pPr>
            <w:r>
              <w:rPr>
                <w:rFonts w:ascii="Arial" w:cs="Arial" w:eastAsia="Arial" w:hAnsi="Arial"/>
                <w:sz w:val="12"/>
                <w:szCs w:val="12"/>
                <w:color w:val="auto"/>
              </w:rPr>
              <w:t>Class P Units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w:t>
            </w:r>
          </w:p>
        </w:tc>
        <w:tc>
          <w:tcPr>
            <w:tcW w:w="40" w:type="dxa"/>
            <w:vAlign w:val="bottom"/>
          </w:tcPr>
          <w:p>
            <w:pPr>
              <w:spacing w:after="0"/>
              <w:rPr>
                <w:sz w:val="14"/>
                <w:szCs w:val="14"/>
                <w:color w:val="auto"/>
              </w:rPr>
            </w:pPr>
          </w:p>
        </w:tc>
      </w:tr>
      <w:tr>
        <w:trPr>
          <w:trHeight w:val="191"/>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LTIP Units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40" w:type="dxa"/>
            <w:vAlign w:val="bottom"/>
            <w:shd w:val="clear" w:color="auto" w:fill="CCEEFF"/>
          </w:tcPr>
          <w:p>
            <w:pPr>
              <w:spacing w:after="0"/>
              <w:rPr>
                <w:sz w:val="16"/>
                <w:szCs w:val="16"/>
                <w:color w:val="auto"/>
              </w:rPr>
            </w:pPr>
          </w:p>
        </w:tc>
      </w:tr>
      <w:tr>
        <w:trPr>
          <w:trHeight w:val="172"/>
        </w:trPr>
        <w:tc>
          <w:tcPr>
            <w:tcW w:w="5200" w:type="dxa"/>
            <w:vAlign w:val="bottom"/>
          </w:tcPr>
          <w:p>
            <w:pPr>
              <w:spacing w:after="0"/>
              <w:rPr>
                <w:sz w:val="20"/>
                <w:szCs w:val="20"/>
                <w:color w:val="auto"/>
              </w:rPr>
            </w:pPr>
            <w:r>
              <w:rPr>
                <w:rFonts w:ascii="Arial" w:cs="Arial" w:eastAsia="Arial" w:hAnsi="Arial"/>
                <w:sz w:val="12"/>
                <w:szCs w:val="12"/>
                <w:color w:val="auto"/>
              </w:rPr>
              <w:t>HSKB Incentive Units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w:t>
            </w:r>
          </w:p>
        </w:tc>
        <w:tc>
          <w:tcPr>
            <w:tcW w:w="40" w:type="dxa"/>
            <w:vAlign w:val="bottom"/>
          </w:tcPr>
          <w:p>
            <w:pPr>
              <w:spacing w:after="0"/>
              <w:rPr>
                <w:sz w:val="14"/>
                <w:szCs w:val="14"/>
                <w:color w:val="auto"/>
              </w:rPr>
            </w:pPr>
          </w:p>
        </w:tc>
      </w:tr>
      <w:tr>
        <w:trPr>
          <w:trHeight w:val="182"/>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HSKB Phantom Units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40" w:type="dxa"/>
            <w:vAlign w:val="bottom"/>
            <w:shd w:val="clear" w:color="auto" w:fill="CCEEFF"/>
          </w:tcPr>
          <w:p>
            <w:pPr>
              <w:spacing w:after="0"/>
              <w:rPr>
                <w:sz w:val="15"/>
                <w:szCs w:val="15"/>
                <w:color w:val="auto"/>
              </w:rPr>
            </w:pPr>
          </w:p>
        </w:tc>
      </w:tr>
      <w:tr>
        <w:trPr>
          <w:trHeight w:val="180"/>
        </w:trPr>
        <w:tc>
          <w:tcPr>
            <w:tcW w:w="5200" w:type="dxa"/>
            <w:vAlign w:val="bottom"/>
          </w:tcPr>
          <w:p>
            <w:pPr>
              <w:ind w:left="160"/>
              <w:spacing w:after="0"/>
              <w:rPr>
                <w:sz w:val="20"/>
                <w:szCs w:val="20"/>
                <w:color w:val="auto"/>
              </w:rPr>
            </w:pPr>
            <w:r>
              <w:rPr>
                <w:rFonts w:ascii="Arial" w:cs="Arial" w:eastAsia="Arial" w:hAnsi="Arial"/>
                <w:sz w:val="12"/>
                <w:szCs w:val="12"/>
                <w:color w:val="auto"/>
              </w:rPr>
              <w:t>Total unamortized equity-based compensation cost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6" w:name="page47"/>
    <w:bookmarkEnd w:id="4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Income Taxes (As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Restated)</w:t>
      </w:r>
    </w:p>
    <w:p>
      <w:pPr>
        <w:spacing w:after="0" w:line="108"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The Company recorded income tax expense of $8.8 million and income tax benefit of $1.4 million for the three months ended June 30, 2020 and 2019, respectively. The Company recorded income tax expense of $8.4 million and income tax benefit of $4.7 million for the six months ended June 30, 2020 and 2019, respectively. The Company’s estimated effective tax rate for the six months ended June 30, 2020 was (11.1)%. The Company’s estimated annual effective tax rate is less than the statutory rate of 21.0% primarily due to certain compensation expenses that will not have a corresponding deduction for tax, and because the Company is not liable for income taxes on the portion of earnings that are attributable to non-controlling interest.</w:t>
      </w:r>
    </w:p>
    <w:p>
      <w:pPr>
        <w:spacing w:after="0" w:line="90" w:lineRule="exact"/>
        <w:rPr>
          <w:sz w:val="20"/>
          <w:szCs w:val="20"/>
          <w:color w:val="auto"/>
        </w:rPr>
      </w:pPr>
    </w:p>
    <w:p>
      <w:pPr>
        <w:ind w:right="120" w:firstLine="218"/>
        <w:spacing w:after="0" w:line="280" w:lineRule="auto"/>
        <w:rPr>
          <w:sz w:val="20"/>
          <w:szCs w:val="20"/>
          <w:color w:val="auto"/>
        </w:rPr>
      </w:pPr>
      <w:r>
        <w:rPr>
          <w:rFonts w:ascii="Arial" w:cs="Arial" w:eastAsia="Arial" w:hAnsi="Arial"/>
          <w:sz w:val="12"/>
          <w:szCs w:val="12"/>
          <w:color w:val="auto"/>
        </w:rPr>
        <w:t>As a result of the IPO, the Company recorded a change in the net deferred tax asset position, net of valuation allowance, of $224.4 million, which primarily consisted of the Company’s outside basis differences in its partnership subsidiaries, resulting in a deferred tax asset position of $149.6 million.</w:t>
      </w:r>
    </w:p>
    <w:p>
      <w:pPr>
        <w:spacing w:after="0" w:line="77" w:lineRule="exact"/>
        <w:rPr>
          <w:sz w:val="20"/>
          <w:szCs w:val="20"/>
          <w:color w:val="auto"/>
        </w:rPr>
      </w:pPr>
    </w:p>
    <w:p>
      <w:pPr>
        <w:ind w:right="100" w:firstLine="218"/>
        <w:spacing w:after="0" w:line="266" w:lineRule="auto"/>
        <w:rPr>
          <w:sz w:val="20"/>
          <w:szCs w:val="20"/>
          <w:color w:val="auto"/>
        </w:rPr>
      </w:pPr>
      <w:r>
        <w:rPr>
          <w:rFonts w:ascii="Arial" w:cs="Arial" w:eastAsia="Arial" w:hAnsi="Arial"/>
          <w:sz w:val="12"/>
          <w:szCs w:val="12"/>
          <w:color w:val="auto"/>
        </w:rPr>
        <w:t>In assessing the realizability of deferred tax assets, including the deferred tax assets recorded as a result of the IPO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$171.5 million related to the indefinite outside basis in the corporate stock of its wholly owned subsidiary.</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six months ended June 30, 2020.</w:t>
      </w:r>
    </w:p>
    <w:p>
      <w:pPr>
        <w:spacing w:after="0" w:line="69" w:lineRule="exact"/>
        <w:rPr>
          <w:sz w:val="20"/>
          <w:szCs w:val="20"/>
          <w:color w:val="auto"/>
        </w:rPr>
      </w:pPr>
    </w:p>
    <w:p>
      <w:pPr>
        <w:ind w:right="1200" w:firstLine="218"/>
        <w:spacing w:after="0" w:line="442" w:lineRule="auto"/>
        <w:rPr>
          <w:sz w:val="20"/>
          <w:szCs w:val="20"/>
          <w:color w:val="auto"/>
        </w:rPr>
      </w:pPr>
      <w:r>
        <w:rPr>
          <w:rFonts w:ascii="Arial" w:cs="Arial" w:eastAsia="Arial" w:hAnsi="Arial"/>
          <w:sz w:val="12"/>
          <w:szCs w:val="12"/>
          <w:color w:val="auto"/>
        </w:rPr>
        <w:t xml:space="preserve">The Company does not believe it has any significant uncertain tax positions and therefore has no unrecognized tax benefits as of June 30, 2020, that if recognized, would affect the annual effective tax rate. </w:t>
      </w:r>
      <w:r>
        <w:rPr>
          <w:rFonts w:ascii="Arial" w:cs="Arial" w:eastAsia="Arial" w:hAnsi="Arial"/>
          <w:sz w:val="12"/>
          <w:szCs w:val="12"/>
          <w:b w:val="1"/>
          <w:bCs w:val="1"/>
          <w:i w:val="1"/>
          <w:iCs w:val="1"/>
          <w:color w:val="auto"/>
        </w:rPr>
        <w:t>Tax Receivable Agreement</w:t>
      </w:r>
    </w:p>
    <w:p>
      <w:pPr>
        <w:jc w:val="both"/>
        <w:ind w:firstLine="218"/>
        <w:spacing w:after="0" w:line="301" w:lineRule="auto"/>
        <w:rPr>
          <w:sz w:val="20"/>
          <w:szCs w:val="20"/>
          <w:color w:val="auto"/>
        </w:rPr>
      </w:pPr>
      <w:r>
        <w:rPr>
          <w:rFonts w:ascii="Arial" w:cs="Arial" w:eastAsia="Arial" w:hAnsi="Arial"/>
          <w:sz w:val="11"/>
          <w:szCs w:val="11"/>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69"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7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 xml:space="preserve">As of June 30, 2020, the Company had a liability of $98.4 million related to its projected obligations under the Tax Receivable Agreements. Tax Receivable Agreements related liabilities are classified as current or noncurrent based on the expected date of payment and are included in our consolidated balance sheets under the captions </w:t>
      </w:r>
      <w:r>
        <w:rPr>
          <w:rFonts w:ascii="Arial" w:cs="Arial" w:eastAsia="Arial" w:hAnsi="Arial"/>
          <w:sz w:val="12"/>
          <w:szCs w:val="12"/>
          <w:i w:val="1"/>
          <w:iCs w:val="1"/>
          <w:color w:val="auto"/>
        </w:rPr>
        <w:t>Current portion of tax receivable agreements liability</w:t>
      </w:r>
      <w:r>
        <w:rPr>
          <w:rFonts w:ascii="Arial" w:cs="Arial" w:eastAsia="Arial" w:hAnsi="Arial"/>
          <w:sz w:val="12"/>
          <w:szCs w:val="12"/>
          <w:color w:val="auto"/>
        </w:rPr>
        <w:t xml:space="preserve"> and </w:t>
      </w:r>
      <w:r>
        <w:rPr>
          <w:rFonts w:ascii="Arial" w:cs="Arial" w:eastAsia="Arial" w:hAnsi="Arial"/>
          <w:sz w:val="12"/>
          <w:szCs w:val="12"/>
          <w:i w:val="1"/>
          <w:iCs w:val="1"/>
          <w:color w:val="auto"/>
        </w:rPr>
        <w:t>Tax receivable agreements liability, net of current portion</w:t>
      </w:r>
      <w:r>
        <w:rPr>
          <w:rFonts w:ascii="Arial" w:cs="Arial" w:eastAsia="Arial" w:hAnsi="Arial"/>
          <w:sz w:val="12"/>
          <w:szCs w:val="12"/>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7" w:name="page48"/>
    <w:bookmarkEnd w:id="4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Subsequent Events</w:t>
      </w:r>
    </w:p>
    <w:p>
      <w:pPr>
        <w:spacing w:after="0" w:line="12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On August 19, 2020, the Company entered into an underwriting agreement with certain selling stockholders relating to an offering of 14,938,379 shares of the Company's Class A common stock, par value $0.01 per share, pursuant to the Company’s Registration Statement on Form S-1 (File No. 333-248079) at a public offering price of $37.00 per share (the “Secondary Offering”). In addition, the underwriters exercised their over-allotment option to purchase an additional 2,240,756 shares of Class A Common Stock. The Company did not sell any shares in the Secondary Offering. The Secondary Offering was completed on August 24, 2020, and the selling stockholders received all of the net proceeds.</w:t>
      </w:r>
    </w:p>
    <w:p>
      <w:pPr>
        <w:spacing w:after="0" w:line="90"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$71.5 million, subject to working capital and other customary adjustments, and issued 67,075 shares of unregistered Class A common stock of the Company. We funded cash payments made at closing with cash on hand. Neither acquisition is expected to be material to the Company’s results of operations for the three months or year ended December 31, 2020 or the Company’s financial position as of December 31, 2020. The initial accounting of the business combinations is incomplete as of the issuance date of these financial statements. The Company has not yet determined the acquisition date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8" w:name="page49"/>
    <w:bookmarkEnd w:id="4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2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the financial statements and related notes included in the IPO Prospectus, the information included under “Management’s Discussion and Analysis of Financial Condition and Results of Operations” in the IPO Prospectus, and the unaudited consolidated financial statements and related notes included in Part I, Item 1 of this Form 10-Q/A.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10-Q/A and under “Risk Factors” in Part II, Item 1A of this Form 10-Q/A.</w:t>
      </w:r>
    </w:p>
    <w:p>
      <w:pPr>
        <w:spacing w:after="0" w:line="91"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i w:val="1"/>
          <w:iCs w:val="1"/>
          <w:color w:val="auto"/>
        </w:rPr>
        <w:t>References in this Form 10-Q/A to “ZoomInfo Technologies Inc.” refer to ZoomInfo Technologies Inc. and not to any of its subsidiaries unless the context indicates otherwise. References in this Form 10-Q/A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10-Q/A have been subject to rounding adjustments. Accordingly, numerical figures shown as totals in various tables may not be arithmetic aggregations of the figures that precede them.</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0" w:lineRule="exact"/>
        <w:rPr>
          <w:sz w:val="20"/>
          <w:szCs w:val="20"/>
          <w:color w:val="auto"/>
        </w:rPr>
      </w:pPr>
    </w:p>
    <w:p>
      <w:pPr>
        <w:jc w:val="both"/>
        <w:ind w:right="20" w:firstLine="218"/>
        <w:spacing w:after="0" w:line="327" w:lineRule="auto"/>
        <w:rPr>
          <w:sz w:val="20"/>
          <w:szCs w:val="20"/>
          <w:color w:val="auto"/>
        </w:rPr>
      </w:pPr>
      <w:r>
        <w:rPr>
          <w:rFonts w:ascii="Arial" w:cs="Arial" w:eastAsia="Arial" w:hAnsi="Arial"/>
          <w:sz w:val="11"/>
          <w:szCs w:val="11"/>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55"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90"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We offer access to our platform on a subscription basis and we generate substantially all of our revenue from sales of subscriptions. Our subscription fees include the use of our platform and access to customer support. Subscriptions generally range from one to three years in length with over 25% of our ACV being under multi-year agreements. We typically bill our customers at the beginning of each annual or quarterly period and recognize revenue ratably over the term of the subscription period.</w:t>
      </w:r>
    </w:p>
    <w:p>
      <w:pPr>
        <w:spacing w:after="0" w:line="86"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9" w:name="page50"/>
    <w:bookmarkEnd w:id="49"/>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Recent Developments</w:t>
      </w:r>
    </w:p>
    <w:p>
      <w:pPr>
        <w:spacing w:after="0" w:line="120" w:lineRule="exact"/>
        <w:rPr>
          <w:sz w:val="20"/>
          <w:szCs w:val="20"/>
          <w:color w:val="auto"/>
        </w:rPr>
      </w:pPr>
    </w:p>
    <w:p>
      <w:pPr>
        <w:ind w:left="227"/>
        <w:spacing w:after="0"/>
        <w:rPr>
          <w:sz w:val="20"/>
          <w:szCs w:val="20"/>
          <w:color w:val="auto"/>
        </w:rPr>
      </w:pPr>
      <w:r>
        <w:rPr>
          <w:rFonts w:ascii="Arial" w:cs="Arial" w:eastAsia="Arial" w:hAnsi="Arial"/>
          <w:sz w:val="12"/>
          <w:szCs w:val="12"/>
          <w:b w:val="1"/>
          <w:bCs w:val="1"/>
          <w:i w:val="1"/>
          <w:iCs w:val="1"/>
          <w:color w:val="auto"/>
        </w:rPr>
        <w:t>Reorganization Transactions</w:t>
      </w:r>
    </w:p>
    <w:p>
      <w:pPr>
        <w:spacing w:after="0" w:line="116" w:lineRule="exact"/>
        <w:rPr>
          <w:sz w:val="20"/>
          <w:szCs w:val="20"/>
          <w:color w:val="auto"/>
        </w:rPr>
      </w:pPr>
    </w:p>
    <w:p>
      <w:pPr>
        <w:jc w:val="both"/>
        <w:ind w:left="7" w:firstLine="218"/>
        <w:spacing w:after="0" w:line="266" w:lineRule="auto"/>
        <w:rPr>
          <w:sz w:val="20"/>
          <w:szCs w:val="20"/>
          <w:color w:val="auto"/>
        </w:rPr>
      </w:pPr>
      <w:r>
        <w:rPr>
          <w:rFonts w:ascii="Arial" w:cs="Arial" w:eastAsia="Arial" w:hAnsi="Arial"/>
          <w:sz w:val="12"/>
          <w:szCs w:val="12"/>
          <w:color w:val="auto"/>
        </w:rPr>
        <w:t>ZoomInfo Technologies Inc. was incorporated in November 2019 with no operating assets or operations for the purposes of facilitating an initial public offering of its Class A common stock (the “IPO”) and other related transactions in order to carry on the business of the operating entity ZoomInfo Holdings LLC (“ZoomInfo OpCo”) (formerly known as DiscoverOrg Holdings, LLC) following the consummation of the transactions described under “Reorganization Transactions” in Note 1 to our unaudited consolidated financial statements included in Part I, Item 1 of this Form 10-Q/A (the “Reorganization Transactions”).</w:t>
      </w:r>
    </w:p>
    <w:p>
      <w:pPr>
        <w:spacing w:after="0" w:line="86" w:lineRule="exact"/>
        <w:rPr>
          <w:sz w:val="20"/>
          <w:szCs w:val="20"/>
          <w:color w:val="auto"/>
        </w:rPr>
      </w:pPr>
    </w:p>
    <w:p>
      <w:pPr>
        <w:jc w:val="both"/>
        <w:ind w:left="7" w:right="20" w:firstLine="218"/>
        <w:spacing w:after="0" w:line="261" w:lineRule="auto"/>
        <w:rPr>
          <w:sz w:val="20"/>
          <w:szCs w:val="20"/>
          <w:color w:val="auto"/>
        </w:rPr>
      </w:pPr>
      <w:r>
        <w:rPr>
          <w:rFonts w:ascii="Arial" w:cs="Arial" w:eastAsia="Arial" w:hAnsi="Arial"/>
          <w:sz w:val="12"/>
          <w:szCs w:val="12"/>
          <w:color w:val="auto"/>
        </w:rPr>
        <w:t>Following the consummation of the Reorganization Transactions on June 3, 2020, ZoomInfo Technologies Inc. became a holding company, with its sole material asset being a controlling equity interest in ZoomInfo Intermediate Holdings LLC (“ZoomInfo HoldCo”), which is a holding company with its sole material asset being a controlling equity interest in ZoomInfo OpCo. ZoomInfo Technologies Inc. operates and controls all of our business and affairs, and consolidates the financial results of ZoomInfo OpCo through ZoomInfo HoldCo. Accordingly, ZoomInfo Technologies Inc. reports a non-controlling interest related to the OpCo Units or HoldCo Units held by our Continuing Members in our consolidated financial statements.</w:t>
      </w:r>
    </w:p>
    <w:p>
      <w:pPr>
        <w:spacing w:after="0" w:line="90" w:lineRule="exact"/>
        <w:rPr>
          <w:sz w:val="20"/>
          <w:szCs w:val="20"/>
          <w:color w:val="auto"/>
        </w:rPr>
      </w:pPr>
    </w:p>
    <w:p>
      <w:pPr>
        <w:ind w:left="227"/>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116" w:lineRule="exact"/>
        <w:rPr>
          <w:sz w:val="20"/>
          <w:szCs w:val="20"/>
          <w:color w:val="auto"/>
        </w:rPr>
      </w:pPr>
    </w:p>
    <w:p>
      <w:pPr>
        <w:jc w:val="both"/>
        <w:ind w:left="7" w:firstLine="218"/>
        <w:spacing w:after="0" w:line="277" w:lineRule="auto"/>
        <w:rPr>
          <w:sz w:val="20"/>
          <w:szCs w:val="20"/>
          <w:color w:val="auto"/>
        </w:rPr>
      </w:pPr>
      <w:r>
        <w:rPr>
          <w:rFonts w:ascii="Arial" w:cs="Arial" w:eastAsia="Arial" w:hAnsi="Arial"/>
          <w:sz w:val="11"/>
          <w:szCs w:val="11"/>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w:t>
      </w:r>
    </w:p>
    <w:p>
      <w:pPr>
        <w:spacing w:after="0" w:line="3" w:lineRule="exact"/>
        <w:rPr>
          <w:sz w:val="20"/>
          <w:szCs w:val="20"/>
          <w:color w:val="auto"/>
        </w:rPr>
      </w:pPr>
    </w:p>
    <w:p>
      <w:pPr>
        <w:ind w:left="7" w:hanging="7"/>
        <w:spacing w:after="0" w:line="265" w:lineRule="auto"/>
        <w:tabs>
          <w:tab w:leader="none" w:pos="232"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w:t>
      </w:r>
    </w:p>
    <w:p>
      <w:pPr>
        <w:spacing w:after="0" w:line="86" w:lineRule="exact"/>
        <w:rPr>
          <w:sz w:val="20"/>
          <w:szCs w:val="20"/>
          <w:color w:val="auto"/>
        </w:rPr>
      </w:pPr>
    </w:p>
    <w:p>
      <w:pPr>
        <w:ind w:left="227"/>
        <w:spacing w:after="0"/>
        <w:rPr>
          <w:sz w:val="20"/>
          <w:szCs w:val="20"/>
          <w:color w:val="auto"/>
        </w:rPr>
      </w:pPr>
      <w:r>
        <w:rPr>
          <w:rFonts w:ascii="Arial" w:cs="Arial" w:eastAsia="Arial" w:hAnsi="Arial"/>
          <w:sz w:val="12"/>
          <w:szCs w:val="12"/>
          <w:b w:val="1"/>
          <w:bCs w:val="1"/>
          <w:i w:val="1"/>
          <w:iCs w:val="1"/>
          <w:color w:val="auto"/>
        </w:rPr>
        <w:t>OpCo Units, HoldCo Units, and Common Stock</w:t>
      </w:r>
    </w:p>
    <w:p>
      <w:pPr>
        <w:spacing w:after="0" w:line="116" w:lineRule="exact"/>
        <w:rPr>
          <w:sz w:val="20"/>
          <w:szCs w:val="20"/>
          <w:color w:val="auto"/>
        </w:rPr>
      </w:pPr>
    </w:p>
    <w:p>
      <w:pPr>
        <w:ind w:left="7" w:firstLine="218"/>
        <w:spacing w:after="0" w:line="280" w:lineRule="auto"/>
        <w:rPr>
          <w:sz w:val="20"/>
          <w:szCs w:val="20"/>
          <w:color w:val="auto"/>
        </w:rPr>
      </w:pPr>
      <w:r>
        <w:rPr>
          <w:rFonts w:ascii="Arial" w:cs="Arial" w:eastAsia="Arial" w:hAnsi="Arial"/>
          <w:sz w:val="12"/>
          <w:szCs w:val="12"/>
          <w:color w:val="auto"/>
        </w:rPr>
        <w:t>In connection with the Reorganization Transactions,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0" w:name="page51"/>
    <w:bookmarkEnd w:id="5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w:t>
      </w:r>
    </w:p>
    <w:p>
      <w:pPr>
        <w:spacing w:after="0" w:line="91"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Pursuant to ZoomInfo Technologies Inc.’s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91"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2"/>
          <w:szCs w:val="12"/>
          <w:color w:val="auto"/>
        </w:rPr>
        <w:t>The Pre-IPO OpCo Unitholders and the Pre-IPO HoldCo Unitholders that held voting units before the Offering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COVID-19</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has triggered a period of global economic slowdown.</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full impact of the COVID-19 pandemic on the global economy is not currently known and the extent to which the COVID-19 pandemic may impact our financial condition or results of operations remain uncertain.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Furthermore, because of our largely subscription-based business model, the effect of the COVID-19 pandemic may not be fully reflected in our results of operations and overall financial condition until future periods, if at all.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1" w:name="page52"/>
    <w:bookmarkEnd w:id="5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79"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in Part II, Item 1A of this Form 10-Q/A for further discussion of the possible impact of the COVID-19 pandemic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Factors Affecting Our Performance</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believe that the growth and future success of our business depends on many factors, including the following:</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Continuing to Acquire New Customers</w:t>
      </w:r>
    </w:p>
    <w:p>
      <w:pPr>
        <w:spacing w:after="0" w:line="11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We are focused on continuing to grow the number of customers that use our platform. The majority of revenue growth when comparing the three months ending June 30, 2020 to the three months ending June 30, 2019 was the result of new customers added over the last 12 months.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Deliver Additional High-Value Solutions to Our Existing Customers</w:t>
      </w:r>
    </w:p>
    <w:p>
      <w:pPr>
        <w:spacing w:after="0" w:line="11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Expanding Relationships with Existing Customers</w:t>
      </w:r>
    </w:p>
    <w:p>
      <w:pPr>
        <w:spacing w:after="0" w:line="11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2" w:name="page53"/>
    <w:bookmarkEnd w:id="5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for the year ended December 31, 2019 was 109%. We also measure our success in expanding relationships with existing customers by the number of customers that contract for more than $100,000 in ACV. As of June 30, 2020, we had more than 650 customers with over $100,000 in ACV and ACV from these customers grew 60% relative to June 30, 2019.</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20"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Adjusted EBITDA, Adjusted Net Income, and Adjusted EPS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74" w:lineRule="exact"/>
        <w:rPr>
          <w:sz w:val="20"/>
          <w:szCs w:val="20"/>
          <w:color w:val="auto"/>
        </w:rPr>
      </w:pPr>
    </w:p>
    <w:p>
      <w:pPr>
        <w:jc w:val="both"/>
        <w:ind w:right="20" w:firstLine="218"/>
        <w:spacing w:after="0" w:line="261" w:lineRule="auto"/>
        <w:rPr>
          <w:sz w:val="20"/>
          <w:szCs w:val="20"/>
          <w:color w:val="auto"/>
        </w:rPr>
      </w:pPr>
      <w:r>
        <w:rPr>
          <w:rFonts w:ascii="Arial" w:cs="Arial" w:eastAsia="Arial" w:hAnsi="Arial"/>
          <w:sz w:val="12"/>
          <w:szCs w:val="12"/>
          <w:color w:val="auto"/>
        </w:rPr>
        <w:t>We view adjusted EBITDA, Allocated Combined Receipts, Adjusted Operating Income, Adjusted Operating Income Margin, Adjusted EBITDA, and Adjusted Net Income as operating performance measures and, as such, we believe that the most directly comparable GAAP financial measure to Allocated Combined Receipts is GAAP revenue. We believe the most directly comparable GAAP financial measure to Adjusted Operating Income, Adjusted EBITDA, and Adjusted Net Income is GAAP Net Income. We believe the most directly comparable GAAP financial measures to Adjusted Net Income per diluted share and Adjusted Operating Income Margin are net earnings per diluted share and net income divided by revenue, respectively.</w:t>
      </w:r>
    </w:p>
    <w:p>
      <w:pPr>
        <w:spacing w:after="0" w:line="9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Allocated Combined Receipts</w:t>
      </w:r>
    </w:p>
    <w:p>
      <w:pPr>
        <w:spacing w:after="0" w:line="116"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3" w:name="page54"/>
    <w:bookmarkEnd w:id="53"/>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table presents a reconciliation of Allocated Combined Receipts for the periods presented:</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33"/>
        </w:trPr>
        <w:tc>
          <w:tcPr>
            <w:tcW w:w="45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0"/>
                <w:szCs w:val="10"/>
                <w:b w:val="1"/>
                <w:bCs w:val="1"/>
                <w:color w:val="auto"/>
                <w:w w:val="88"/>
              </w:rPr>
              <w:t>Three Months Ended June 30,</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Borders>
              <w:bottom w:val="single" w:sz="8" w:color="auto"/>
            </w:tcBorders>
          </w:tcPr>
          <w:p>
            <w:pPr>
              <w:spacing w:after="0"/>
              <w:rPr>
                <w:sz w:val="11"/>
                <w:szCs w:val="11"/>
                <w:color w:val="auto"/>
              </w:rPr>
            </w:pPr>
          </w:p>
        </w:tc>
      </w:tr>
      <w:tr>
        <w:trPr>
          <w:trHeight w:val="134"/>
        </w:trPr>
        <w:tc>
          <w:tcPr>
            <w:tcW w:w="45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2019</w:t>
            </w:r>
          </w:p>
        </w:tc>
      </w:tr>
      <w:tr>
        <w:trPr>
          <w:trHeight w:val="179"/>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110.9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213.1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w:t>
            </w:r>
          </w:p>
        </w:tc>
      </w:tr>
      <w:tr>
        <w:trPr>
          <w:trHeight w:val="182"/>
        </w:trPr>
        <w:tc>
          <w:tcPr>
            <w:tcW w:w="4520" w:type="dxa"/>
            <w:vAlign w:val="bottom"/>
          </w:tcPr>
          <w:p>
            <w:pPr>
              <w:ind w:left="140"/>
              <w:spacing w:after="0"/>
              <w:rPr>
                <w:sz w:val="20"/>
                <w:szCs w:val="20"/>
                <w:color w:val="auto"/>
              </w:rPr>
            </w:pPr>
            <w:r>
              <w:rPr>
                <w:rFonts w:ascii="Arial" w:cs="Arial" w:eastAsia="Arial" w:hAnsi="Arial"/>
                <w:sz w:val="12"/>
                <w:szCs w:val="12"/>
                <w:color w:val="auto"/>
              </w:rPr>
              <w:t>Impact of fair value adjustments to acquired unearned revenue</w:t>
            </w:r>
            <w:r>
              <w:rPr>
                <w:rFonts w:ascii="Arial" w:cs="Arial" w:eastAsia="Arial" w:hAnsi="Arial"/>
                <w:sz w:val="15"/>
                <w:szCs w:val="15"/>
                <w:color w:val="auto"/>
                <w:vertAlign w:val="superscript"/>
              </w:rPr>
              <w:t>(a)</w:t>
            </w:r>
          </w:p>
        </w:tc>
        <w:tc>
          <w:tcPr>
            <w:tcW w:w="980" w:type="dxa"/>
            <w:vAlign w:val="bottom"/>
          </w:tcPr>
          <w:p>
            <w:pPr>
              <w:spacing w:after="0"/>
              <w:rPr>
                <w:sz w:val="15"/>
                <w:szCs w:val="15"/>
                <w:color w:val="auto"/>
              </w:rPr>
            </w:pPr>
          </w:p>
        </w:tc>
        <w:tc>
          <w:tcPr>
            <w:tcW w:w="680" w:type="dxa"/>
            <w:vAlign w:val="bottom"/>
          </w:tcPr>
          <w:p>
            <w:pPr>
              <w:jc w:val="right"/>
              <w:ind w:right="101"/>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19.2</w:t>
            </w:r>
          </w:p>
        </w:tc>
      </w:tr>
      <w:tr>
        <w:trPr>
          <w:trHeight w:val="182"/>
        </w:trPr>
        <w:tc>
          <w:tcPr>
            <w:tcW w:w="4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Pre-Acquisition ZI revenue</w:t>
            </w:r>
            <w:r>
              <w:rPr>
                <w:rFonts w:ascii="Arial" w:cs="Arial" w:eastAsia="Arial" w:hAnsi="Arial"/>
                <w:sz w:val="15"/>
                <w:szCs w:val="15"/>
                <w:color w:val="auto"/>
                <w:vertAlign w:val="superscript"/>
              </w:rPr>
              <w:t>(b)</w:t>
            </w:r>
          </w:p>
        </w:tc>
        <w:tc>
          <w:tcPr>
            <w:tcW w:w="9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r>
      <w:tr>
        <w:trPr>
          <w:trHeight w:val="151"/>
        </w:trPr>
        <w:tc>
          <w:tcPr>
            <w:tcW w:w="4520" w:type="dxa"/>
            <w:vAlign w:val="bottom"/>
          </w:tcPr>
          <w:p>
            <w:pPr>
              <w:ind w:left="140"/>
              <w:spacing w:after="0"/>
              <w:rPr>
                <w:sz w:val="20"/>
                <w:szCs w:val="20"/>
                <w:color w:val="auto"/>
              </w:rPr>
            </w:pPr>
            <w:r>
              <w:rPr>
                <w:rFonts w:ascii="Arial" w:cs="Arial" w:eastAsia="Arial" w:hAnsi="Arial"/>
                <w:sz w:val="12"/>
                <w:szCs w:val="12"/>
                <w:color w:val="auto"/>
              </w:rPr>
              <w:t>Impact of fair value adjustments to acquired unearned revenue recorded by Pre-</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6"/>
        </w:trPr>
        <w:tc>
          <w:tcPr>
            <w:tcW w:w="4520" w:type="dxa"/>
            <w:vAlign w:val="bottom"/>
          </w:tcPr>
          <w:p>
            <w:pPr>
              <w:ind w:left="240"/>
              <w:spacing w:after="0"/>
              <w:rPr>
                <w:sz w:val="20"/>
                <w:szCs w:val="20"/>
                <w:color w:val="auto"/>
              </w:rPr>
            </w:pPr>
            <w:r>
              <w:rPr>
                <w:rFonts w:ascii="Arial" w:cs="Arial" w:eastAsia="Arial" w:hAnsi="Arial"/>
                <w:sz w:val="12"/>
                <w:szCs w:val="12"/>
                <w:color w:val="auto"/>
              </w:rPr>
              <w:t>Acquisition ZI</w:t>
            </w:r>
            <w:r>
              <w:rPr>
                <w:rFonts w:ascii="Arial" w:cs="Arial" w:eastAsia="Arial" w:hAnsi="Arial"/>
                <w:sz w:val="15"/>
                <w:szCs w:val="15"/>
                <w:color w:val="auto"/>
                <w:vertAlign w:val="superscript"/>
              </w:rPr>
              <w:t>(c)</w:t>
            </w:r>
          </w:p>
        </w:tc>
        <w:tc>
          <w:tcPr>
            <w:tcW w:w="98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82"/>
        </w:trPr>
        <w:tc>
          <w:tcPr>
            <w:tcW w:w="45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Pre-acquisition revenue of other acquired companies</w:t>
            </w:r>
            <w:r>
              <w:rPr>
                <w:rFonts w:ascii="Arial" w:cs="Arial" w:eastAsia="Arial" w:hAnsi="Arial"/>
                <w:sz w:val="15"/>
                <w:szCs w:val="15"/>
                <w:color w:val="auto"/>
                <w:vertAlign w:val="superscript"/>
              </w:rPr>
              <w:t>(d)</w:t>
            </w:r>
          </w:p>
        </w:tc>
        <w:tc>
          <w:tcPr>
            <w:tcW w:w="9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87"/>
        </w:trPr>
        <w:tc>
          <w:tcPr>
            <w:tcW w:w="4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Allocated Combined Receipts</w:t>
            </w:r>
          </w:p>
        </w:tc>
        <w:tc>
          <w:tcPr>
            <w:tcW w:w="98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111.2</w:t>
            </w:r>
          </w:p>
        </w:tc>
        <w:tc>
          <w:tcPr>
            <w:tcW w:w="8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79.4</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214.8</w:t>
            </w:r>
          </w:p>
        </w:tc>
        <w:tc>
          <w:tcPr>
            <w:tcW w:w="80" w:type="dxa"/>
            <w:vAlign w:val="bottom"/>
            <w:tcBorders>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152.4</w:t>
            </w: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Growth</w:t>
            </w: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41 %</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bl>
    <w:p>
      <w:pPr>
        <w:spacing w:after="0" w:line="96" w:lineRule="exact"/>
        <w:rPr>
          <w:sz w:val="20"/>
          <w:szCs w:val="20"/>
          <w:color w:val="auto"/>
        </w:rPr>
      </w:pPr>
    </w:p>
    <w:p>
      <w:pPr>
        <w:ind w:left="7"/>
        <w:spacing w:after="0"/>
        <w:rPr>
          <w:sz w:val="20"/>
          <w:szCs w:val="20"/>
          <w:color w:val="auto"/>
        </w:rPr>
      </w:pPr>
      <w:r>
        <w:rPr>
          <w:rFonts w:ascii="Arial" w:cs="Arial" w:eastAsia="Arial" w:hAnsi="Arial"/>
          <w:sz w:val="10"/>
          <w:szCs w:val="10"/>
          <w:color w:val="auto"/>
        </w:rPr>
        <w:t>__________________</w:t>
      </w:r>
    </w:p>
    <w:p>
      <w:pPr>
        <w:spacing w:after="0" w:line="2" w:lineRule="exact"/>
        <w:rPr>
          <w:sz w:val="20"/>
          <w:szCs w:val="20"/>
          <w:color w:val="auto"/>
        </w:rPr>
      </w:pPr>
    </w:p>
    <w:p>
      <w:pPr>
        <w:ind w:left="227" w:right="20" w:hanging="227"/>
        <w:spacing w:after="0" w:line="227" w:lineRule="auto"/>
        <w:tabs>
          <w:tab w:leader="none" w:pos="226" w:val="left"/>
        </w:tabs>
        <w:numPr>
          <w:ilvl w:val="0"/>
          <w:numId w:val="21"/>
        </w:numPr>
        <w:rPr>
          <w:rFonts w:ascii="Arial" w:cs="Arial" w:eastAsia="Arial" w:hAnsi="Arial"/>
          <w:sz w:val="10"/>
          <w:szCs w:val="10"/>
          <w:color w:val="auto"/>
        </w:rPr>
      </w:pPr>
      <w:r>
        <w:rPr>
          <w:rFonts w:ascii="Arial" w:cs="Arial" w:eastAsia="Arial" w:hAnsi="Arial"/>
          <w:sz w:val="10"/>
          <w:szCs w:val="10"/>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207" w:hanging="207"/>
        <w:spacing w:after="0" w:line="227" w:lineRule="auto"/>
        <w:tabs>
          <w:tab w:leader="none" w:pos="207" w:val="left"/>
        </w:tabs>
        <w:numPr>
          <w:ilvl w:val="0"/>
          <w:numId w:val="21"/>
        </w:numPr>
        <w:rPr>
          <w:rFonts w:ascii="Arial" w:cs="Arial" w:eastAsia="Arial" w:hAnsi="Arial"/>
          <w:sz w:val="10"/>
          <w:szCs w:val="10"/>
          <w:color w:val="auto"/>
        </w:rPr>
      </w:pPr>
      <w:r>
        <w:rPr>
          <w:rFonts w:ascii="Arial" w:cs="Arial" w:eastAsia="Arial" w:hAnsi="Arial"/>
          <w:sz w:val="10"/>
          <w:szCs w:val="10"/>
          <w:color w:val="auto"/>
        </w:rPr>
        <w:t>Figures include revenue recognized by Pre-Acquisition ZI for the periods prior to our acquisition of Pre-Acquisition ZI.</w:t>
      </w:r>
    </w:p>
    <w:p>
      <w:pPr>
        <w:ind w:left="227" w:right="20" w:hanging="227"/>
        <w:spacing w:after="0" w:line="227" w:lineRule="auto"/>
        <w:tabs>
          <w:tab w:leader="none" w:pos="226" w:val="left"/>
        </w:tabs>
        <w:numPr>
          <w:ilvl w:val="0"/>
          <w:numId w:val="21"/>
        </w:numPr>
        <w:rPr>
          <w:rFonts w:ascii="Arial" w:cs="Arial" w:eastAsia="Arial" w:hAnsi="Arial"/>
          <w:sz w:val="10"/>
          <w:szCs w:val="10"/>
          <w:color w:val="auto"/>
        </w:rPr>
      </w:pPr>
      <w:r>
        <w:rPr>
          <w:rFonts w:ascii="Arial" w:cs="Arial" w:eastAsia="Arial" w:hAnsi="Arial"/>
          <w:sz w:val="10"/>
          <w:szCs w:val="10"/>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207" w:hanging="207"/>
        <w:spacing w:after="0"/>
        <w:tabs>
          <w:tab w:leader="none" w:pos="207" w:val="left"/>
        </w:tabs>
        <w:numPr>
          <w:ilvl w:val="0"/>
          <w:numId w:val="21"/>
        </w:numPr>
        <w:rPr>
          <w:rFonts w:ascii="Arial" w:cs="Arial" w:eastAsia="Arial" w:hAnsi="Arial"/>
          <w:sz w:val="10"/>
          <w:szCs w:val="10"/>
          <w:color w:val="auto"/>
        </w:rPr>
      </w:pPr>
      <w:r>
        <w:rPr>
          <w:rFonts w:ascii="Arial" w:cs="Arial" w:eastAsia="Arial" w:hAnsi="Arial"/>
          <w:sz w:val="10"/>
          <w:szCs w:val="10"/>
          <w:color w:val="auto"/>
        </w:rPr>
        <w:t>We acquired Komiko in October 2019. Figures include revenue recognized by Komiko for the periods presented prior to its acquisition.</w:t>
      </w:r>
    </w:p>
    <w:p>
      <w:pPr>
        <w:spacing w:after="0" w:line="99" w:lineRule="exact"/>
        <w:rPr>
          <w:sz w:val="20"/>
          <w:szCs w:val="20"/>
          <w:color w:val="auto"/>
        </w:rPr>
      </w:pPr>
    </w:p>
    <w:p>
      <w:pPr>
        <w:jc w:val="both"/>
        <w:ind w:left="7" w:firstLine="218"/>
        <w:spacing w:after="0" w:line="261" w:lineRule="auto"/>
        <w:rPr>
          <w:sz w:val="20"/>
          <w:szCs w:val="20"/>
          <w:color w:val="auto"/>
        </w:rPr>
      </w:pPr>
      <w:r>
        <w:rPr>
          <w:rFonts w:ascii="Arial" w:cs="Arial" w:eastAsia="Arial" w:hAnsi="Arial"/>
          <w:sz w:val="12"/>
          <w:szCs w:val="12"/>
          <w:color w:val="auto"/>
        </w:rPr>
        <w:t>Allocated Combined Receipts for the three months ended June 30, 2020 was $111.2, which represented an increase of $31.8 million, or 40%, relative to the three months ended June 30, 2019. Allocated Combined Receipts for the six months ended June 30, 2020 was $214.8 million, which represented an increase of $62.4 million, or 41%, relative to the six months ended June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Adjusted Operating Income, Adjusted Operating Income Margin, and Adjusted Net Income</w:t>
      </w:r>
    </w:p>
    <w:p>
      <w:pPr>
        <w:spacing w:after="0" w:line="116" w:lineRule="exact"/>
        <w:rPr>
          <w:sz w:val="20"/>
          <w:szCs w:val="20"/>
          <w:color w:val="auto"/>
        </w:rPr>
      </w:pPr>
    </w:p>
    <w:p>
      <w:pPr>
        <w:jc w:val="both"/>
        <w:ind w:left="7" w:firstLine="218"/>
        <w:spacing w:after="0" w:line="284" w:lineRule="auto"/>
        <w:rPr>
          <w:sz w:val="20"/>
          <w:szCs w:val="20"/>
          <w:color w:val="auto"/>
        </w:rPr>
      </w:pPr>
      <w:r>
        <w:rPr>
          <w:rFonts w:ascii="Arial" w:cs="Arial" w:eastAsia="Arial" w:hAnsi="Arial"/>
          <w:sz w:val="11"/>
          <w:szCs w:val="11"/>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78" w:lineRule="exact"/>
        <w:rPr>
          <w:sz w:val="20"/>
          <w:szCs w:val="20"/>
          <w:color w:val="auto"/>
        </w:rPr>
      </w:pPr>
    </w:p>
    <w:p>
      <w:pPr>
        <w:ind w:left="227"/>
        <w:spacing w:after="0"/>
        <w:rPr>
          <w:sz w:val="20"/>
          <w:szCs w:val="20"/>
          <w:color w:val="auto"/>
        </w:rPr>
      </w:pPr>
      <w:r>
        <w:rPr>
          <w:rFonts w:ascii="Arial" w:cs="Arial" w:eastAsia="Arial" w:hAnsi="Arial"/>
          <w:sz w:val="11"/>
          <w:szCs w:val="11"/>
          <w:color w:val="auto"/>
        </w:rPr>
        <w:t>We define Adjusted Net Income as Adjusted Operating Income less (i) interest expense, (ii) other (income) expense, net, and (iii) income tax expense (benefit) including incremental tax effects of adjustments to arrive at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4" w:name="page55"/>
    <w:bookmarkEnd w:id="54"/>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
        <w:spacing w:after="0" w:line="266" w:lineRule="auto"/>
        <w:rPr>
          <w:sz w:val="20"/>
          <w:szCs w:val="20"/>
          <w:color w:val="auto"/>
        </w:rPr>
      </w:pPr>
      <w:r>
        <w:rPr>
          <w:rFonts w:ascii="Arial" w:cs="Arial" w:eastAsia="Arial" w:hAnsi="Arial"/>
          <w:sz w:val="12"/>
          <w:szCs w:val="12"/>
          <w:color w:val="auto"/>
        </w:rPr>
        <w:t>Adjusted Operating Income and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8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 xml:space="preserve">The following table presents a reconciliation of </w:t>
      </w:r>
      <w:r>
        <w:rPr>
          <w:rFonts w:ascii="Arial" w:cs="Arial" w:eastAsia="Arial" w:hAnsi="Arial"/>
          <w:sz w:val="12"/>
          <w:szCs w:val="12"/>
          <w:i w:val="1"/>
          <w:iCs w:val="1"/>
          <w:color w:val="auto"/>
        </w:rPr>
        <w:t>Net income (loss)</w:t>
      </w:r>
      <w:r>
        <w:rPr>
          <w:rFonts w:ascii="Arial" w:cs="Arial" w:eastAsia="Arial" w:hAnsi="Arial"/>
          <w:sz w:val="12"/>
          <w:szCs w:val="12"/>
          <w:color w:val="auto"/>
        </w:rPr>
        <w:t xml:space="preserve"> to Adjusted Net Income and </w:t>
      </w:r>
      <w:r>
        <w:rPr>
          <w:rFonts w:ascii="Arial" w:cs="Arial" w:eastAsia="Arial" w:hAnsi="Arial"/>
          <w:sz w:val="12"/>
          <w:szCs w:val="12"/>
          <w:i w:val="1"/>
          <w:iCs w:val="1"/>
          <w:color w:val="auto"/>
        </w:rPr>
        <w:t>Income (loss) from operations</w:t>
      </w:r>
      <w:r>
        <w:rPr>
          <w:rFonts w:ascii="Arial" w:cs="Arial" w:eastAsia="Arial" w:hAnsi="Arial"/>
          <w:sz w:val="12"/>
          <w:szCs w:val="12"/>
          <w:color w:val="auto"/>
        </w:rPr>
        <w:t xml:space="preserve"> to Adjusted Operating Income for the periods presented:</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24"/>
        </w:trPr>
        <w:tc>
          <w:tcPr>
            <w:tcW w:w="4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2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Pr>
          <w:p>
            <w:pPr>
              <w:spacing w:after="0"/>
              <w:rPr>
                <w:sz w:val="10"/>
                <w:szCs w:val="10"/>
                <w:color w:val="auto"/>
              </w:rPr>
            </w:pPr>
          </w:p>
        </w:tc>
      </w:tr>
      <w:tr>
        <w:trPr>
          <w:trHeight w:val="154"/>
        </w:trPr>
        <w:tc>
          <w:tcPr>
            <w:tcW w:w="474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40"/>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0"/>
              <w:spacing w:after="0"/>
              <w:rPr>
                <w:sz w:val="20"/>
                <w:szCs w:val="20"/>
                <w:color w:val="auto"/>
              </w:rPr>
            </w:pPr>
            <w:r>
              <w:rPr>
                <w:rFonts w:ascii="Arial" w:cs="Arial" w:eastAsia="Arial" w:hAnsi="Arial"/>
                <w:sz w:val="10"/>
                <w:szCs w:val="10"/>
                <w:b w:val="1"/>
                <w:bCs w:val="1"/>
                <w:color w:val="auto"/>
              </w:rPr>
              <w:t>2019</w:t>
            </w:r>
          </w:p>
        </w:tc>
      </w:tr>
      <w:tr>
        <w:trPr>
          <w:trHeight w:val="134"/>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ind w:left="220"/>
              <w:spacing w:after="0"/>
              <w:rPr>
                <w:sz w:val="20"/>
                <w:szCs w:val="20"/>
                <w:color w:val="auto"/>
              </w:rPr>
            </w:pPr>
            <w:r>
              <w:rPr>
                <w:rFonts w:ascii="Arial" w:cs="Arial" w:eastAsia="Arial" w:hAnsi="Arial"/>
                <w:sz w:val="10"/>
                <w:szCs w:val="10"/>
                <w:b w:val="1"/>
                <w:bCs w:val="1"/>
                <w:color w:val="auto"/>
              </w:rPr>
              <w:t>(As Restated)</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20"/>
              <w:spacing w:after="0"/>
              <w:rPr>
                <w:sz w:val="20"/>
                <w:szCs w:val="20"/>
                <w:color w:val="auto"/>
              </w:rPr>
            </w:pPr>
            <w:r>
              <w:rPr>
                <w:rFonts w:ascii="Arial" w:cs="Arial" w:eastAsia="Arial" w:hAnsi="Arial"/>
                <w:sz w:val="10"/>
                <w:szCs w:val="10"/>
                <w:b w:val="1"/>
                <w:bCs w:val="1"/>
                <w:color w:val="auto"/>
              </w:rPr>
              <w:t>(As Restated)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0"/>
        </w:trPr>
        <w:tc>
          <w:tcPr>
            <w:tcW w:w="4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w:t>
            </w:r>
          </w:p>
        </w:tc>
      </w:tr>
      <w:tr>
        <w:trPr>
          <w:trHeight w:val="172"/>
        </w:trPr>
        <w:tc>
          <w:tcPr>
            <w:tcW w:w="4740" w:type="dxa"/>
            <w:vAlign w:val="bottom"/>
          </w:tcPr>
          <w:p>
            <w:pPr>
              <w:ind w:left="120"/>
              <w:spacing w:after="0"/>
              <w:rPr>
                <w:sz w:val="20"/>
                <w:szCs w:val="20"/>
                <w:color w:val="auto"/>
              </w:rPr>
            </w:pPr>
            <w:r>
              <w:rPr>
                <w:rFonts w:ascii="Arial" w:cs="Arial" w:eastAsia="Arial" w:hAnsi="Arial"/>
                <w:sz w:val="12"/>
                <w:szCs w:val="12"/>
                <w:color w:val="auto"/>
              </w:rPr>
              <w:t>Benefit (expense) from income taxes</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91"/>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 net</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w:t>
            </w:r>
          </w:p>
        </w:tc>
      </w:tr>
      <w:tr>
        <w:trPr>
          <w:trHeight w:val="172"/>
        </w:trPr>
        <w:tc>
          <w:tcPr>
            <w:tcW w:w="4740" w:type="dxa"/>
            <w:vAlign w:val="bottom"/>
          </w:tcPr>
          <w:p>
            <w:pPr>
              <w:ind w:left="120"/>
              <w:spacing w:after="0"/>
              <w:rPr>
                <w:sz w:val="20"/>
                <w:szCs w:val="20"/>
                <w:color w:val="auto"/>
              </w:rPr>
            </w:pPr>
            <w:r>
              <w:rPr>
                <w:rFonts w:ascii="Arial" w:cs="Arial" w:eastAsia="Arial" w:hAnsi="Arial"/>
                <w:sz w:val="12"/>
                <w:szCs w:val="12"/>
                <w:color w:val="auto"/>
              </w:rPr>
              <w:t>Loss on debt extinguishment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18.2</w:t>
            </w:r>
          </w:p>
        </w:tc>
      </w:tr>
      <w:tr>
        <w:trPr>
          <w:trHeight w:val="191"/>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r>
              <w:rPr>
                <w:rFonts w:ascii="Arial" w:cs="Arial" w:eastAsia="Arial" w:hAnsi="Arial"/>
                <w:sz w:val="15"/>
                <w:szCs w:val="15"/>
                <w:color w:val="auto"/>
                <w:vertAlign w:val="superscript"/>
              </w:rPr>
              <w:t>(a)</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4740" w:type="dxa"/>
            <w:vAlign w:val="bottom"/>
          </w:tcPr>
          <w:p>
            <w:pPr>
              <w:ind w:left="280"/>
              <w:spacing w:after="0"/>
              <w:rPr>
                <w:sz w:val="20"/>
                <w:szCs w:val="20"/>
                <w:color w:val="auto"/>
              </w:rPr>
            </w:pPr>
            <w:r>
              <w:rPr>
                <w:rFonts w:ascii="Arial" w:cs="Arial" w:eastAsia="Arial" w:hAnsi="Arial"/>
                <w:sz w:val="12"/>
                <w:szCs w:val="12"/>
                <w:b w:val="1"/>
                <w:bCs w:val="1"/>
                <w:color w:val="auto"/>
              </w:rPr>
              <w:t>Income (loss) from operations</w:t>
            </w: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(31.2)</w:t>
            </w: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w:t>
            </w:r>
          </w:p>
        </w:tc>
      </w:tr>
      <w:tr>
        <w:trPr>
          <w:trHeight w:val="191"/>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Impact of fair value adjustments to acquired unearned revenue</w:t>
            </w:r>
            <w:r>
              <w:rPr>
                <w:rFonts w:ascii="Arial" w:cs="Arial" w:eastAsia="Arial" w:hAnsi="Arial"/>
                <w:sz w:val="15"/>
                <w:szCs w:val="15"/>
                <w:color w:val="auto"/>
                <w:vertAlign w:val="superscript"/>
              </w:rPr>
              <w:t>(b)</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r>
      <w:tr>
        <w:trPr>
          <w:trHeight w:val="172"/>
        </w:trPr>
        <w:tc>
          <w:tcPr>
            <w:tcW w:w="4740" w:type="dxa"/>
            <w:vAlign w:val="bottom"/>
          </w:tcPr>
          <w:p>
            <w:pPr>
              <w:ind w:left="120"/>
              <w:spacing w:after="0"/>
              <w:rPr>
                <w:sz w:val="20"/>
                <w:szCs w:val="20"/>
                <w:color w:val="auto"/>
              </w:rPr>
            </w:pPr>
            <w:r>
              <w:rPr>
                <w:rFonts w:ascii="Arial" w:cs="Arial" w:eastAsia="Arial" w:hAnsi="Arial"/>
                <w:sz w:val="12"/>
                <w:szCs w:val="12"/>
                <w:color w:val="auto"/>
              </w:rPr>
              <w:t>Amortization of acquired technology</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91"/>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other acquired intangibles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72"/>
        </w:trPr>
        <w:tc>
          <w:tcPr>
            <w:tcW w:w="4740" w:type="dxa"/>
            <w:vAlign w:val="bottom"/>
          </w:tcPr>
          <w:p>
            <w:pPr>
              <w:ind w:left="120"/>
              <w:spacing w:after="0"/>
              <w:rPr>
                <w:sz w:val="20"/>
                <w:szCs w:val="20"/>
                <w:color w:val="auto"/>
              </w:rPr>
            </w:pPr>
            <w:r>
              <w:rPr>
                <w:rFonts w:ascii="Arial" w:cs="Arial" w:eastAsia="Arial" w:hAnsi="Arial"/>
                <w:sz w:val="12"/>
                <w:szCs w:val="12"/>
                <w:color w:val="auto"/>
              </w:rPr>
              <w:t>Equity-based compensation expense</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75.8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191"/>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Restructuring and transaction related expenses</w:t>
            </w:r>
            <w:r>
              <w:rPr>
                <w:rFonts w:ascii="Arial" w:cs="Arial" w:eastAsia="Arial" w:hAnsi="Arial"/>
                <w:sz w:val="15"/>
                <w:szCs w:val="15"/>
                <w:color w:val="auto"/>
                <w:vertAlign w:val="superscript"/>
              </w:rPr>
              <w:t>(c)</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r>
      <w:tr>
        <w:trPr>
          <w:trHeight w:val="182"/>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Integration costs and acquisition-related expenses</w:t>
            </w:r>
            <w:r>
              <w:rPr>
                <w:rFonts w:ascii="Arial" w:cs="Arial" w:eastAsia="Arial" w:hAnsi="Arial"/>
                <w:sz w:val="15"/>
                <w:szCs w:val="15"/>
                <w:color w:val="auto"/>
                <w:vertAlign w:val="superscript"/>
              </w:rPr>
              <w:t>(d)</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r>
      <w:tr>
        <w:trPr>
          <w:trHeight w:val="161"/>
        </w:trPr>
        <w:tc>
          <w:tcPr>
            <w:tcW w:w="474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Adjusted Operating Income</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104.0</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72.9</w:t>
            </w:r>
          </w:p>
        </w:tc>
      </w:tr>
      <w:tr>
        <w:trPr>
          <w:trHeight w:val="171"/>
        </w:trPr>
        <w:tc>
          <w:tcPr>
            <w:tcW w:w="4740" w:type="dxa"/>
            <w:vAlign w:val="bottom"/>
          </w:tcPr>
          <w:p>
            <w:pPr>
              <w:ind w:left="160"/>
              <w:spacing w:after="0"/>
              <w:rPr>
                <w:sz w:val="20"/>
                <w:szCs w:val="20"/>
                <w:color w:val="auto"/>
              </w:rPr>
            </w:pPr>
            <w:r>
              <w:rPr>
                <w:rFonts w:ascii="Arial" w:cs="Arial" w:eastAsia="Arial" w:hAnsi="Arial"/>
                <w:sz w:val="12"/>
                <w:szCs w:val="12"/>
                <w:color w:val="auto"/>
              </w:rPr>
              <w:t>Benefit (expense) from income taxes</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91"/>
        </w:trPr>
        <w:tc>
          <w:tcPr>
            <w:tcW w:w="47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Tax impacts of adjustments to net income (loss)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172"/>
        </w:trPr>
        <w:tc>
          <w:tcPr>
            <w:tcW w:w="4740" w:type="dxa"/>
            <w:vAlign w:val="bottom"/>
          </w:tcPr>
          <w:p>
            <w:pPr>
              <w:ind w:left="160"/>
              <w:spacing w:after="0"/>
              <w:rPr>
                <w:sz w:val="20"/>
                <w:szCs w:val="20"/>
                <w:color w:val="auto"/>
              </w:rPr>
            </w:pPr>
            <w:r>
              <w:rPr>
                <w:rFonts w:ascii="Arial" w:cs="Arial" w:eastAsia="Arial" w:hAnsi="Arial"/>
                <w:sz w:val="12"/>
                <w:szCs w:val="12"/>
                <w:color w:val="auto"/>
              </w:rPr>
              <w:t>Interest expense, net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(49.6)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(50.4)</w:t>
            </w:r>
          </w:p>
        </w:tc>
      </w:tr>
      <w:tr>
        <w:trPr>
          <w:trHeight w:val="182"/>
        </w:trPr>
        <w:tc>
          <w:tcPr>
            <w:tcW w:w="47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(income) expense, net</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740" w:type="dxa"/>
            <w:vAlign w:val="bottom"/>
          </w:tcPr>
          <w:p>
            <w:pPr>
              <w:spacing w:after="0"/>
              <w:rPr>
                <w:sz w:val="20"/>
                <w:szCs w:val="20"/>
                <w:color w:val="auto"/>
              </w:rPr>
            </w:pPr>
            <w:r>
              <w:rPr>
                <w:rFonts w:ascii="Arial" w:cs="Arial" w:eastAsia="Arial" w:hAnsi="Arial"/>
                <w:sz w:val="12"/>
                <w:szCs w:val="12"/>
                <w:b w:val="1"/>
                <w:bCs w:val="1"/>
                <w:i w:val="1"/>
                <w:iCs w:val="1"/>
                <w:color w:val="auto"/>
              </w:rPr>
              <w:t>Adjusted Net Income</w:t>
            </w: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27.0</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47.2</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21.7</w:t>
            </w: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7"/>
        <w:spacing w:after="0"/>
        <w:rPr>
          <w:sz w:val="20"/>
          <w:szCs w:val="20"/>
          <w:color w:val="auto"/>
        </w:rPr>
      </w:pPr>
      <w:r>
        <w:rPr>
          <w:rFonts w:ascii="Arial" w:cs="Arial" w:eastAsia="Arial" w:hAnsi="Arial"/>
          <w:sz w:val="10"/>
          <w:szCs w:val="10"/>
          <w:color w:val="auto"/>
        </w:rPr>
        <w:t>__________________</w:t>
      </w:r>
    </w:p>
    <w:p>
      <w:pPr>
        <w:ind w:left="207" w:hanging="207"/>
        <w:spacing w:after="0" w:line="231" w:lineRule="auto"/>
        <w:tabs>
          <w:tab w:leader="none" w:pos="207" w:val="left"/>
        </w:tabs>
        <w:numPr>
          <w:ilvl w:val="0"/>
          <w:numId w:val="22"/>
        </w:numPr>
        <w:rPr>
          <w:rFonts w:ascii="Arial" w:cs="Arial" w:eastAsia="Arial" w:hAnsi="Arial"/>
          <w:sz w:val="10"/>
          <w:szCs w:val="10"/>
          <w:color w:val="auto"/>
        </w:rPr>
      </w:pPr>
      <w:r>
        <w:rPr>
          <w:rFonts w:ascii="Arial" w:cs="Arial" w:eastAsia="Arial" w:hAnsi="Arial"/>
          <w:sz w:val="10"/>
          <w:szCs w:val="10"/>
          <w:color w:val="auto"/>
        </w:rPr>
        <w:t>Primarily represents foreign exchange remeasurement gains and losses.</w:t>
      </w:r>
    </w:p>
    <w:p>
      <w:pPr>
        <w:ind w:left="227" w:hanging="227"/>
        <w:spacing w:after="0" w:line="227" w:lineRule="auto"/>
        <w:tabs>
          <w:tab w:leader="none" w:pos="222"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227" w:hanging="227"/>
        <w:spacing w:after="0" w:line="342" w:lineRule="auto"/>
        <w:tabs>
          <w:tab w:leader="none" w:pos="226" w:val="left"/>
        </w:tabs>
        <w:numPr>
          <w:ilvl w:val="0"/>
          <w:numId w:val="22"/>
        </w:numPr>
        <w:rPr>
          <w:rFonts w:ascii="Arial" w:cs="Arial" w:eastAsia="Arial" w:hAnsi="Arial"/>
          <w:sz w:val="8"/>
          <w:szCs w:val="8"/>
          <w:color w:val="auto"/>
        </w:rPr>
      </w:pPr>
      <w:r>
        <w:rPr>
          <w:rFonts w:ascii="Arial" w:cs="Arial" w:eastAsia="Arial" w:hAnsi="Arial"/>
          <w:sz w:val="8"/>
          <w:szCs w:val="8"/>
          <w:color w:val="auto"/>
        </w:rPr>
        <w:t>Represents costs directly associated with acquisition or disposal activities, including employee severance and termination benefits, contract termination fees and penalties, and other exit or disposal costs. For the three and six months ended June 30, 2020, this expense related primarily to professional fees for the preparation for an initial public offering. For the three and six months ended June 30,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5" w:name="page56"/>
    <w:bookmarkEnd w:id="55"/>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27" w:hanging="227"/>
        <w:spacing w:after="0" w:line="303" w:lineRule="auto"/>
        <w:tabs>
          <w:tab w:leader="none" w:pos="222" w:val="left"/>
        </w:tabs>
        <w:numPr>
          <w:ilvl w:val="0"/>
          <w:numId w:val="23"/>
        </w:numPr>
        <w:rPr>
          <w:rFonts w:ascii="Arial" w:cs="Arial" w:eastAsia="Arial" w:hAnsi="Arial"/>
          <w:sz w:val="8"/>
          <w:szCs w:val="8"/>
          <w:color w:val="auto"/>
        </w:rPr>
      </w:pPr>
      <w:r>
        <w:rPr>
          <w:rFonts w:ascii="Arial" w:cs="Arial" w:eastAsia="Arial" w:hAnsi="Arial"/>
          <w:sz w:val="8"/>
          <w:szCs w:val="8"/>
          <w:color w:val="auto"/>
        </w:rPr>
        <w:t>Represents costs directly associated with integration activities for acquisitions and acquisition-related compensation, which includes transaction bonuses and retention awards. For the three months ended June 30, 2020, this expense related primarily to cash vesting payments from the acquisition of Pre-Acquisition ZI. For the three months ended June 30, 2019, this expense related primarily to activities resulting from the acquisition of Pre-Acquisition ZI, including cash vesting payments and transaction bonuses. For the six months ended June 30, 2020, this expense related primarily to cash vesting payments from the acquisition of Pre-Acquisition ZI. For the six months ended June 30, 2019, this expense related primarily to activities resulting from the acquisition of Pre-Acquisition ZI, including cash vesting payments and transaction bonuses, as well as expense incurred for retention awards granted upon the Company’s acquisitions of RainKing and NeverBounce. (see Note 4 to our unaudited consolidated financial statements included elsewhere in this document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62" w:lineRule="exact"/>
        <w:rPr>
          <w:sz w:val="20"/>
          <w:szCs w:val="20"/>
          <w:color w:val="auto"/>
        </w:rPr>
      </w:pPr>
    </w:p>
    <w:tbl>
      <w:tblPr>
        <w:tblLayout w:type="fixed"/>
        <w:tblInd w:w="227" w:type="dxa"/>
        <w:tblCellMar>
          <w:top w:w="0" w:type="dxa"/>
          <w:left w:w="0" w:type="dxa"/>
          <w:bottom w:w="0" w:type="dxa"/>
          <w:right w:w="0" w:type="dxa"/>
        </w:tblCellMar>
      </w:tblPr>
      <w:tr>
        <w:trPr>
          <w:trHeight w:val="133"/>
        </w:trPr>
        <w:tc>
          <w:tcPr>
            <w:tcW w:w="38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Three Months Ended June 30,</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Six Months Ended June 30,</w:t>
            </w:r>
          </w:p>
        </w:tc>
        <w:tc>
          <w:tcPr>
            <w:tcW w:w="940" w:type="dxa"/>
            <w:vAlign w:val="bottom"/>
            <w:tcBorders>
              <w:bottom w:val="single" w:sz="8" w:color="auto"/>
            </w:tcBorders>
          </w:tcPr>
          <w:p>
            <w:pPr>
              <w:spacing w:after="0"/>
              <w:rPr>
                <w:sz w:val="11"/>
                <w:szCs w:val="11"/>
                <w:color w:val="auto"/>
              </w:rPr>
            </w:pPr>
          </w:p>
        </w:tc>
      </w:tr>
      <w:tr>
        <w:trPr>
          <w:trHeight w:val="134"/>
        </w:trPr>
        <w:tc>
          <w:tcPr>
            <w:tcW w:w="38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2019</w:t>
            </w:r>
          </w:p>
        </w:tc>
      </w:tr>
      <w:tr>
        <w:trPr>
          <w:trHeight w:val="143"/>
        </w:trPr>
        <w:tc>
          <w:tcPr>
            <w:tcW w:w="382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r>
      <w:tr>
        <w:trPr>
          <w:trHeight w:val="137"/>
        </w:trPr>
        <w:tc>
          <w:tcPr>
            <w:tcW w:w="3820" w:type="dxa"/>
            <w:vAlign w:val="bottom"/>
          </w:tcPr>
          <w:p>
            <w:pPr>
              <w:spacing w:after="0"/>
              <w:rPr>
                <w:sz w:val="20"/>
                <w:szCs w:val="20"/>
                <w:color w:val="auto"/>
              </w:rPr>
            </w:pPr>
            <w:r>
              <w:rPr>
                <w:rFonts w:ascii="Arial" w:cs="Arial" w:eastAsia="Arial" w:hAnsi="Arial"/>
                <w:sz w:val="10"/>
                <w:szCs w:val="10"/>
                <w:color w:val="auto"/>
              </w:rPr>
              <w:t>Sales and marketing</w:t>
            </w:r>
          </w:p>
        </w:tc>
        <w:tc>
          <w:tcPr>
            <w:tcW w:w="3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0.8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w:t>
            </w:r>
          </w:p>
        </w:tc>
      </w:tr>
      <w:tr>
        <w:trPr>
          <w:trHeight w:val="154"/>
        </w:trPr>
        <w:tc>
          <w:tcPr>
            <w:tcW w:w="382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r>
      <w:tr>
        <w:trPr>
          <w:trHeight w:val="137"/>
        </w:trPr>
        <w:tc>
          <w:tcPr>
            <w:tcW w:w="3820" w:type="dxa"/>
            <w:vAlign w:val="bottom"/>
          </w:tcPr>
          <w:p>
            <w:pPr>
              <w:spacing w:after="0"/>
              <w:rPr>
                <w:sz w:val="20"/>
                <w:szCs w:val="20"/>
                <w:color w:val="auto"/>
              </w:rPr>
            </w:pPr>
            <w:r>
              <w:rPr>
                <w:rFonts w:ascii="Arial" w:cs="Arial" w:eastAsia="Arial" w:hAnsi="Arial"/>
                <w:sz w:val="10"/>
                <w:szCs w:val="10"/>
                <w:color w:val="auto"/>
              </w:rPr>
              <w:t>General and administrative</w:t>
            </w:r>
          </w:p>
        </w:tc>
        <w:tc>
          <w:tcPr>
            <w:tcW w:w="360" w:type="dxa"/>
            <w:vAlign w:val="bottom"/>
          </w:tcPr>
          <w:p>
            <w:pPr>
              <w:spacing w:after="0"/>
              <w:rPr>
                <w:sz w:val="11"/>
                <w:szCs w:val="1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3.4</w:t>
            </w:r>
          </w:p>
        </w:tc>
      </w:tr>
      <w:tr>
        <w:trPr>
          <w:trHeight w:val="159"/>
        </w:trPr>
        <w:tc>
          <w:tcPr>
            <w:tcW w:w="38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Total integration costs and acquisition-related compensation</w:t>
            </w: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w:t>
            </w:r>
          </w:p>
        </w:tc>
      </w:tr>
    </w:tbl>
    <w:p>
      <w:pPr>
        <w:spacing w:after="0" w:line="17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We define Adjusted Operating Income Margin as Adjusted Operating Income divided by the sum of revenue and the impact of fair value adjustments to acquired unearned revenue.</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33"/>
        </w:trPr>
        <w:tc>
          <w:tcPr>
            <w:tcW w:w="45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0"/>
                <w:szCs w:val="10"/>
                <w:b w:val="1"/>
                <w:bCs w:val="1"/>
                <w:color w:val="auto"/>
              </w:rPr>
              <w:t>Three Months Ended June 30,</w:t>
            </w: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0"/>
                <w:szCs w:val="10"/>
                <w:b w:val="1"/>
                <w:bCs w:val="1"/>
                <w:color w:val="auto"/>
              </w:rPr>
              <w:t>Six Months Ended June 30,</w:t>
            </w:r>
          </w:p>
        </w:tc>
        <w:tc>
          <w:tcPr>
            <w:tcW w:w="1000" w:type="dxa"/>
            <w:vAlign w:val="bottom"/>
            <w:tcBorders>
              <w:bottom w:val="single" w:sz="8" w:color="auto"/>
            </w:tcBorders>
          </w:tcPr>
          <w:p>
            <w:pPr>
              <w:spacing w:after="0"/>
              <w:rPr>
                <w:sz w:val="11"/>
                <w:szCs w:val="11"/>
                <w:color w:val="auto"/>
              </w:rPr>
            </w:pPr>
          </w:p>
        </w:tc>
      </w:tr>
      <w:tr>
        <w:trPr>
          <w:trHeight w:val="134"/>
        </w:trPr>
        <w:tc>
          <w:tcPr>
            <w:tcW w:w="45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2019</w:t>
            </w:r>
          </w:p>
        </w:tc>
      </w:tr>
      <w:tr>
        <w:trPr>
          <w:trHeight w:val="179"/>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Adjusted Operating Income</w:t>
            </w: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104.0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72.9</w:t>
            </w:r>
          </w:p>
        </w:tc>
      </w:tr>
      <w:tr>
        <w:trPr>
          <w:trHeight w:val="182"/>
        </w:trPr>
        <w:tc>
          <w:tcPr>
            <w:tcW w:w="4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110.9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68.5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213.1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123.1</w:t>
            </w:r>
          </w:p>
        </w:tc>
      </w:tr>
      <w:tr>
        <w:trPr>
          <w:trHeight w:val="172"/>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Impact of fair value adjustments to acquired unearned revenue</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10.7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19.2</w:t>
            </w:r>
          </w:p>
        </w:tc>
      </w:tr>
      <w:tr>
        <w:trPr>
          <w:trHeight w:val="196"/>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Revenue for adjusted operating margin calculation</w:t>
            </w: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111.2</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79.2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214.8</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142.3</w:t>
            </w:r>
          </w:p>
        </w:tc>
      </w:tr>
      <w:tr>
        <w:trPr>
          <w:trHeight w:val="163"/>
        </w:trPr>
        <w:tc>
          <w:tcPr>
            <w:tcW w:w="4580" w:type="dxa"/>
            <w:vAlign w:val="bottom"/>
          </w:tcPr>
          <w:p>
            <w:pPr>
              <w:ind w:left="140"/>
              <w:spacing w:after="0"/>
              <w:rPr>
                <w:sz w:val="20"/>
                <w:szCs w:val="20"/>
                <w:color w:val="auto"/>
              </w:rPr>
            </w:pPr>
            <w:r>
              <w:rPr>
                <w:rFonts w:ascii="Arial" w:cs="Arial" w:eastAsia="Arial" w:hAnsi="Arial"/>
                <w:sz w:val="12"/>
                <w:szCs w:val="12"/>
                <w:i w:val="1"/>
                <w:iCs w:val="1"/>
                <w:color w:val="auto"/>
              </w:rPr>
              <w:t>Adjusted Operating Income Margin</w:t>
            </w:r>
          </w:p>
        </w:tc>
        <w:tc>
          <w:tcPr>
            <w:tcW w:w="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i w:val="1"/>
                <w:iCs w:val="1"/>
                <w:color w:val="auto"/>
              </w:rPr>
              <w:t>49 %</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52 %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i w:val="1"/>
                <w:iCs w:val="1"/>
                <w:color w:val="auto"/>
              </w:rPr>
              <w:t>48 %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i w:val="1"/>
                <w:iCs w:val="1"/>
                <w:color w:val="auto"/>
              </w:rPr>
              <w:t>51 %</w:t>
            </w:r>
          </w:p>
        </w:tc>
      </w:tr>
    </w:tbl>
    <w:p>
      <w:pPr>
        <w:spacing w:after="0" w:line="191" w:lineRule="exact"/>
        <w:rPr>
          <w:sz w:val="20"/>
          <w:szCs w:val="20"/>
          <w:color w:val="auto"/>
        </w:rPr>
      </w:pPr>
    </w:p>
    <w:p>
      <w:pPr>
        <w:jc w:val="both"/>
        <w:ind w:left="7" w:firstLine="218"/>
        <w:spacing w:after="0" w:line="292" w:lineRule="auto"/>
        <w:rPr>
          <w:sz w:val="20"/>
          <w:szCs w:val="20"/>
          <w:color w:val="auto"/>
        </w:rPr>
      </w:pPr>
      <w:r>
        <w:rPr>
          <w:rFonts w:ascii="Arial" w:cs="Arial" w:eastAsia="Arial" w:hAnsi="Arial"/>
          <w:sz w:val="11"/>
          <w:szCs w:val="11"/>
          <w:color w:val="auto"/>
        </w:rPr>
        <w:t>Adjusted Operating Income for the three months ended June 30, 2020 was $55.0 million and represented an Adjusted Operating Income Margin of 49%. Adjusted Operating Income for the three months ended June 30, 2019 was $41.3 million and represented an Adjusted Operating Income Margin of 52%. The increase of $13.7 million, or 33%, was driven primarily from the growth in revenue driven by additional customers and increasing revenue from existing customers. Adjusted Operating Income Margin decreased to 49% in the three months ended June 30, 2020 from 52% in the three months ended June 30, 2019 due to incremental sales and marketing expenses related to signing new customers and retaining and upselling existing customers, and general and administration costs to support incremental public company related requirements.</w:t>
      </w:r>
    </w:p>
    <w:p>
      <w:pPr>
        <w:spacing w:after="0" w:line="74" w:lineRule="exact"/>
        <w:rPr>
          <w:sz w:val="20"/>
          <w:szCs w:val="20"/>
          <w:color w:val="auto"/>
        </w:rPr>
      </w:pPr>
    </w:p>
    <w:p>
      <w:pPr>
        <w:jc w:val="both"/>
        <w:ind w:left="7" w:firstLine="218"/>
        <w:spacing w:after="0" w:line="292" w:lineRule="auto"/>
        <w:rPr>
          <w:sz w:val="20"/>
          <w:szCs w:val="20"/>
          <w:color w:val="auto"/>
        </w:rPr>
      </w:pPr>
      <w:r>
        <w:rPr>
          <w:rFonts w:ascii="Arial" w:cs="Arial" w:eastAsia="Arial" w:hAnsi="Arial"/>
          <w:sz w:val="11"/>
          <w:szCs w:val="11"/>
          <w:color w:val="auto"/>
        </w:rPr>
        <w:t>Adjusted Operating Income for the six months ended June 30, 2020 was $104.0 million and represented an Adjusted Operating Income Margin of 48%. Adjusted Operating Income for the six months ended June 30, 2019 was $72.9 million and represented an Adjusted Operating Income Margin of 51%. The increase of $31.1 million, or 43%, was driven primarily from the growth in revenue that resulted from the acquisition of Pre-Acquisition ZI and additional customers in 2020 and 2019. Adjusted Operating Income Margin decreased to 48% in the six months ended June 30, 2020 from 51% in the six months ended June 30, 2019 due to incremental sales and marketing expenses related to signing new customers and retaining and upselling existing customers, and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6" w:name="page57"/>
    <w:bookmarkEnd w:id="56"/>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Adjusted EBITDA</w:t>
      </w:r>
    </w:p>
    <w:p>
      <w:pPr>
        <w:spacing w:after="0" w:line="116" w:lineRule="exact"/>
        <w:rPr>
          <w:sz w:val="20"/>
          <w:szCs w:val="20"/>
          <w:color w:val="auto"/>
        </w:rPr>
      </w:pPr>
    </w:p>
    <w:p>
      <w:pPr>
        <w:jc w:val="both"/>
        <w:ind w:left="7" w:firstLine="218"/>
        <w:spacing w:after="0" w:line="319" w:lineRule="auto"/>
        <w:rPr>
          <w:sz w:val="20"/>
          <w:szCs w:val="20"/>
          <w:color w:val="auto"/>
        </w:rPr>
      </w:pPr>
      <w:r>
        <w:rPr>
          <w:rFonts w:ascii="Arial" w:cs="Arial" w:eastAsia="Arial" w:hAnsi="Arial"/>
          <w:sz w:val="10"/>
          <w:szCs w:val="10"/>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6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table presents a reconciliation of net income (loss) to Adjusted EBITDA for the periods presented:</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33"/>
        </w:trPr>
        <w:tc>
          <w:tcPr>
            <w:tcW w:w="48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0"/>
                <w:szCs w:val="10"/>
                <w:b w:val="1"/>
                <w:bCs w:val="1"/>
                <w:color w:val="auto"/>
              </w:rPr>
              <w:t>Six Months Ended June 30,</w:t>
            </w:r>
          </w:p>
        </w:tc>
        <w:tc>
          <w:tcPr>
            <w:tcW w:w="940" w:type="dxa"/>
            <w:vAlign w:val="bottom"/>
            <w:tcBorders>
              <w:bottom w:val="single" w:sz="8" w:color="auto"/>
            </w:tcBorders>
          </w:tcPr>
          <w:p>
            <w:pPr>
              <w:spacing w:after="0"/>
              <w:rPr>
                <w:sz w:val="11"/>
                <w:szCs w:val="11"/>
                <w:color w:val="auto"/>
              </w:rPr>
            </w:pPr>
          </w:p>
        </w:tc>
      </w:tr>
      <w:tr>
        <w:trPr>
          <w:trHeight w:val="134"/>
        </w:trPr>
        <w:tc>
          <w:tcPr>
            <w:tcW w:w="4860" w:type="dxa"/>
            <w:vAlign w:val="bottom"/>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2019</w:t>
            </w:r>
          </w:p>
        </w:tc>
      </w:tr>
      <w:tr>
        <w:trPr>
          <w:trHeight w:val="134"/>
        </w:trPr>
        <w:tc>
          <w:tcPr>
            <w:tcW w:w="4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20"/>
              <w:spacing w:after="0"/>
              <w:rPr>
                <w:sz w:val="20"/>
                <w:szCs w:val="20"/>
                <w:color w:val="auto"/>
              </w:rPr>
            </w:pPr>
            <w:r>
              <w:rPr>
                <w:rFonts w:ascii="Arial" w:cs="Arial" w:eastAsia="Arial" w:hAnsi="Arial"/>
                <w:sz w:val="10"/>
                <w:szCs w:val="10"/>
                <w:b w:val="1"/>
                <w:bCs w:val="1"/>
                <w:color w:val="auto"/>
              </w:rPr>
              <w:t>(As Restated)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200"/>
              <w:spacing w:after="0"/>
              <w:rPr>
                <w:sz w:val="20"/>
                <w:szCs w:val="20"/>
                <w:color w:val="auto"/>
              </w:rPr>
            </w:pPr>
            <w:r>
              <w:rPr>
                <w:rFonts w:ascii="Arial" w:cs="Arial" w:eastAsia="Arial" w:hAnsi="Arial"/>
                <w:sz w:val="10"/>
                <w:szCs w:val="10"/>
                <w:b w:val="1"/>
                <w:bCs w:val="1"/>
                <w:color w:val="auto"/>
              </w:rPr>
              <w:t>(As Restated)</w:t>
            </w: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0"/>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w:t>
            </w:r>
          </w:p>
        </w:tc>
      </w:tr>
      <w:tr>
        <w:trPr>
          <w:trHeight w:val="172"/>
        </w:trPr>
        <w:tc>
          <w:tcPr>
            <w:tcW w:w="4860" w:type="dxa"/>
            <w:vAlign w:val="bottom"/>
          </w:tcPr>
          <w:p>
            <w:pPr>
              <w:ind w:left="140"/>
              <w:spacing w:after="0"/>
              <w:rPr>
                <w:sz w:val="20"/>
                <w:szCs w:val="20"/>
                <w:color w:val="auto"/>
              </w:rPr>
            </w:pPr>
            <w:r>
              <w:rPr>
                <w:rFonts w:ascii="Arial" w:cs="Arial" w:eastAsia="Arial" w:hAnsi="Arial"/>
                <w:sz w:val="12"/>
                <w:szCs w:val="12"/>
                <w:color w:val="auto"/>
              </w:rPr>
              <w:t>Benefit (expense) from income taxes</w:t>
            </w: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91"/>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 net</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w:t>
            </w:r>
          </w:p>
        </w:tc>
      </w:tr>
      <w:tr>
        <w:trPr>
          <w:trHeight w:val="172"/>
        </w:trPr>
        <w:tc>
          <w:tcPr>
            <w:tcW w:w="4860" w:type="dxa"/>
            <w:vAlign w:val="bottom"/>
          </w:tcPr>
          <w:p>
            <w:pPr>
              <w:ind w:left="140"/>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18.2</w:t>
            </w:r>
          </w:p>
        </w:tc>
      </w:tr>
      <w:tr>
        <w:trPr>
          <w:trHeight w:val="191"/>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72"/>
        </w:trPr>
        <w:tc>
          <w:tcPr>
            <w:tcW w:w="4860" w:type="dxa"/>
            <w:vAlign w:val="bottom"/>
          </w:tcPr>
          <w:p>
            <w:pPr>
              <w:ind w:left="140"/>
              <w:spacing w:after="0"/>
              <w:rPr>
                <w:sz w:val="20"/>
                <w:szCs w:val="20"/>
                <w:color w:val="auto"/>
              </w:rPr>
            </w:pPr>
            <w:r>
              <w:rPr>
                <w:rFonts w:ascii="Arial" w:cs="Arial" w:eastAsia="Arial" w:hAnsi="Arial"/>
                <w:sz w:val="12"/>
                <w:szCs w:val="12"/>
                <w:color w:val="auto"/>
              </w:rPr>
              <w:t>Amortization of acquired technology</w:t>
            </w: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91"/>
        </w:trPr>
        <w:tc>
          <w:tcPr>
            <w:tcW w:w="4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other acquired intangibles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72"/>
        </w:trPr>
        <w:tc>
          <w:tcPr>
            <w:tcW w:w="4860" w:type="dxa"/>
            <w:vAlign w:val="bottom"/>
          </w:tcPr>
          <w:p>
            <w:pPr>
              <w:spacing w:after="0"/>
              <w:rPr>
                <w:sz w:val="20"/>
                <w:szCs w:val="20"/>
                <w:color w:val="auto"/>
              </w:rPr>
            </w:pPr>
            <w:r>
              <w:rPr>
                <w:rFonts w:ascii="Arial" w:cs="Arial" w:eastAsia="Arial" w:hAnsi="Arial"/>
                <w:sz w:val="12"/>
                <w:szCs w:val="12"/>
                <w:color w:val="auto"/>
              </w:rPr>
              <w:t>EBITDA</w:t>
            </w: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13.6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27.5</w:t>
            </w:r>
          </w:p>
        </w:tc>
      </w:tr>
      <w:tr>
        <w:trPr>
          <w:trHeight w:val="191"/>
        </w:trPr>
        <w:tc>
          <w:tcPr>
            <w:tcW w:w="4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(income) expense, net</w:t>
            </w:r>
            <w:r>
              <w:rPr>
                <w:rFonts w:ascii="Arial" w:cs="Arial" w:eastAsia="Arial" w:hAnsi="Arial"/>
                <w:sz w:val="15"/>
                <w:szCs w:val="15"/>
                <w:color w:val="auto"/>
                <w:vertAlign w:val="superscript"/>
              </w:rPr>
              <w:t>(a)</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4860" w:type="dxa"/>
            <w:vAlign w:val="bottom"/>
          </w:tcPr>
          <w:p>
            <w:pPr>
              <w:ind w:left="160"/>
              <w:spacing w:after="0"/>
              <w:rPr>
                <w:sz w:val="20"/>
                <w:szCs w:val="20"/>
                <w:color w:val="auto"/>
              </w:rPr>
            </w:pPr>
            <w:r>
              <w:rPr>
                <w:rFonts w:ascii="Arial" w:cs="Arial" w:eastAsia="Arial" w:hAnsi="Arial"/>
                <w:sz w:val="12"/>
                <w:szCs w:val="12"/>
                <w:color w:val="auto"/>
              </w:rPr>
              <w:t>Impact of fair value adjustments to acquired unearned revenue</w:t>
            </w:r>
            <w:r>
              <w:rPr>
                <w:rFonts w:ascii="Arial" w:cs="Arial" w:eastAsia="Arial" w:hAnsi="Arial"/>
                <w:sz w:val="15"/>
                <w:szCs w:val="15"/>
                <w:color w:val="auto"/>
                <w:vertAlign w:val="superscript"/>
              </w:rPr>
              <w:t>(b)</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19.2</w:t>
            </w:r>
          </w:p>
        </w:tc>
      </w:tr>
      <w:tr>
        <w:trPr>
          <w:trHeight w:val="182"/>
        </w:trPr>
        <w:tc>
          <w:tcPr>
            <w:tcW w:w="4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Equity-based compensation expense</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75.8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r>
      <w:tr>
        <w:trPr>
          <w:trHeight w:val="182"/>
        </w:trPr>
        <w:tc>
          <w:tcPr>
            <w:tcW w:w="4860" w:type="dxa"/>
            <w:vAlign w:val="bottom"/>
          </w:tcPr>
          <w:p>
            <w:pPr>
              <w:ind w:left="160"/>
              <w:spacing w:after="0"/>
              <w:rPr>
                <w:sz w:val="20"/>
                <w:szCs w:val="20"/>
                <w:color w:val="auto"/>
              </w:rPr>
            </w:pPr>
            <w:r>
              <w:rPr>
                <w:rFonts w:ascii="Arial" w:cs="Arial" w:eastAsia="Arial" w:hAnsi="Arial"/>
                <w:sz w:val="12"/>
                <w:szCs w:val="12"/>
                <w:color w:val="auto"/>
              </w:rPr>
              <w:t>Restructuring and transaction related expenses</w:t>
            </w:r>
            <w:r>
              <w:rPr>
                <w:rFonts w:ascii="Arial" w:cs="Arial" w:eastAsia="Arial" w:hAnsi="Arial"/>
                <w:sz w:val="15"/>
                <w:szCs w:val="15"/>
                <w:color w:val="auto"/>
                <w:vertAlign w:val="superscript"/>
              </w:rPr>
              <w:t>(c)</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182"/>
        </w:trPr>
        <w:tc>
          <w:tcPr>
            <w:tcW w:w="4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Integration costs and acquisition-related expenses</w:t>
            </w:r>
            <w:r>
              <w:rPr>
                <w:rFonts w:ascii="Arial" w:cs="Arial" w:eastAsia="Arial" w:hAnsi="Arial"/>
                <w:sz w:val="15"/>
                <w:szCs w:val="15"/>
                <w:color w:val="auto"/>
                <w:vertAlign w:val="superscript"/>
              </w:rPr>
              <w:t>(d)</w:t>
            </w: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w:t>
            </w:r>
          </w:p>
        </w:tc>
      </w:tr>
      <w:tr>
        <w:trPr>
          <w:trHeight w:val="170"/>
        </w:trPr>
        <w:tc>
          <w:tcPr>
            <w:tcW w:w="4860" w:type="dxa"/>
            <w:vAlign w:val="bottom"/>
          </w:tcPr>
          <w:p>
            <w:pPr>
              <w:spacing w:after="0"/>
              <w:rPr>
                <w:sz w:val="20"/>
                <w:szCs w:val="20"/>
                <w:color w:val="auto"/>
              </w:rPr>
            </w:pPr>
            <w:r>
              <w:rPr>
                <w:rFonts w:ascii="Arial" w:cs="Arial" w:eastAsia="Arial" w:hAnsi="Arial"/>
                <w:sz w:val="12"/>
                <w:szCs w:val="12"/>
                <w:color w:val="auto"/>
              </w:rPr>
              <w:t>Adjusted EBITDA</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108.0</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75.3</w:t>
            </w: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7"/>
        <w:spacing w:after="0"/>
        <w:rPr>
          <w:sz w:val="20"/>
          <w:szCs w:val="20"/>
          <w:color w:val="auto"/>
        </w:rPr>
      </w:pPr>
      <w:r>
        <w:rPr>
          <w:rFonts w:ascii="Arial" w:cs="Arial" w:eastAsia="Arial" w:hAnsi="Arial"/>
          <w:sz w:val="10"/>
          <w:szCs w:val="10"/>
          <w:color w:val="auto"/>
        </w:rPr>
        <w:t>__________________</w:t>
      </w:r>
    </w:p>
    <w:p>
      <w:pPr>
        <w:ind w:left="207" w:hanging="207"/>
        <w:spacing w:after="0" w:line="231" w:lineRule="auto"/>
        <w:tabs>
          <w:tab w:leader="none" w:pos="207" w:val="left"/>
        </w:tabs>
        <w:numPr>
          <w:ilvl w:val="0"/>
          <w:numId w:val="24"/>
        </w:numPr>
        <w:rPr>
          <w:rFonts w:ascii="Arial" w:cs="Arial" w:eastAsia="Arial" w:hAnsi="Arial"/>
          <w:sz w:val="10"/>
          <w:szCs w:val="10"/>
          <w:color w:val="auto"/>
        </w:rPr>
      </w:pPr>
      <w:r>
        <w:rPr>
          <w:rFonts w:ascii="Arial" w:cs="Arial" w:eastAsia="Arial" w:hAnsi="Arial"/>
          <w:sz w:val="10"/>
          <w:szCs w:val="10"/>
          <w:color w:val="auto"/>
        </w:rPr>
        <w:t>Primarily represents foreign exchange remeasurement gains and losses.</w:t>
      </w:r>
    </w:p>
    <w:p>
      <w:pPr>
        <w:ind w:left="227" w:hanging="227"/>
        <w:spacing w:after="0" w:line="227" w:lineRule="auto"/>
        <w:tabs>
          <w:tab w:leader="none" w:pos="222"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227" w:hanging="227"/>
        <w:spacing w:after="0" w:line="342" w:lineRule="auto"/>
        <w:tabs>
          <w:tab w:leader="none" w:pos="226" w:val="left"/>
        </w:tabs>
        <w:numPr>
          <w:ilvl w:val="0"/>
          <w:numId w:val="24"/>
        </w:numPr>
        <w:rPr>
          <w:rFonts w:ascii="Arial" w:cs="Arial" w:eastAsia="Arial" w:hAnsi="Arial"/>
          <w:sz w:val="8"/>
          <w:szCs w:val="8"/>
          <w:color w:val="auto"/>
        </w:rPr>
      </w:pPr>
      <w:r>
        <w:rPr>
          <w:rFonts w:ascii="Arial" w:cs="Arial" w:eastAsia="Arial" w:hAnsi="Arial"/>
          <w:sz w:val="8"/>
          <w:szCs w:val="8"/>
          <w:color w:val="auto"/>
        </w:rPr>
        <w:t>Represents costs directly associated with acquisition or disposal activities, including employee severance and termination benefits, contract termination fees and penalties, and other exit or disposal costs. For the three and six months ended June 30, 2020, this expense related primarily to professional fees for the preparation for an initial public offering. For the three and six months ended June 30,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7" w:name="page58"/>
    <w:bookmarkEnd w:id="57"/>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27" w:hanging="227"/>
        <w:spacing w:after="0" w:line="302" w:lineRule="auto"/>
        <w:tabs>
          <w:tab w:leader="none" w:pos="222" w:val="left"/>
        </w:tabs>
        <w:numPr>
          <w:ilvl w:val="0"/>
          <w:numId w:val="25"/>
        </w:numPr>
        <w:rPr>
          <w:rFonts w:ascii="Arial" w:cs="Arial" w:eastAsia="Arial" w:hAnsi="Arial"/>
          <w:sz w:val="8"/>
          <w:szCs w:val="8"/>
          <w:color w:val="auto"/>
        </w:rPr>
      </w:pPr>
      <w:r>
        <w:rPr>
          <w:rFonts w:ascii="Arial" w:cs="Arial" w:eastAsia="Arial" w:hAnsi="Arial"/>
          <w:sz w:val="8"/>
          <w:szCs w:val="8"/>
          <w:color w:val="auto"/>
        </w:rPr>
        <w:t>Represents costs directly associated with integration activities for acquisitions and acquisition-related compensation, which includes transaction bonuses and retention awards. For the three months ended June 30, 2020, this expense related primarily to cash vesting payments from the acquisition of Pre-Acquisition ZI. For the three months ended June 30, 2019, this expense related primarily to activities resulting from the acquisition of Pre-Acquisition ZI, including cash vesting payments and transaction bonuses. For the six months ended June 30, 2020, this expense related primarily to cash vesting payments from the acquisition of Pre-Acquisition ZI. For the six months ended June 30, 2019, this expense related primarily to activities resulting from the acquisition of Pre-Acquisition ZI, including cash vesting payments and transaction bonuses, as well as expense incurred for retention awards granted upon the Company’s acquisitions of RainKing and NeverBounce. (see Note 4 to our unaudited consolidated financial statements included elsewhere in this document for additional discussion regarding cash vesting payments associated with the acquisition of Pre-Acquisition ZI). This expense is included in cost of service, sales and marketing expense, research and development expense, and general and administrative expense as follows:</w:t>
      </w:r>
    </w:p>
    <w:tbl>
      <w:tblPr>
        <w:tblLayout w:type="fixed"/>
        <w:tblInd w:w="227" w:type="dxa"/>
        <w:tblCellMar>
          <w:top w:w="0" w:type="dxa"/>
          <w:left w:w="0" w:type="dxa"/>
          <w:bottom w:w="0" w:type="dxa"/>
          <w:right w:w="0" w:type="dxa"/>
        </w:tblCellMar>
      </w:tblPr>
      <w:tr>
        <w:trPr>
          <w:trHeight w:val="133"/>
        </w:trPr>
        <w:tc>
          <w:tcPr>
            <w:tcW w:w="2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5"/>
          </w:tcPr>
          <w:p>
            <w:pPr>
              <w:ind w:left="20"/>
              <w:spacing w:after="0"/>
              <w:rPr>
                <w:sz w:val="20"/>
                <w:szCs w:val="20"/>
                <w:color w:val="auto"/>
              </w:rPr>
            </w:pPr>
            <w:r>
              <w:rPr>
                <w:rFonts w:ascii="Arial" w:cs="Arial" w:eastAsia="Arial" w:hAnsi="Arial"/>
                <w:sz w:val="10"/>
                <w:szCs w:val="10"/>
                <w:b w:val="1"/>
                <w:bCs w:val="1"/>
                <w:color w:val="auto"/>
                <w:w w:val="98"/>
              </w:rPr>
              <w:t>Three Months Ended June 30,</w:t>
            </w:r>
          </w:p>
        </w:tc>
        <w:tc>
          <w:tcPr>
            <w:tcW w:w="100" w:type="dxa"/>
            <w:vAlign w:val="bottom"/>
          </w:tcPr>
          <w:p>
            <w:pPr>
              <w:spacing w:after="0"/>
              <w:rPr>
                <w:sz w:val="11"/>
                <w:szCs w:val="11"/>
                <w:color w:val="auto"/>
              </w:rPr>
            </w:pPr>
          </w:p>
        </w:tc>
        <w:tc>
          <w:tcPr>
            <w:tcW w:w="1300" w:type="dxa"/>
            <w:vAlign w:val="bottom"/>
            <w:gridSpan w:val="4"/>
          </w:tcPr>
          <w:p>
            <w:pPr>
              <w:jc w:val="right"/>
              <w:ind w:right="92"/>
              <w:spacing w:after="0"/>
              <w:rPr>
                <w:sz w:val="20"/>
                <w:szCs w:val="20"/>
                <w:color w:val="auto"/>
              </w:rPr>
            </w:pPr>
            <w:r>
              <w:rPr>
                <w:rFonts w:ascii="Arial" w:cs="Arial" w:eastAsia="Arial" w:hAnsi="Arial"/>
                <w:sz w:val="10"/>
                <w:szCs w:val="10"/>
                <w:b w:val="1"/>
                <w:bCs w:val="1"/>
                <w:color w:val="auto"/>
                <w:w w:val="88"/>
              </w:rPr>
              <w:t>Six Months Ended June 30,</w:t>
            </w:r>
          </w:p>
        </w:tc>
      </w:tr>
      <w:tr>
        <w:trPr>
          <w:trHeight w:val="152"/>
        </w:trPr>
        <w:tc>
          <w:tcPr>
            <w:tcW w:w="25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 in millions)</w:t>
            </w: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2019</w:t>
            </w:r>
          </w:p>
        </w:tc>
      </w:tr>
      <w:tr>
        <w:trPr>
          <w:trHeight w:val="143"/>
        </w:trPr>
        <w:tc>
          <w:tcPr>
            <w:tcW w:w="256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0.1</w:t>
            </w:r>
          </w:p>
        </w:tc>
      </w:tr>
      <w:tr>
        <w:trPr>
          <w:trHeight w:val="137"/>
        </w:trPr>
        <w:tc>
          <w:tcPr>
            <w:tcW w:w="2560" w:type="dxa"/>
            <w:vAlign w:val="bottom"/>
          </w:tcPr>
          <w:p>
            <w:pPr>
              <w:spacing w:after="0"/>
              <w:rPr>
                <w:sz w:val="20"/>
                <w:szCs w:val="20"/>
                <w:color w:val="auto"/>
              </w:rPr>
            </w:pPr>
            <w:r>
              <w:rPr>
                <w:rFonts w:ascii="Arial" w:cs="Arial" w:eastAsia="Arial" w:hAnsi="Arial"/>
                <w:sz w:val="10"/>
                <w:szCs w:val="10"/>
                <w:color w:val="auto"/>
              </w:rPr>
              <w:t>Sales and marketing</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3.0</w:t>
            </w:r>
          </w:p>
        </w:tc>
      </w:tr>
      <w:tr>
        <w:trPr>
          <w:trHeight w:val="154"/>
        </w:trPr>
        <w:tc>
          <w:tcPr>
            <w:tcW w:w="256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w:t>
            </w:r>
          </w:p>
        </w:tc>
      </w:tr>
      <w:tr>
        <w:trPr>
          <w:trHeight w:val="137"/>
        </w:trPr>
        <w:tc>
          <w:tcPr>
            <w:tcW w:w="25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General and administrative</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3.4</w:t>
            </w:r>
          </w:p>
        </w:tc>
      </w:tr>
      <w:tr>
        <w:trPr>
          <w:trHeight w:val="143"/>
        </w:trPr>
        <w:tc>
          <w:tcPr>
            <w:tcW w:w="2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9"/>
                <w:szCs w:val="9"/>
                <w:color w:val="auto"/>
              </w:rPr>
              <w:t xml:space="preserve">Total integration costs and acquisition-related compensation </w:t>
            </w:r>
            <w:r>
              <w:rPr>
                <w:rFonts w:ascii="Arial" w:cs="Arial" w:eastAsia="Arial" w:hAnsi="Arial"/>
                <w:sz w:val="16"/>
                <w:szCs w:val="16"/>
                <w:color w:val="auto"/>
                <w:vertAlign w:val="superscript"/>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8.0</w:t>
            </w:r>
          </w:p>
        </w:tc>
      </w:tr>
      <w:tr>
        <w:trPr>
          <w:trHeight w:val="36"/>
        </w:trPr>
        <w:tc>
          <w:tcPr>
            <w:tcW w:w="2560" w:type="dxa"/>
            <w:vAlign w:val="bottom"/>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r>
    </w:tbl>
    <w:p>
      <w:pPr>
        <w:spacing w:after="0" w:line="173"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Adjusted EBITDA for the three months ended June 30, 2020 was $57.1 million, an increase of $14.5 million, or 34%, relative to the three months ended June 30, 2019. This increase was driven primarily from the growth in revenue and additional customers in 2020 and 2019.</w:t>
      </w:r>
    </w:p>
    <w:p>
      <w:pPr>
        <w:spacing w:after="0" w:line="77"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Adjusted EBITDA for the six months ended June 30, 2020 was $108.0 million, an increase of $32.7 million, or 43%, relative to the six months ended June 30, 2019. This increase was driven primarily from the growth in revenue that resulted from the acquisition of Pre-Acquisition ZI and additional customers in 2020 and 2019.</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Factors Affecting the Comparability of Our Results of Operations</w:t>
      </w:r>
    </w:p>
    <w:p>
      <w:pPr>
        <w:spacing w:after="0" w:line="120"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77"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Impact of the Reorganization Transactions</w:t>
      </w:r>
    </w:p>
    <w:p>
      <w:pPr>
        <w:spacing w:after="0" w:line="116" w:lineRule="exact"/>
        <w:rPr>
          <w:sz w:val="20"/>
          <w:szCs w:val="20"/>
          <w:color w:val="auto"/>
        </w:rPr>
      </w:pPr>
    </w:p>
    <w:p>
      <w:pPr>
        <w:jc w:val="both"/>
        <w:ind w:left="7" w:firstLine="218"/>
        <w:spacing w:after="0" w:line="292" w:lineRule="auto"/>
        <w:rPr>
          <w:sz w:val="20"/>
          <w:szCs w:val="20"/>
          <w:color w:val="auto"/>
        </w:rPr>
      </w:pPr>
      <w:r>
        <w:rPr>
          <w:rFonts w:ascii="Arial" w:cs="Arial" w:eastAsia="Arial" w:hAnsi="Arial"/>
          <w:sz w:val="11"/>
          <w:szCs w:val="11"/>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10-Q/A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74" w:lineRule="exact"/>
        <w:rPr>
          <w:sz w:val="20"/>
          <w:szCs w:val="20"/>
          <w:color w:val="auto"/>
        </w:rPr>
      </w:pPr>
    </w:p>
    <w:p>
      <w:pPr>
        <w:jc w:val="both"/>
        <w:ind w:left="7" w:right="20" w:firstLine="218"/>
        <w:spacing w:after="0" w:line="280" w:lineRule="auto"/>
        <w:rPr>
          <w:sz w:val="20"/>
          <w:szCs w:val="20"/>
          <w:color w:val="auto"/>
        </w:rPr>
      </w:pPr>
      <w:r>
        <w:rPr>
          <w:rFonts w:ascii="Arial" w:cs="Arial" w:eastAsia="Arial" w:hAnsi="Arial"/>
          <w:sz w:val="12"/>
          <w:szCs w:val="12"/>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77"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In addition, in connection with the Reorganization Transactions and the IPO, we entered into the tax receivable agreements described in Note 16 to our unaudited consolidated financial statements included in Part I, Item 1 of this Form 10-Q/A.</w:t>
      </w:r>
    </w:p>
    <w:p>
      <w:pPr>
        <w:spacing w:after="0" w:line="77"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116"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8" w:name="page59"/>
    <w:bookmarkEnd w:id="58"/>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
        <w:spacing w:after="0"/>
        <w:rPr>
          <w:sz w:val="20"/>
          <w:szCs w:val="20"/>
          <w:color w:val="auto"/>
        </w:rPr>
      </w:pPr>
      <w:r>
        <w:rPr>
          <w:rFonts w:ascii="Arial" w:cs="Arial" w:eastAsia="Arial" w:hAnsi="Arial"/>
          <w:sz w:val="11"/>
          <w:szCs w:val="11"/>
          <w:color w:val="auto"/>
        </w:rPr>
        <w:t>underwriters’ discounts (but excluding other offering expenses and reimbursements in accounts receivable as of June 30, 2020). To date, ZoomInfo OpCo has used the proceeds it received through ZoomInfo HoldCo from the IPO to</w:t>
      </w:r>
    </w:p>
    <w:p>
      <w:pPr>
        <w:spacing w:after="0" w:line="27" w:lineRule="exact"/>
        <w:rPr>
          <w:sz w:val="20"/>
          <w:szCs w:val="20"/>
          <w:color w:val="auto"/>
        </w:rPr>
      </w:pPr>
    </w:p>
    <w:p>
      <w:pPr>
        <w:jc w:val="both"/>
        <w:ind w:left="7" w:hanging="7"/>
        <w:spacing w:after="0" w:line="255" w:lineRule="auto"/>
        <w:tabs>
          <w:tab w:leader="none" w:pos="155"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 We expect these debt repayments to drive future reductions in our interest expense compared to historical results.</w:t>
      </w:r>
    </w:p>
    <w:p>
      <w:pPr>
        <w:spacing w:after="0" w:line="9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Impact of Acquisitions</w:t>
      </w:r>
    </w:p>
    <w:p>
      <w:pPr>
        <w:spacing w:after="0" w:line="116" w:lineRule="exact"/>
        <w:rPr>
          <w:sz w:val="20"/>
          <w:szCs w:val="20"/>
          <w:color w:val="auto"/>
        </w:rPr>
      </w:pPr>
    </w:p>
    <w:p>
      <w:pPr>
        <w:jc w:val="both"/>
        <w:ind w:left="7" w:firstLine="218"/>
        <w:spacing w:after="0" w:line="292" w:lineRule="auto"/>
        <w:rPr>
          <w:sz w:val="20"/>
          <w:szCs w:val="20"/>
          <w:color w:val="auto"/>
        </w:rPr>
      </w:pPr>
      <w:r>
        <w:rPr>
          <w:rFonts w:ascii="Arial" w:cs="Arial" w:eastAsia="Arial" w:hAnsi="Arial"/>
          <w:sz w:val="11"/>
          <w:szCs w:val="11"/>
          <w:color w:val="auto"/>
        </w:rPr>
        <w:t>We seek to grow through both internal development and the acquisition of businesses that broaden and strengthen our platform. Our recent acquisitions include Pre-Acquisition ZI in February 2019, and Komiko in October 2019.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7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Impact of the Zoom Information Acquisition</w:t>
      </w:r>
    </w:p>
    <w:p>
      <w:pPr>
        <w:spacing w:after="0" w:line="116"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77" w:lineRule="exact"/>
        <w:rPr>
          <w:sz w:val="20"/>
          <w:szCs w:val="20"/>
          <w:color w:val="auto"/>
        </w:rPr>
      </w:pPr>
    </w:p>
    <w:p>
      <w:pPr>
        <w:jc w:val="both"/>
        <w:ind w:left="7" w:right="20" w:firstLine="218"/>
        <w:spacing w:after="0" w:line="327" w:lineRule="auto"/>
        <w:rPr>
          <w:sz w:val="20"/>
          <w:szCs w:val="20"/>
          <w:color w:val="auto"/>
        </w:rPr>
      </w:pPr>
      <w:r>
        <w:rPr>
          <w:rFonts w:ascii="Arial" w:cs="Arial" w:eastAsia="Arial" w:hAnsi="Arial"/>
          <w:sz w:val="11"/>
          <w:szCs w:val="11"/>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55" w:lineRule="exact"/>
        <w:rPr>
          <w:sz w:val="20"/>
          <w:szCs w:val="20"/>
          <w:color w:val="auto"/>
        </w:rPr>
      </w:pPr>
    </w:p>
    <w:p>
      <w:pPr>
        <w:jc w:val="both"/>
        <w:ind w:left="7" w:firstLine="218"/>
        <w:spacing w:after="0" w:line="288" w:lineRule="auto"/>
        <w:rPr>
          <w:sz w:val="20"/>
          <w:szCs w:val="20"/>
          <w:color w:val="auto"/>
        </w:rPr>
      </w:pPr>
      <w:r>
        <w:rPr>
          <w:rFonts w:ascii="Arial" w:cs="Arial" w:eastAsia="Arial" w:hAnsi="Arial"/>
          <w:sz w:val="11"/>
          <w:szCs w:val="11"/>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three and six months ended June 30, 2020 to be greater than that of the three and six months ended June 30, 2019 due to the debt being outstanding for the entire period in 2020. However, this increase was mitigated and offset by a) a reduction in interest rates period over period, and b) the debt repayments and prepayments referenced above and in Note 7 to our unaudited consolidated financial statements included in Part I, Item 1 of this Form 10-Q/A.</w:t>
      </w:r>
    </w:p>
    <w:p>
      <w:pPr>
        <w:spacing w:after="0" w:line="76" w:lineRule="exact"/>
        <w:rPr>
          <w:sz w:val="20"/>
          <w:szCs w:val="20"/>
          <w:color w:val="auto"/>
        </w:rPr>
      </w:pPr>
    </w:p>
    <w:p>
      <w:pPr>
        <w:jc w:val="both"/>
        <w:ind w:left="7" w:firstLine="218"/>
        <w:spacing w:after="0" w:line="266" w:lineRule="auto"/>
        <w:rPr>
          <w:sz w:val="20"/>
          <w:szCs w:val="20"/>
          <w:color w:val="auto"/>
        </w:rPr>
      </w:pPr>
      <w:r>
        <w:rPr>
          <w:rFonts w:ascii="Arial" w:cs="Arial" w:eastAsia="Arial" w:hAnsi="Arial"/>
          <w:sz w:val="12"/>
          <w:szCs w:val="12"/>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w:t>
      </w:r>
    </w:p>
    <w:p>
      <w:pPr>
        <w:spacing w:after="0" w:line="86" w:lineRule="exact"/>
        <w:rPr>
          <w:sz w:val="20"/>
          <w:szCs w:val="20"/>
          <w:color w:val="auto"/>
        </w:rPr>
      </w:pPr>
    </w:p>
    <w:p>
      <w:pPr>
        <w:jc w:val="both"/>
        <w:ind w:left="7" w:firstLine="218"/>
        <w:spacing w:after="0" w:line="327" w:lineRule="auto"/>
        <w:rPr>
          <w:sz w:val="20"/>
          <w:szCs w:val="20"/>
          <w:color w:val="auto"/>
        </w:rPr>
      </w:pPr>
      <w:r>
        <w:rPr>
          <w:rFonts w:ascii="Arial" w:cs="Arial" w:eastAsia="Arial" w:hAnsi="Arial"/>
          <w:sz w:val="11"/>
          <w:szCs w:val="11"/>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59" w:name="page60"/>
    <w:bookmarkEnd w:id="5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in the three months ended June 30, 2019 nor in 2020. Expenses relating to any accelerated payments under the Cash Vesting Payment Program (see Note 4 to our unaudited consolidated financial statements included in Part I, Item 1 of this Form 10-Q/A) were recorded as operating expense according to the functional area aligning to the employee’s salary and is included in integration and transaction-related compensation expenses when calculating non-GAAP metrics.</w:t>
      </w:r>
    </w:p>
    <w:p>
      <w:pPr>
        <w:spacing w:after="0" w:line="9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90"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Equity-Based Compensation</w:t>
      </w:r>
    </w:p>
    <w:p>
      <w:pPr>
        <w:spacing w:after="0" w:line="11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 See Note 15 for unamortized equity-based compensation costs related to each type of equity-based incentive award.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0" w:name="page61"/>
    <w:bookmarkEnd w:id="6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either annually or quarterly, and we typically require payment at the beginning of each annual or quarterly period.</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 xml:space="preserve">Cost of Service, excluding amortization of acquired technology. </w:t>
      </w:r>
      <w:r>
        <w:rPr>
          <w:rFonts w:ascii="Arial" w:cs="Arial" w:eastAsia="Arial" w:hAnsi="Arial"/>
          <w:sz w:val="12"/>
          <w:szCs w:val="12"/>
          <w:color w:val="auto"/>
        </w:rPr>
        <w:t>Cost of service, excluding amortization of acquired technology includes direct expenses related to the support and operations of our SaaS services and related to our</w:t>
      </w:r>
      <w:r>
        <w:rPr>
          <w:rFonts w:ascii="Arial" w:cs="Arial" w:eastAsia="Arial" w:hAnsi="Arial"/>
          <w:sz w:val="12"/>
          <w:szCs w:val="12"/>
          <w:i w:val="1"/>
          <w:iCs w:val="1"/>
          <w:color w:val="auto"/>
        </w:rPr>
        <w:t xml:space="preserve"> </w:t>
      </w:r>
      <w:r>
        <w:rPr>
          <w:rFonts w:ascii="Arial" w:cs="Arial" w:eastAsia="Arial" w:hAnsi="Arial"/>
          <w:sz w:val="12"/>
          <w:szCs w:val="12"/>
          <w:color w:val="auto"/>
        </w:rPr>
        <w:t>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anticipate that we will continue to invest in costs of service and that costs of service as a percentage of revenue will stay consistent or modestly decrease as we realize operating leverage in the business.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Amortization of acquired technology. </w:t>
      </w:r>
      <w:r>
        <w:rPr>
          <w:rFonts w:ascii="Arial" w:cs="Arial" w:eastAsia="Arial" w:hAnsi="Arial"/>
          <w:sz w:val="12"/>
          <w:szCs w:val="12"/>
          <w:color w:val="auto"/>
        </w:rPr>
        <w:t>Amortization of acquired technology includes amortization expense for technology acquired in business combinations.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anticipate that amortization of acquired technology will only increase if we make additional acquisitions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Profit and Gross Margin</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1" w:name="page62"/>
    <w:bookmarkEnd w:id="6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Sales and marketing</w:t>
      </w:r>
      <w:r>
        <w:rPr>
          <w:rFonts w:ascii="Arial" w:cs="Arial" w:eastAsia="Arial" w:hAnsi="Arial"/>
          <w:sz w:val="12"/>
          <w:szCs w:val="12"/>
          <w:color w:val="auto"/>
        </w:rPr>
        <w:t>. Sales and marketing expenses primarily consist of employee compensation such as salaries, bonuses, sales commissions, stock-based compensation, and other employee-related benefits for our sales and</w:t>
      </w:r>
      <w:r>
        <w:rPr>
          <w:rFonts w:ascii="Arial" w:cs="Arial" w:eastAsia="Arial" w:hAnsi="Arial"/>
          <w:sz w:val="12"/>
          <w:szCs w:val="12"/>
          <w:i w:val="1"/>
          <w:iCs w:val="1"/>
          <w:color w:val="auto"/>
        </w:rPr>
        <w:t xml:space="preserve"> </w:t>
      </w:r>
      <w:r>
        <w:rPr>
          <w:rFonts w:ascii="Arial" w:cs="Arial" w:eastAsia="Arial" w:hAnsi="Arial"/>
          <w:sz w:val="12"/>
          <w:szCs w:val="12"/>
          <w:color w:val="auto"/>
        </w:rPr>
        <w:t>marketing teams, as well as overhead costs, technology, and marketing programs. Sales commissions and related payroll taxes directly related to contract acquisition are capitalized and recognized as expenses over the estimated period of benefit.</w:t>
      </w:r>
    </w:p>
    <w:p>
      <w:pPr>
        <w:spacing w:after="0" w:line="8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77" w:lineRule="exact"/>
        <w:rPr>
          <w:sz w:val="20"/>
          <w:szCs w:val="20"/>
          <w:color w:val="auto"/>
        </w:rPr>
      </w:pPr>
    </w:p>
    <w:p>
      <w:pPr>
        <w:jc w:val="both"/>
        <w:ind w:right="20" w:firstLine="218"/>
        <w:spacing w:after="0" w:line="261"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expenses support our efforts to enhance our existing platform and develop new software products. Research and development expenses primarily consist of 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90"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77"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expenses primarily consist of employee-related costs such as salaries, bonuses, stock-based compensation, and other employee related benefits for our executive, finance,</w:t>
      </w:r>
      <w:r>
        <w:rPr>
          <w:rFonts w:ascii="Arial" w:cs="Arial" w:eastAsia="Arial" w:hAnsi="Arial"/>
          <w:sz w:val="12"/>
          <w:szCs w:val="12"/>
          <w:i w:val="1"/>
          <w:iCs w:val="1"/>
          <w:color w:val="auto"/>
        </w:rPr>
        <w:t xml:space="preserve"> </w:t>
      </w:r>
      <w:r>
        <w:rPr>
          <w:rFonts w:ascii="Arial" w:cs="Arial" w:eastAsia="Arial" w:hAnsi="Arial"/>
          <w:sz w:val="12"/>
          <w:szCs w:val="12"/>
          <w:color w:val="auto"/>
        </w:rPr>
        <w:t>legal, human resources, IT, and business operations and administrative teams, as well as overhead costs. Additionally, we incur expenses for professional fees including legal services, accounting, and other consulting services, including those associated with preparing for our initial public offering.</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anticipate that general and administrative costs will significantly increase due to incremental costs associated with operating a public company, including corporate insurance costs, additional accounting and legal expenses, additional independent board member costs, and additional resources associated with controls, reporting, and disclosure. We expect general and administrative expenses as a percentage of revenue to increase in 2020 and then stay consistent or modestly decrease thereafter, as we realize operating leverage in the business.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Amortization of other acquired intangibles</w:t>
      </w:r>
      <w:r>
        <w:rPr>
          <w:rFonts w:ascii="Arial" w:cs="Arial" w:eastAsia="Arial" w:hAnsi="Arial"/>
          <w:sz w:val="12"/>
          <w:szCs w:val="12"/>
          <w:color w:val="auto"/>
        </w:rPr>
        <w:t>. Amortization of acquired intangibles primarily consists of amortization of customer relationships, tradenames, and brand portfolios.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anticipate that amortization of other acquired intangibles will only increase if we make additional acquisitions in the future.</w:t>
      </w:r>
    </w:p>
    <w:p>
      <w:pPr>
        <w:spacing w:after="0" w:line="116" w:lineRule="exact"/>
        <w:rPr>
          <w:sz w:val="20"/>
          <w:szCs w:val="20"/>
          <w:color w:val="auto"/>
        </w:rPr>
      </w:pPr>
    </w:p>
    <w:p>
      <w:pPr>
        <w:jc w:val="both"/>
        <w:ind w:right="20" w:firstLine="218"/>
        <w:spacing w:after="0" w:line="327" w:lineRule="auto"/>
        <w:rPr>
          <w:sz w:val="20"/>
          <w:szCs w:val="20"/>
          <w:color w:val="auto"/>
        </w:rPr>
      </w:pPr>
      <w:r>
        <w:rPr>
          <w:rFonts w:ascii="Arial" w:cs="Arial" w:eastAsia="Arial" w:hAnsi="Arial"/>
          <w:sz w:val="11"/>
          <w:szCs w:val="11"/>
          <w:i w:val="1"/>
          <w:iCs w:val="1"/>
          <w:color w:val="auto"/>
        </w:rPr>
        <w:t xml:space="preserve">Restructuring and transaction expenses. </w:t>
      </w:r>
      <w:r>
        <w:rPr>
          <w:rFonts w:ascii="Arial" w:cs="Arial" w:eastAsia="Arial" w:hAnsi="Arial"/>
          <w:sz w:val="11"/>
          <w:szCs w:val="11"/>
          <w:color w:val="auto"/>
        </w:rPr>
        <w:t>Restructuring and transaction expenses primarily consist of various restructuring and acquisition activities we have undertaken to achieve strategic or financial objectives. Restructuring</w:t>
      </w:r>
      <w:r>
        <w:rPr>
          <w:rFonts w:ascii="Arial" w:cs="Arial" w:eastAsia="Arial" w:hAnsi="Arial"/>
          <w:sz w:val="11"/>
          <w:szCs w:val="11"/>
          <w:i w:val="1"/>
          <w:iCs w:val="1"/>
          <w:color w:val="auto"/>
        </w:rPr>
        <w:t xml:space="preserve"> </w:t>
      </w:r>
      <w:r>
        <w:rPr>
          <w:rFonts w:ascii="Arial" w:cs="Arial" w:eastAsia="Arial" w:hAnsi="Arial"/>
          <w:sz w:val="11"/>
          <w:szCs w:val="11"/>
          <w:color w:val="auto"/>
        </w:rPr>
        <w:t>and acquisition activities include, but are not limited to, consolidation of offices and responsibilities, office relocation, administrative cost structure realignment, and acquisition-related professional services fees.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anticipate that restructuring and transaction expenses will be correlated with future acquisition activity or strategic restructuring activities, which could be greater than or less than our historic levels.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Interest expense represents the interest payable on our debt obligations and the amortization of debt discounts and debt issuance costs, less interest income.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2" w:name="page63"/>
    <w:bookmarkEnd w:id="6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anticipate that our interest expense will be substantially lower as a result of the repayment of a portion of our outstanding indebtedness with the proceeds from IPO. See “Use of Proceeds.” Interest expense could increase in the future based on changes in variable interest rates or the issuance of additional debt.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on Debt Extinguishment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Loss on debt extinguishment consists of prepayment penalties and impairment of deferred financing costs associated with the extinguishment of debt.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anticipate that losses related to debt extinguishment will only occur if we extinguish indebtedness before the contractual repayment dates.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Other (income) expense, net consists primarily of foreign currency realized and unrealized gains and losses related to the impact of transactions denominated in a foreign currency.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anticipate that the magnitude of other income and expenses may increase as we expand operations internationally and add complexity to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 (expense) from Income Taxes</w:t>
      </w:r>
    </w:p>
    <w:p>
      <w:pPr>
        <w:spacing w:after="0" w:line="116"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ZoomInfo OpCo is currently treated as a pass-through entity for U.S. federal income tax purposes and most applicable state and local income tax purposes. Benefit (expense) from income tax,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to our unaudited consolidated financial statements included in Part I, Item 1 of this Form 10-Q/A for additional information.</w:t>
      </w:r>
    </w:p>
    <w:p>
      <w:pPr>
        <w:spacing w:after="0" w:line="78" w:lineRule="exact"/>
        <w:rPr>
          <w:sz w:val="20"/>
          <w:szCs w:val="20"/>
          <w:color w:val="auto"/>
        </w:rPr>
      </w:pPr>
    </w:p>
    <w:p>
      <w:pPr>
        <w:jc w:val="both"/>
        <w:ind w:firstLine="218"/>
        <w:spacing w:after="0" w:line="282" w:lineRule="auto"/>
        <w:rPr>
          <w:sz w:val="20"/>
          <w:szCs w:val="20"/>
          <w:color w:val="auto"/>
        </w:rPr>
      </w:pPr>
      <w:r>
        <w:rPr>
          <w:rFonts w:ascii="Arial" w:cs="Arial" w:eastAsia="Arial" w:hAnsi="Arial"/>
          <w:sz w:val="11"/>
          <w:szCs w:val="11"/>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Note 16 to our unaudited consolidated financial statements included in Part I, Item 1 of this Form 10-Q/A.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 —Risks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3" w:name="page64"/>
    <w:bookmarkEnd w:id="6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ZoomInfo OpCo through ZoomInfo HoldCo to pay taxes, make payments under the tax receivable agreements, and pay dividends.” in Part II, Item 1A of this Form 10-Q/A.</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presents our results of operations for the three and six months ended June 30, 2020 and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Borders>
              <w:bottom w:val="single" w:sz="8" w:color="auto"/>
            </w:tcBorders>
          </w:tcPr>
          <w:p>
            <w:pPr>
              <w:spacing w:after="0"/>
              <w:rPr>
                <w:sz w:val="11"/>
                <w:szCs w:val="11"/>
                <w:color w:val="auto"/>
              </w:rPr>
            </w:pPr>
          </w:p>
        </w:tc>
      </w:tr>
      <w:tr>
        <w:trPr>
          <w:trHeight w:val="134"/>
        </w:trPr>
        <w:tc>
          <w:tcPr>
            <w:tcW w:w="484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2019</w:t>
            </w:r>
          </w:p>
        </w:tc>
      </w:tr>
      <w:tr>
        <w:trPr>
          <w:trHeight w:val="134"/>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200"/>
              <w:spacing w:after="0"/>
              <w:rPr>
                <w:sz w:val="20"/>
                <w:szCs w:val="20"/>
                <w:color w:val="auto"/>
              </w:rPr>
            </w:pPr>
            <w:r>
              <w:rPr>
                <w:rFonts w:ascii="Arial" w:cs="Arial" w:eastAsia="Arial" w:hAnsi="Arial"/>
                <w:sz w:val="10"/>
                <w:szCs w:val="10"/>
                <w:b w:val="1"/>
                <w:bCs w:val="1"/>
                <w:color w:val="auto"/>
              </w:rPr>
              <w:t>(As Restated)</w:t>
            </w: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220"/>
              <w:spacing w:after="0"/>
              <w:rPr>
                <w:sz w:val="20"/>
                <w:szCs w:val="20"/>
                <w:color w:val="auto"/>
              </w:rPr>
            </w:pPr>
            <w:r>
              <w:rPr>
                <w:rFonts w:ascii="Arial" w:cs="Arial" w:eastAsia="Arial" w:hAnsi="Arial"/>
                <w:sz w:val="10"/>
                <w:szCs w:val="10"/>
                <w:b w:val="1"/>
                <w:bCs w:val="1"/>
                <w:color w:val="auto"/>
              </w:rPr>
              <w:t>(As Restated)</w:t>
            </w: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0"/>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w:t>
            </w:r>
          </w:p>
        </w:tc>
      </w:tr>
      <w:tr>
        <w:trPr>
          <w:trHeight w:val="145"/>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2"/>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service:</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2"/>
        </w:trPr>
        <w:tc>
          <w:tcPr>
            <w:tcW w:w="4840" w:type="dxa"/>
            <w:vAlign w:val="bottom"/>
            <w:gridSpan w:val="2"/>
          </w:tcPr>
          <w:p>
            <w:pPr>
              <w:ind w:left="80"/>
              <w:spacing w:after="0"/>
              <w:rPr>
                <w:sz w:val="20"/>
                <w:szCs w:val="20"/>
                <w:color w:val="auto"/>
              </w:rPr>
            </w:pPr>
            <w:r>
              <w:rPr>
                <w:rFonts w:ascii="Arial" w:cs="Arial" w:eastAsia="Arial" w:hAnsi="Arial"/>
                <w:sz w:val="12"/>
                <w:szCs w:val="12"/>
                <w:color w:val="auto"/>
              </w:rPr>
              <w:t>Cost of service</w:t>
            </w:r>
            <w:r>
              <w:rPr>
                <w:rFonts w:ascii="Arial" w:cs="Arial" w:eastAsia="Arial" w:hAnsi="Arial"/>
                <w:sz w:val="15"/>
                <w:szCs w:val="15"/>
                <w:color w:val="auto"/>
                <w:vertAlign w:val="superscript"/>
              </w:rPr>
              <w:t>(1)</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28.2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43.0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19.3</w:t>
            </w:r>
          </w:p>
        </w:tc>
      </w:tr>
      <w:tr>
        <w:trPr>
          <w:trHeight w:val="172"/>
        </w:trPr>
        <w:tc>
          <w:tcPr>
            <w:tcW w:w="48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Amortization of acquired technology</w:t>
            </w: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w:t>
            </w:r>
          </w:p>
        </w:tc>
      </w:tr>
      <w:tr>
        <w:trPr>
          <w:trHeight w:val="171"/>
        </w:trPr>
        <w:tc>
          <w:tcPr>
            <w:tcW w:w="484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77.1</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158.9</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w:t>
            </w:r>
          </w:p>
        </w:tc>
      </w:tr>
      <w:tr>
        <w:trPr>
          <w:trHeight w:val="26"/>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2"/>
        </w:trPr>
        <w:tc>
          <w:tcPr>
            <w:tcW w:w="4840" w:type="dxa"/>
            <w:vAlign w:val="bottom"/>
            <w:gridSpan w:val="2"/>
            <w:shd w:val="clear" w:color="auto" w:fill="BFE4FF"/>
          </w:tcPr>
          <w:p>
            <w:pPr>
              <w:spacing w:after="0"/>
              <w:rPr>
                <w:sz w:val="20"/>
                <w:szCs w:val="20"/>
                <w:color w:val="auto"/>
              </w:rPr>
            </w:pPr>
            <w:r>
              <w:rPr>
                <w:rFonts w:ascii="Arial" w:cs="Arial" w:eastAsia="Arial" w:hAnsi="Arial"/>
                <w:sz w:val="12"/>
                <w:szCs w:val="12"/>
                <w:color w:val="auto"/>
              </w:rPr>
              <w:t>Operating expenses:</w:t>
            </w:r>
          </w:p>
        </w:tc>
        <w:tc>
          <w:tcPr>
            <w:tcW w:w="280" w:type="dxa"/>
            <w:vAlign w:val="bottom"/>
            <w:shd w:val="clear" w:color="auto" w:fill="BFE4FF"/>
          </w:tcPr>
          <w:p>
            <w:pPr>
              <w:spacing w:after="0"/>
              <w:rPr>
                <w:sz w:val="15"/>
                <w:szCs w:val="15"/>
                <w:color w:val="auto"/>
              </w:rPr>
            </w:pPr>
          </w:p>
        </w:tc>
        <w:tc>
          <w:tcPr>
            <w:tcW w:w="124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600" w:type="dxa"/>
            <w:vAlign w:val="bottom"/>
            <w:shd w:val="clear" w:color="auto" w:fill="BFE4FF"/>
          </w:tcPr>
          <w:p>
            <w:pPr>
              <w:spacing w:after="0"/>
              <w:rPr>
                <w:sz w:val="15"/>
                <w:szCs w:val="15"/>
                <w:color w:val="auto"/>
              </w:rPr>
            </w:pPr>
          </w:p>
        </w:tc>
        <w:tc>
          <w:tcPr>
            <w:tcW w:w="94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126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580" w:type="dxa"/>
            <w:vAlign w:val="bottom"/>
            <w:shd w:val="clear" w:color="auto" w:fill="BFE4FF"/>
          </w:tcPr>
          <w:p>
            <w:pPr>
              <w:spacing w:after="0"/>
              <w:rPr>
                <w:sz w:val="15"/>
                <w:szCs w:val="15"/>
                <w:color w:val="auto"/>
              </w:rPr>
            </w:pPr>
          </w:p>
        </w:tc>
        <w:tc>
          <w:tcPr>
            <w:tcW w:w="960" w:type="dxa"/>
            <w:vAlign w:val="bottom"/>
            <w:shd w:val="clear" w:color="auto" w:fill="BFE4FF"/>
          </w:tcPr>
          <w:p>
            <w:pPr>
              <w:spacing w:after="0"/>
              <w:rPr>
                <w:sz w:val="15"/>
                <w:szCs w:val="15"/>
                <w:color w:val="auto"/>
              </w:rPr>
            </w:pPr>
          </w:p>
        </w:tc>
      </w:tr>
      <w:tr>
        <w:trPr>
          <w:trHeight w:val="182"/>
        </w:trPr>
        <w:tc>
          <w:tcPr>
            <w:tcW w:w="4840" w:type="dxa"/>
            <w:vAlign w:val="bottom"/>
            <w:gridSpan w:val="2"/>
          </w:tcPr>
          <w:p>
            <w:pPr>
              <w:ind w:left="80"/>
              <w:spacing w:after="0"/>
              <w:rPr>
                <w:sz w:val="20"/>
                <w:szCs w:val="20"/>
                <w:color w:val="auto"/>
              </w:rPr>
            </w:pPr>
            <w:r>
              <w:rPr>
                <w:rFonts w:ascii="Arial" w:cs="Arial" w:eastAsia="Arial" w:hAnsi="Arial"/>
                <w:sz w:val="12"/>
                <w:szCs w:val="12"/>
                <w:color w:val="auto"/>
              </w:rPr>
              <w:t>Sales and marketing</w:t>
            </w:r>
            <w:r>
              <w:rPr>
                <w:rFonts w:ascii="Arial" w:cs="Arial" w:eastAsia="Arial" w:hAnsi="Arial"/>
                <w:sz w:val="15"/>
                <w:szCs w:val="15"/>
                <w:color w:val="auto"/>
                <w:vertAlign w:val="superscript"/>
              </w:rPr>
              <w:t>(1)</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59.5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93.6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38.8</w:t>
            </w:r>
          </w:p>
        </w:tc>
      </w:tr>
      <w:tr>
        <w:trPr>
          <w:trHeight w:val="182"/>
        </w:trPr>
        <w:tc>
          <w:tcPr>
            <w:tcW w:w="4840" w:type="dxa"/>
            <w:vAlign w:val="bottom"/>
            <w:gridSpan w:val="2"/>
            <w:shd w:val="clear" w:color="auto" w:fill="BFE4FF"/>
          </w:tcPr>
          <w:p>
            <w:pPr>
              <w:ind w:left="80"/>
              <w:spacing w:after="0"/>
              <w:rPr>
                <w:sz w:val="20"/>
                <w:szCs w:val="20"/>
                <w:color w:val="auto"/>
              </w:rPr>
            </w:pPr>
            <w:r>
              <w:rPr>
                <w:rFonts w:ascii="Arial" w:cs="Arial" w:eastAsia="Arial" w:hAnsi="Arial"/>
                <w:sz w:val="12"/>
                <w:szCs w:val="12"/>
                <w:color w:val="auto"/>
              </w:rPr>
              <w:t>Research and development</w:t>
            </w:r>
            <w:r>
              <w:rPr>
                <w:rFonts w:ascii="Arial" w:cs="Arial" w:eastAsia="Arial" w:hAnsi="Arial"/>
                <w:sz w:val="15"/>
                <w:szCs w:val="15"/>
                <w:color w:val="auto"/>
                <w:vertAlign w:val="superscript"/>
              </w:rPr>
              <w:t>(1)</w:t>
            </w:r>
          </w:p>
        </w:tc>
        <w:tc>
          <w:tcPr>
            <w:tcW w:w="280" w:type="dxa"/>
            <w:vAlign w:val="bottom"/>
            <w:shd w:val="clear" w:color="auto" w:fill="BFE4FF"/>
          </w:tcPr>
          <w:p>
            <w:pPr>
              <w:spacing w:after="0"/>
              <w:rPr>
                <w:sz w:val="15"/>
                <w:szCs w:val="15"/>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16.4</w:t>
            </w:r>
          </w:p>
        </w:tc>
        <w:tc>
          <w:tcPr>
            <w:tcW w:w="80" w:type="dxa"/>
            <w:vAlign w:val="bottom"/>
            <w:shd w:val="clear" w:color="auto" w:fill="BFE4FF"/>
          </w:tcPr>
          <w:p>
            <w:pPr>
              <w:spacing w:after="0"/>
              <w:rPr>
                <w:sz w:val="15"/>
                <w:szCs w:val="15"/>
                <w:color w:val="auto"/>
              </w:rPr>
            </w:pPr>
          </w:p>
        </w:tc>
        <w:tc>
          <w:tcPr>
            <w:tcW w:w="60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8.9</w:t>
            </w: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26.3</w:t>
            </w:r>
          </w:p>
        </w:tc>
        <w:tc>
          <w:tcPr>
            <w:tcW w:w="80" w:type="dxa"/>
            <w:vAlign w:val="bottom"/>
            <w:shd w:val="clear" w:color="auto" w:fill="BFE4FF"/>
          </w:tcPr>
          <w:p>
            <w:pPr>
              <w:spacing w:after="0"/>
              <w:rPr>
                <w:sz w:val="15"/>
                <w:szCs w:val="15"/>
                <w:color w:val="auto"/>
              </w:rPr>
            </w:pPr>
          </w:p>
        </w:tc>
        <w:tc>
          <w:tcPr>
            <w:tcW w:w="58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14.1</w:t>
            </w:r>
          </w:p>
        </w:tc>
      </w:tr>
      <w:tr>
        <w:trPr>
          <w:trHeight w:val="182"/>
        </w:trPr>
        <w:tc>
          <w:tcPr>
            <w:tcW w:w="4840" w:type="dxa"/>
            <w:vAlign w:val="bottom"/>
            <w:gridSpan w:val="2"/>
          </w:tcPr>
          <w:p>
            <w:pPr>
              <w:ind w:left="80"/>
              <w:spacing w:after="0"/>
              <w:rPr>
                <w:sz w:val="20"/>
                <w:szCs w:val="20"/>
                <w:color w:val="auto"/>
              </w:rPr>
            </w:pPr>
            <w:r>
              <w:rPr>
                <w:rFonts w:ascii="Arial" w:cs="Arial" w:eastAsia="Arial" w:hAnsi="Arial"/>
                <w:sz w:val="12"/>
                <w:szCs w:val="12"/>
                <w:color w:val="auto"/>
              </w:rPr>
              <w:t>General and administrative</w:t>
            </w:r>
            <w:r>
              <w:rPr>
                <w:rFonts w:ascii="Arial" w:cs="Arial" w:eastAsia="Arial" w:hAnsi="Arial"/>
                <w:sz w:val="15"/>
                <w:szCs w:val="15"/>
                <w:color w:val="auto"/>
                <w:vertAlign w:val="superscript"/>
              </w:rPr>
              <w:t>(1)</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18.2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28.2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16.8</w:t>
            </w:r>
          </w:p>
        </w:tc>
      </w:tr>
      <w:tr>
        <w:trPr>
          <w:trHeight w:val="182"/>
        </w:trPr>
        <w:tc>
          <w:tcPr>
            <w:tcW w:w="4840" w:type="dxa"/>
            <w:vAlign w:val="bottom"/>
            <w:gridSpan w:val="2"/>
            <w:shd w:val="clear" w:color="auto" w:fill="BFE4FF"/>
          </w:tcPr>
          <w:p>
            <w:pPr>
              <w:ind w:left="80"/>
              <w:spacing w:after="0"/>
              <w:rPr>
                <w:sz w:val="20"/>
                <w:szCs w:val="20"/>
                <w:color w:val="auto"/>
              </w:rPr>
            </w:pPr>
            <w:r>
              <w:rPr>
                <w:rFonts w:ascii="Arial" w:cs="Arial" w:eastAsia="Arial" w:hAnsi="Arial"/>
                <w:sz w:val="12"/>
                <w:szCs w:val="12"/>
                <w:color w:val="auto"/>
              </w:rPr>
              <w:t>Amortization of other acquired intangibles</w:t>
            </w:r>
          </w:p>
        </w:tc>
        <w:tc>
          <w:tcPr>
            <w:tcW w:w="280" w:type="dxa"/>
            <w:vAlign w:val="bottom"/>
            <w:shd w:val="clear" w:color="auto" w:fill="BFE4FF"/>
          </w:tcPr>
          <w:p>
            <w:pPr>
              <w:spacing w:after="0"/>
              <w:rPr>
                <w:sz w:val="15"/>
                <w:szCs w:val="15"/>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4.7</w:t>
            </w:r>
          </w:p>
        </w:tc>
        <w:tc>
          <w:tcPr>
            <w:tcW w:w="80" w:type="dxa"/>
            <w:vAlign w:val="bottom"/>
            <w:shd w:val="clear" w:color="auto" w:fill="BFE4FF"/>
          </w:tcPr>
          <w:p>
            <w:pPr>
              <w:spacing w:after="0"/>
              <w:rPr>
                <w:sz w:val="15"/>
                <w:szCs w:val="15"/>
                <w:color w:val="auto"/>
              </w:rPr>
            </w:pPr>
          </w:p>
        </w:tc>
        <w:tc>
          <w:tcPr>
            <w:tcW w:w="60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BFE4FF"/>
          </w:tcPr>
          <w:p>
            <w:pPr>
              <w:spacing w:after="0"/>
              <w:rPr>
                <w:sz w:val="15"/>
                <w:szCs w:val="15"/>
                <w:color w:val="auto"/>
              </w:rPr>
            </w:pPr>
          </w:p>
        </w:tc>
        <w:tc>
          <w:tcPr>
            <w:tcW w:w="58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8.3</w:t>
            </w:r>
          </w:p>
        </w:tc>
      </w:tr>
      <w:tr>
        <w:trPr>
          <w:trHeight w:val="172"/>
        </w:trPr>
        <w:tc>
          <w:tcPr>
            <w:tcW w:w="4840" w:type="dxa"/>
            <w:vAlign w:val="bottom"/>
            <w:tcBorders>
              <w:bottom w:val="single" w:sz="8" w:color="BFE4FF"/>
            </w:tcBorders>
            <w:gridSpan w:val="2"/>
          </w:tcPr>
          <w:p>
            <w:pPr>
              <w:ind w:left="80"/>
              <w:spacing w:after="0"/>
              <w:rPr>
                <w:sz w:val="20"/>
                <w:szCs w:val="20"/>
                <w:color w:val="auto"/>
              </w:rPr>
            </w:pPr>
            <w:r>
              <w:rPr>
                <w:rFonts w:ascii="Arial" w:cs="Arial" w:eastAsia="Arial" w:hAnsi="Arial"/>
                <w:sz w:val="12"/>
                <w:szCs w:val="12"/>
                <w:color w:val="auto"/>
              </w:rPr>
              <w:t>Restructuring and transaction related expenses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80" w:type="dxa"/>
            <w:vAlign w:val="bottom"/>
            <w:tcBorders>
              <w:bottom w:val="single" w:sz="8" w:color="BFE4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BFE4FF"/>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80" w:type="dxa"/>
            <w:vAlign w:val="bottom"/>
            <w:tcBorders>
              <w:bottom w:val="single" w:sz="8" w:color="BFE4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r>
      <w:tr>
        <w:trPr>
          <w:trHeight w:val="171"/>
        </w:trPr>
        <w:tc>
          <w:tcPr>
            <w:tcW w:w="4840" w:type="dxa"/>
            <w:vAlign w:val="bottom"/>
            <w:gridSpan w:val="2"/>
            <w:shd w:val="clear" w:color="auto" w:fill="BFE4FF"/>
          </w:tcPr>
          <w:p>
            <w:pPr>
              <w:ind w:left="240"/>
              <w:spacing w:after="0"/>
              <w:rPr>
                <w:sz w:val="20"/>
                <w:szCs w:val="20"/>
                <w:color w:val="auto"/>
              </w:rPr>
            </w:pPr>
            <w:r>
              <w:rPr>
                <w:rFonts w:ascii="Arial" w:cs="Arial" w:eastAsia="Arial" w:hAnsi="Arial"/>
                <w:sz w:val="12"/>
                <w:szCs w:val="12"/>
                <w:color w:val="auto"/>
              </w:rPr>
              <w:t>Total operating expenses</w:t>
            </w:r>
          </w:p>
        </w:tc>
        <w:tc>
          <w:tcPr>
            <w:tcW w:w="280" w:type="dxa"/>
            <w:vAlign w:val="bottom"/>
            <w:tcBorders>
              <w:bottom w:val="single" w:sz="8" w:color="auto"/>
            </w:tcBorders>
            <w:shd w:val="clear" w:color="auto" w:fill="BFE4FF"/>
          </w:tcPr>
          <w:p>
            <w:pPr>
              <w:spacing w:after="0"/>
              <w:rPr>
                <w:sz w:val="14"/>
                <w:szCs w:val="14"/>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108.3</w:t>
            </w:r>
          </w:p>
        </w:tc>
        <w:tc>
          <w:tcPr>
            <w:tcW w:w="80" w:type="dxa"/>
            <w:vAlign w:val="bottom"/>
            <w:shd w:val="clear" w:color="auto" w:fill="BFE4FF"/>
          </w:tcPr>
          <w:p>
            <w:pPr>
              <w:spacing w:after="0"/>
              <w:rPr>
                <w:sz w:val="14"/>
                <w:szCs w:val="14"/>
                <w:color w:val="auto"/>
              </w:rPr>
            </w:pPr>
          </w:p>
        </w:tc>
        <w:tc>
          <w:tcPr>
            <w:tcW w:w="600" w:type="dxa"/>
            <w:vAlign w:val="bottom"/>
            <w:tcBorders>
              <w:bottom w:val="single" w:sz="8" w:color="auto"/>
            </w:tcBorders>
            <w:shd w:val="clear" w:color="auto" w:fill="BFE4FF"/>
          </w:tcPr>
          <w:p>
            <w:pPr>
              <w:spacing w:after="0"/>
              <w:rPr>
                <w:sz w:val="14"/>
                <w:szCs w:val="14"/>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45.3</w:t>
            </w:r>
          </w:p>
        </w:tc>
        <w:tc>
          <w:tcPr>
            <w:tcW w:w="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280" w:type="dxa"/>
            <w:vAlign w:val="bottom"/>
            <w:tcBorders>
              <w:bottom w:val="single" w:sz="8" w:color="auto"/>
            </w:tcBorders>
            <w:shd w:val="clear" w:color="auto" w:fill="BFE4FF"/>
          </w:tcPr>
          <w:p>
            <w:pPr>
              <w:spacing w:after="0"/>
              <w:rPr>
                <w:sz w:val="14"/>
                <w:szCs w:val="14"/>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169.8</w:t>
            </w:r>
          </w:p>
        </w:tc>
        <w:tc>
          <w:tcPr>
            <w:tcW w:w="80" w:type="dxa"/>
            <w:vAlign w:val="bottom"/>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spacing w:after="0"/>
              <w:rPr>
                <w:sz w:val="14"/>
                <w:szCs w:val="14"/>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87.0</w:t>
            </w:r>
          </w:p>
        </w:tc>
      </w:tr>
      <w:tr>
        <w:trPr>
          <w:trHeight w:val="171"/>
        </w:trPr>
        <w:tc>
          <w:tcPr>
            <w:tcW w:w="4840" w:type="dxa"/>
            <w:vAlign w:val="bottom"/>
            <w:gridSpan w:val="2"/>
          </w:tcPr>
          <w:p>
            <w:pPr>
              <w:spacing w:after="0"/>
              <w:rPr>
                <w:sz w:val="20"/>
                <w:szCs w:val="20"/>
                <w:color w:val="auto"/>
              </w:rPr>
            </w:pPr>
            <w:r>
              <w:rPr>
                <w:rFonts w:ascii="Arial" w:cs="Arial" w:eastAsia="Arial" w:hAnsi="Arial"/>
                <w:sz w:val="12"/>
                <w:szCs w:val="12"/>
                <w:color w:val="auto"/>
              </w:rPr>
              <w:t>Income (loss) from operations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r>
      <w:tr>
        <w:trPr>
          <w:trHeight w:val="26"/>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2"/>
        </w:trPr>
        <w:tc>
          <w:tcPr>
            <w:tcW w:w="4840" w:type="dxa"/>
            <w:vAlign w:val="bottom"/>
            <w:gridSpan w:val="2"/>
            <w:shd w:val="clear" w:color="auto" w:fill="BFE4FF"/>
          </w:tcPr>
          <w:p>
            <w:pPr>
              <w:ind w:left="80"/>
              <w:spacing w:after="0"/>
              <w:rPr>
                <w:sz w:val="20"/>
                <w:szCs w:val="20"/>
                <w:color w:val="auto"/>
              </w:rPr>
            </w:pPr>
            <w:r>
              <w:rPr>
                <w:rFonts w:ascii="Arial" w:cs="Arial" w:eastAsia="Arial" w:hAnsi="Arial"/>
                <w:sz w:val="12"/>
                <w:szCs w:val="12"/>
                <w:color w:val="auto"/>
              </w:rPr>
              <w:t>Interest expense, net</w:t>
            </w:r>
          </w:p>
        </w:tc>
        <w:tc>
          <w:tcPr>
            <w:tcW w:w="280" w:type="dxa"/>
            <w:vAlign w:val="bottom"/>
            <w:shd w:val="clear" w:color="auto" w:fill="BFE4FF"/>
          </w:tcPr>
          <w:p>
            <w:pPr>
              <w:spacing w:after="0"/>
              <w:rPr>
                <w:sz w:val="15"/>
                <w:szCs w:val="15"/>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25.1</w:t>
            </w:r>
          </w:p>
        </w:tc>
        <w:tc>
          <w:tcPr>
            <w:tcW w:w="80" w:type="dxa"/>
            <w:vAlign w:val="bottom"/>
            <w:shd w:val="clear" w:color="auto" w:fill="BFE4FF"/>
          </w:tcPr>
          <w:p>
            <w:pPr>
              <w:spacing w:after="0"/>
              <w:rPr>
                <w:sz w:val="15"/>
                <w:szCs w:val="15"/>
                <w:color w:val="auto"/>
              </w:rPr>
            </w:pPr>
          </w:p>
        </w:tc>
        <w:tc>
          <w:tcPr>
            <w:tcW w:w="60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26.9</w:t>
            </w: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49.6</w:t>
            </w:r>
          </w:p>
        </w:tc>
        <w:tc>
          <w:tcPr>
            <w:tcW w:w="80" w:type="dxa"/>
            <w:vAlign w:val="bottom"/>
            <w:shd w:val="clear" w:color="auto" w:fill="BFE4FF"/>
          </w:tcPr>
          <w:p>
            <w:pPr>
              <w:spacing w:after="0"/>
              <w:rPr>
                <w:sz w:val="15"/>
                <w:szCs w:val="15"/>
                <w:color w:val="auto"/>
              </w:rPr>
            </w:pPr>
          </w:p>
        </w:tc>
        <w:tc>
          <w:tcPr>
            <w:tcW w:w="58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50.4</w:t>
            </w:r>
          </w:p>
        </w:tc>
      </w:tr>
      <w:tr>
        <w:trPr>
          <w:trHeight w:val="172"/>
        </w:trPr>
        <w:tc>
          <w:tcPr>
            <w:tcW w:w="4840" w:type="dxa"/>
            <w:vAlign w:val="bottom"/>
            <w:gridSpan w:val="2"/>
          </w:tcPr>
          <w:p>
            <w:pPr>
              <w:ind w:left="80"/>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18.2</w:t>
            </w:r>
          </w:p>
        </w:tc>
      </w:tr>
      <w:tr>
        <w:trPr>
          <w:trHeight w:val="182"/>
        </w:trPr>
        <w:tc>
          <w:tcPr>
            <w:tcW w:w="4840" w:type="dxa"/>
            <w:vAlign w:val="bottom"/>
            <w:gridSpan w:val="2"/>
            <w:shd w:val="clear" w:color="auto" w:fill="BFE4FF"/>
          </w:tcPr>
          <w:p>
            <w:pPr>
              <w:ind w:left="80"/>
              <w:spacing w:after="0"/>
              <w:rPr>
                <w:sz w:val="20"/>
                <w:szCs w:val="20"/>
                <w:color w:val="auto"/>
              </w:rPr>
            </w:pPr>
            <w:r>
              <w:rPr>
                <w:rFonts w:ascii="Arial" w:cs="Arial" w:eastAsia="Arial" w:hAnsi="Arial"/>
                <w:sz w:val="12"/>
                <w:szCs w:val="12"/>
                <w:color w:val="auto"/>
              </w:rPr>
              <w:t>Other (income) expense, net</w:t>
            </w:r>
          </w:p>
        </w:tc>
        <w:tc>
          <w:tcPr>
            <w:tcW w:w="280" w:type="dxa"/>
            <w:vAlign w:val="bottom"/>
            <w:shd w:val="clear" w:color="auto" w:fill="BFE4FF"/>
          </w:tcPr>
          <w:p>
            <w:pPr>
              <w:spacing w:after="0"/>
              <w:rPr>
                <w:sz w:val="15"/>
                <w:szCs w:val="15"/>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BFE4FF"/>
          </w:tcPr>
          <w:p>
            <w:pPr>
              <w:spacing w:after="0"/>
              <w:rPr>
                <w:sz w:val="15"/>
                <w:szCs w:val="15"/>
                <w:color w:val="auto"/>
              </w:rPr>
            </w:pPr>
          </w:p>
        </w:tc>
        <w:tc>
          <w:tcPr>
            <w:tcW w:w="600" w:type="dxa"/>
            <w:vAlign w:val="bottom"/>
            <w:shd w:val="clear" w:color="auto" w:fill="BFE4FF"/>
          </w:tcPr>
          <w:p>
            <w:pPr>
              <w:spacing w:after="0"/>
              <w:rPr>
                <w:sz w:val="15"/>
                <w:szCs w:val="15"/>
                <w:color w:val="auto"/>
              </w:rPr>
            </w:pPr>
          </w:p>
        </w:tc>
        <w:tc>
          <w:tcPr>
            <w:tcW w:w="1100" w:type="dxa"/>
            <w:vAlign w:val="bottom"/>
            <w:gridSpan w:val="3"/>
            <w:shd w:val="clear" w:color="auto" w:fill="BFE4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BFE4FF"/>
          </w:tcPr>
          <w:p>
            <w:pPr>
              <w:spacing w:after="0"/>
              <w:rPr>
                <w:sz w:val="15"/>
                <w:szCs w:val="15"/>
                <w:color w:val="auto"/>
              </w:rPr>
            </w:pPr>
          </w:p>
        </w:tc>
        <w:tc>
          <w:tcPr>
            <w:tcW w:w="1340" w:type="dxa"/>
            <w:vAlign w:val="bottom"/>
            <w:gridSpan w:val="2"/>
            <w:shd w:val="clear" w:color="auto" w:fill="BFE4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484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(69.1)</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(75.4)</w:t>
            </w: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(64.8)</w:t>
            </w:r>
          </w:p>
        </w:tc>
      </w:tr>
      <w:tr>
        <w:trPr>
          <w:trHeight w:val="191"/>
        </w:trPr>
        <w:tc>
          <w:tcPr>
            <w:tcW w:w="4840" w:type="dxa"/>
            <w:vAlign w:val="bottom"/>
            <w:gridSpan w:val="2"/>
            <w:shd w:val="clear" w:color="auto" w:fill="BFE4FF"/>
          </w:tcPr>
          <w:p>
            <w:pPr>
              <w:ind w:left="80"/>
              <w:spacing w:after="0"/>
              <w:rPr>
                <w:sz w:val="20"/>
                <w:szCs w:val="20"/>
                <w:color w:val="auto"/>
              </w:rPr>
            </w:pPr>
            <w:r>
              <w:rPr>
                <w:rFonts w:ascii="Arial" w:cs="Arial" w:eastAsia="Arial" w:hAnsi="Arial"/>
                <w:sz w:val="12"/>
                <w:szCs w:val="12"/>
                <w:color w:val="auto"/>
              </w:rPr>
              <w:t>Benefit (expense) from income taxes</w:t>
            </w:r>
          </w:p>
        </w:tc>
        <w:tc>
          <w:tcPr>
            <w:tcW w:w="280" w:type="dxa"/>
            <w:vAlign w:val="bottom"/>
            <w:tcBorders>
              <w:bottom w:val="single" w:sz="8" w:color="auto"/>
            </w:tcBorders>
            <w:shd w:val="clear" w:color="auto" w:fill="BFE4FF"/>
          </w:tcPr>
          <w:p>
            <w:pPr>
              <w:spacing w:after="0"/>
              <w:rPr>
                <w:sz w:val="16"/>
                <w:szCs w:val="16"/>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(8.8)</w:t>
            </w:r>
          </w:p>
        </w:tc>
        <w:tc>
          <w:tcPr>
            <w:tcW w:w="80" w:type="dxa"/>
            <w:vAlign w:val="bottom"/>
            <w:shd w:val="clear" w:color="auto" w:fill="BFE4FF"/>
          </w:tcPr>
          <w:p>
            <w:pPr>
              <w:spacing w:after="0"/>
              <w:rPr>
                <w:sz w:val="16"/>
                <w:szCs w:val="16"/>
                <w:color w:val="auto"/>
              </w:rPr>
            </w:pPr>
          </w:p>
        </w:tc>
        <w:tc>
          <w:tcPr>
            <w:tcW w:w="600" w:type="dxa"/>
            <w:vAlign w:val="bottom"/>
            <w:tcBorders>
              <w:bottom w:val="single" w:sz="8" w:color="auto"/>
            </w:tcBorders>
            <w:shd w:val="clear" w:color="auto" w:fill="BFE4FF"/>
          </w:tcPr>
          <w:p>
            <w:pPr>
              <w:spacing w:after="0"/>
              <w:rPr>
                <w:sz w:val="16"/>
                <w:szCs w:val="16"/>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280" w:type="dxa"/>
            <w:vAlign w:val="bottom"/>
            <w:tcBorders>
              <w:bottom w:val="single" w:sz="8" w:color="auto"/>
            </w:tcBorders>
            <w:shd w:val="clear" w:color="auto" w:fill="BFE4FF"/>
          </w:tcPr>
          <w:p>
            <w:pPr>
              <w:spacing w:after="0"/>
              <w:rPr>
                <w:sz w:val="16"/>
                <w:szCs w:val="16"/>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(8.4)</w:t>
            </w:r>
          </w:p>
        </w:tc>
        <w:tc>
          <w:tcPr>
            <w:tcW w:w="80" w:type="dxa"/>
            <w:vAlign w:val="bottom"/>
            <w:shd w:val="clear" w:color="auto" w:fill="BFE4FF"/>
          </w:tcPr>
          <w:p>
            <w:pPr>
              <w:spacing w:after="0"/>
              <w:rPr>
                <w:sz w:val="16"/>
                <w:szCs w:val="16"/>
                <w:color w:val="auto"/>
              </w:rPr>
            </w:pPr>
          </w:p>
        </w:tc>
        <w:tc>
          <w:tcPr>
            <w:tcW w:w="580" w:type="dxa"/>
            <w:vAlign w:val="bottom"/>
            <w:tcBorders>
              <w:bottom w:val="single" w:sz="8" w:color="auto"/>
            </w:tcBorders>
            <w:shd w:val="clear" w:color="auto" w:fill="BFE4FF"/>
          </w:tcPr>
          <w:p>
            <w:pPr>
              <w:spacing w:after="0"/>
              <w:rPr>
                <w:sz w:val="16"/>
                <w:szCs w:val="16"/>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4.7</w:t>
            </w:r>
          </w:p>
        </w:tc>
      </w:tr>
      <w:tr>
        <w:trPr>
          <w:trHeight w:val="161"/>
        </w:trPr>
        <w:tc>
          <w:tcPr>
            <w:tcW w:w="4840" w:type="dxa"/>
            <w:vAlign w:val="bottom"/>
            <w:tcBorders>
              <w:bottom w:val="single" w:sz="8" w:color="BFE4FF"/>
            </w:tcBorders>
            <w:gridSpan w:val="2"/>
          </w:tcPr>
          <w:p>
            <w:pPr>
              <w:ind w:left="220"/>
              <w:spacing w:after="0"/>
              <w:rPr>
                <w:sz w:val="20"/>
                <w:szCs w:val="20"/>
                <w:color w:val="auto"/>
              </w:rPr>
            </w:pPr>
            <w:r>
              <w:rPr>
                <w:rFonts w:ascii="Arial" w:cs="Arial" w:eastAsia="Arial" w:hAnsi="Arial"/>
                <w:sz w:val="12"/>
                <w:szCs w:val="12"/>
                <w:b w:val="1"/>
                <w:bCs w:val="1"/>
                <w:color w:val="auto"/>
              </w:rPr>
              <w:t>Net income (loss)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(77.9)</w:t>
            </w:r>
          </w:p>
        </w:tc>
        <w:tc>
          <w:tcPr>
            <w:tcW w:w="80" w:type="dxa"/>
            <w:vAlign w:val="bottom"/>
            <w:tcBorders>
              <w:bottom w:val="single" w:sz="8" w:color="BFE4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80" w:type="dxa"/>
            <w:vAlign w:val="bottom"/>
            <w:tcBorders>
              <w:bottom w:val="single" w:sz="8" w:color="BFE4FF"/>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(83.8)</w:t>
            </w:r>
          </w:p>
        </w:tc>
        <w:tc>
          <w:tcPr>
            <w:tcW w:w="80" w:type="dxa"/>
            <w:vAlign w:val="bottom"/>
            <w:tcBorders>
              <w:bottom w:val="single" w:sz="8" w:color="BFE4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w:t>
            </w:r>
          </w:p>
        </w:tc>
      </w:tr>
      <w:tr>
        <w:trPr>
          <w:trHeight w:val="180"/>
        </w:trPr>
        <w:tc>
          <w:tcPr>
            <w:tcW w:w="4840" w:type="dxa"/>
            <w:vAlign w:val="bottom"/>
            <w:gridSpan w:val="2"/>
            <w:shd w:val="clear" w:color="auto" w:fill="BFE4FF"/>
          </w:tcPr>
          <w:p>
            <w:pPr>
              <w:spacing w:after="0"/>
              <w:rPr>
                <w:sz w:val="20"/>
                <w:szCs w:val="20"/>
                <w:color w:val="auto"/>
              </w:rPr>
            </w:pPr>
            <w:r>
              <w:rPr>
                <w:rFonts w:ascii="Arial" w:cs="Arial" w:eastAsia="Arial" w:hAnsi="Arial"/>
                <w:sz w:val="12"/>
                <w:szCs w:val="12"/>
                <w:color w:val="auto"/>
                <w:w w:val="95"/>
              </w:rPr>
              <w:t>Less: Net income (loss) attributable to ZoomInfo OpCo prior to the Reorganization Transactions</w:t>
            </w:r>
          </w:p>
        </w:tc>
        <w:tc>
          <w:tcPr>
            <w:tcW w:w="280" w:type="dxa"/>
            <w:vAlign w:val="bottom"/>
            <w:shd w:val="clear" w:color="auto" w:fill="BFE4FF"/>
          </w:tcPr>
          <w:p>
            <w:pPr>
              <w:spacing w:after="0"/>
              <w:rPr>
                <w:sz w:val="15"/>
                <w:szCs w:val="15"/>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0.8</w:t>
            </w:r>
          </w:p>
        </w:tc>
        <w:tc>
          <w:tcPr>
            <w:tcW w:w="80" w:type="dxa"/>
            <w:vAlign w:val="bottom"/>
            <w:shd w:val="clear" w:color="auto" w:fill="BFE4FF"/>
          </w:tcPr>
          <w:p>
            <w:pPr>
              <w:spacing w:after="0"/>
              <w:rPr>
                <w:sz w:val="15"/>
                <w:szCs w:val="15"/>
                <w:color w:val="auto"/>
              </w:rPr>
            </w:pPr>
          </w:p>
        </w:tc>
        <w:tc>
          <w:tcPr>
            <w:tcW w:w="60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(5.1)</w:t>
            </w:r>
          </w:p>
        </w:tc>
        <w:tc>
          <w:tcPr>
            <w:tcW w:w="80" w:type="dxa"/>
            <w:vAlign w:val="bottom"/>
            <w:shd w:val="clear" w:color="auto" w:fill="BFE4FF"/>
          </w:tcPr>
          <w:p>
            <w:pPr>
              <w:spacing w:after="0"/>
              <w:rPr>
                <w:sz w:val="15"/>
                <w:szCs w:val="15"/>
                <w:color w:val="auto"/>
              </w:rPr>
            </w:pPr>
          </w:p>
        </w:tc>
        <w:tc>
          <w:tcPr>
            <w:tcW w:w="58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2"/>
                <w:szCs w:val="12"/>
                <w:color w:val="auto"/>
              </w:rPr>
              <w:t>(60.1)</w:t>
            </w:r>
          </w:p>
        </w:tc>
      </w:tr>
      <w:tr>
        <w:trPr>
          <w:trHeight w:val="172"/>
        </w:trPr>
        <w:tc>
          <w:tcPr>
            <w:tcW w:w="4840" w:type="dxa"/>
            <w:vAlign w:val="bottom"/>
            <w:tcBorders>
              <w:bottom w:val="single" w:sz="8" w:color="BFE4FF"/>
            </w:tcBorders>
            <w:gridSpan w:val="2"/>
          </w:tcPr>
          <w:p>
            <w:pPr>
              <w:spacing w:after="0"/>
              <w:rPr>
                <w:sz w:val="20"/>
                <w:szCs w:val="20"/>
                <w:color w:val="auto"/>
              </w:rPr>
            </w:pPr>
            <w:r>
              <w:rPr>
                <w:rFonts w:ascii="Arial" w:cs="Arial" w:eastAsia="Arial" w:hAnsi="Arial"/>
                <w:sz w:val="12"/>
                <w:szCs w:val="12"/>
                <w:color w:val="auto"/>
              </w:rPr>
              <w:t>Less: Net income (loss) attributable to noncontrolling interests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80" w:type="dxa"/>
            <w:vAlign w:val="bottom"/>
            <w:tcBorders>
              <w:bottom w:val="single" w:sz="8" w:color="BFE4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BFE4FF"/>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80" w:type="dxa"/>
            <w:vAlign w:val="bottom"/>
            <w:tcBorders>
              <w:bottom w:val="single" w:sz="8" w:color="BFE4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484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2"/>
                <w:szCs w:val="12"/>
                <w:b w:val="1"/>
                <w:bCs w:val="1"/>
                <w:color w:val="auto"/>
              </w:rPr>
              <w:t>Net income (loss) attributable to ZoomInfo Technologies Inc.</w:t>
            </w:r>
          </w:p>
        </w:tc>
        <w:tc>
          <w:tcPr>
            <w:tcW w:w="28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(34.4)</w:t>
            </w:r>
          </w:p>
        </w:tc>
        <w:tc>
          <w:tcPr>
            <w:tcW w:w="80" w:type="dxa"/>
            <w:vAlign w:val="bottom"/>
            <w:tcBorders>
              <w:bottom w:val="single" w:sz="8" w:color="BFE4FF"/>
            </w:tcBorders>
            <w:shd w:val="clear" w:color="auto" w:fill="BFE4FF"/>
          </w:tcPr>
          <w:p>
            <w:pPr>
              <w:spacing w:after="0"/>
              <w:rPr>
                <w:sz w:val="17"/>
                <w:szCs w:val="17"/>
                <w:color w:val="auto"/>
              </w:rPr>
            </w:pPr>
          </w:p>
        </w:tc>
        <w:tc>
          <w:tcPr>
            <w:tcW w:w="600" w:type="dxa"/>
            <w:vAlign w:val="bottom"/>
            <w:tcBorders>
              <w:bottom w:val="single" w:sz="8" w:color="auto"/>
            </w:tcBorders>
            <w:shd w:val="clear" w:color="auto" w:fill="BFE4FF"/>
          </w:tcPr>
          <w:p>
            <w:pPr>
              <w:jc w:val="right"/>
              <w:ind w:right="459"/>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BFE4FF"/>
            </w:tcBorders>
            <w:gridSpan w:val="2"/>
            <w:shd w:val="clear" w:color="auto" w:fill="BFE4FF"/>
          </w:tcPr>
          <w:p>
            <w:pPr>
              <w:spacing w:after="0"/>
              <w:rPr>
                <w:sz w:val="17"/>
                <w:szCs w:val="17"/>
                <w:color w:val="auto"/>
              </w:rPr>
            </w:pPr>
          </w:p>
        </w:tc>
        <w:tc>
          <w:tcPr>
            <w:tcW w:w="28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(34.4)</w:t>
            </w:r>
          </w:p>
        </w:tc>
        <w:tc>
          <w:tcPr>
            <w:tcW w:w="80" w:type="dxa"/>
            <w:vAlign w:val="bottom"/>
            <w:tcBorders>
              <w:bottom w:val="single" w:sz="8" w:color="BFE4FF"/>
            </w:tcBorders>
            <w:shd w:val="clear" w:color="auto" w:fill="BFE4FF"/>
          </w:tcPr>
          <w:p>
            <w:pPr>
              <w:spacing w:after="0"/>
              <w:rPr>
                <w:sz w:val="17"/>
                <w:szCs w:val="17"/>
                <w:color w:val="auto"/>
              </w:rPr>
            </w:pPr>
          </w:p>
        </w:tc>
        <w:tc>
          <w:tcPr>
            <w:tcW w:w="580" w:type="dxa"/>
            <w:vAlign w:val="bottom"/>
            <w:tcBorders>
              <w:bottom w:val="single" w:sz="8" w:color="auto"/>
            </w:tcBorders>
            <w:shd w:val="clear" w:color="auto" w:fill="BFE4FF"/>
          </w:tcPr>
          <w:p>
            <w:pPr>
              <w:jc w:val="right"/>
              <w:ind w:right="43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4" w:name="page65"/>
    <w:bookmarkEnd w:id="6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w:t>
      </w:r>
    </w:p>
    <w:p>
      <w:pPr>
        <w:spacing w:after="0" w:line="1"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tab/>
        <w:t>Includes equity-based compensation expense as follows:</w:t>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33"/>
        </w:trPr>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 June 30,</w:t>
            </w: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Borders>
              <w:bottom w:val="single" w:sz="8" w:color="auto"/>
            </w:tcBorders>
          </w:tcPr>
          <w:p>
            <w:pPr>
              <w:spacing w:after="0"/>
              <w:rPr>
                <w:sz w:val="11"/>
                <w:szCs w:val="11"/>
                <w:color w:val="auto"/>
              </w:rPr>
            </w:pPr>
          </w:p>
        </w:tc>
      </w:tr>
      <w:tr>
        <w:trPr>
          <w:trHeight w:val="134"/>
        </w:trPr>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2019</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2019</w:t>
            </w:r>
          </w:p>
        </w:tc>
      </w:tr>
      <w:tr>
        <w:trPr>
          <w:trHeight w:val="143"/>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r>
      <w:tr>
        <w:trPr>
          <w:trHeight w:val="137"/>
        </w:trPr>
        <w:tc>
          <w:tcPr>
            <w:tcW w:w="3120" w:type="dxa"/>
            <w:vAlign w:val="bottom"/>
            <w:gridSpan w:val="2"/>
          </w:tcPr>
          <w:p>
            <w:pPr>
              <w:spacing w:after="0"/>
              <w:rPr>
                <w:sz w:val="20"/>
                <w:szCs w:val="20"/>
                <w:color w:val="auto"/>
              </w:rPr>
            </w:pPr>
            <w:r>
              <w:rPr>
                <w:rFonts w:ascii="Arial" w:cs="Arial" w:eastAsia="Arial" w:hAnsi="Arial"/>
                <w:sz w:val="10"/>
                <w:szCs w:val="10"/>
                <w:color w:val="auto"/>
              </w:rPr>
              <w:t>Sales and marketing</w:t>
            </w:r>
          </w:p>
        </w:tc>
        <w:tc>
          <w:tcPr>
            <w:tcW w:w="3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32.0</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4.1</w:t>
            </w:r>
          </w:p>
        </w:tc>
      </w:tr>
      <w:tr>
        <w:trPr>
          <w:trHeight w:val="154"/>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r>
      <w:tr>
        <w:trPr>
          <w:trHeight w:val="137"/>
        </w:trPr>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General and administrative</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r>
      <w:tr>
        <w:trPr>
          <w:trHeight w:val="159"/>
        </w:trPr>
        <w:tc>
          <w:tcPr>
            <w:tcW w:w="31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 equity-based compensation expense</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64.5</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75.8</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Three Months Ended June 30, 2020 and Three Months Ended June 30, 2019</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Revenue</w:t>
      </w:r>
      <w:r>
        <w:rPr>
          <w:rFonts w:ascii="Arial" w:cs="Arial" w:eastAsia="Arial" w:hAnsi="Arial"/>
          <w:sz w:val="12"/>
          <w:szCs w:val="12"/>
          <w:color w:val="auto"/>
        </w:rPr>
        <w:t>. Revenue was $110.9 million for the three months ended June 30, 2020, an increase of $42.4 million, or 62%, as compared to $68.5 million for the three months ended June 30, 2019. This increase was primarily due to</w:t>
      </w:r>
      <w:r>
        <w:rPr>
          <w:rFonts w:ascii="Arial" w:cs="Arial" w:eastAsia="Arial" w:hAnsi="Arial"/>
          <w:sz w:val="12"/>
          <w:szCs w:val="12"/>
          <w:i w:val="1"/>
          <w:iCs w:val="1"/>
          <w:color w:val="auto"/>
        </w:rPr>
        <w:t xml:space="preserve"> </w:t>
      </w:r>
      <w:r>
        <w:rPr>
          <w:rFonts w:ascii="Arial" w:cs="Arial" w:eastAsia="Arial" w:hAnsi="Arial"/>
          <w:sz w:val="12"/>
          <w:szCs w:val="12"/>
          <w:color w:val="auto"/>
        </w:rPr>
        <w:t>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 xml:space="preserve">Cost of Service. </w:t>
      </w:r>
      <w:r>
        <w:rPr>
          <w:rFonts w:ascii="Arial" w:cs="Arial" w:eastAsia="Arial" w:hAnsi="Arial"/>
          <w:sz w:val="12"/>
          <w:szCs w:val="12"/>
          <w:color w:val="auto"/>
        </w:rPr>
        <w:t>Cost of service was $33.8 million for the three months ended June 30, 2020, an increase of $16.2 million, or 92%, as compared to $17.6 million for the three months ended June 30, 2019. The increase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due to additional stock-based compensation expense related to grants previously made by HSKB, modified in December 2019, and triggered by the IPO. Additional expenses related to additional headcount and hosting expense to support new and growing customers were largely offset by reductions in amortization of acquired technology.</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i w:val="1"/>
          <w:iCs w:val="1"/>
          <w:color w:val="auto"/>
        </w:rPr>
        <w:t xml:space="preserve">Operating Expenses. </w:t>
      </w:r>
      <w:r>
        <w:rPr>
          <w:rFonts w:ascii="Arial" w:cs="Arial" w:eastAsia="Arial" w:hAnsi="Arial"/>
          <w:sz w:val="11"/>
          <w:szCs w:val="11"/>
          <w:color w:val="auto"/>
        </w:rPr>
        <w:t>Operating expenses were $108.3 million for the three months ended June 30, 2020, an increase of $63.0 million, or 139%, as compared to $45.3 million for the three months ended June 30, 2019. The</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 was primarily due to additional stock-based compensation expense related to grants previously made by HSKB, modified in December 2019, and triggered by the IPO. Excluding stock-based compensation expenses, operating expenses were $59.1 million for the three months ended June 30, 2020, an increase of $19.1 million, or 48%, as compared to $40.0 million for the three months ended June 30, 2019. The increase was primarily due to:</w:t>
      </w:r>
    </w:p>
    <w:p>
      <w:pPr>
        <w:spacing w:after="0" w:line="69" w:lineRule="exact"/>
        <w:rPr>
          <w:sz w:val="20"/>
          <w:szCs w:val="20"/>
          <w:color w:val="auto"/>
        </w:rPr>
      </w:pPr>
    </w:p>
    <w:p>
      <w:pPr>
        <w:ind w:left="420" w:right="20" w:hanging="209"/>
        <w:spacing w:after="0" w:line="327" w:lineRule="auto"/>
        <w:tabs>
          <w:tab w:leader="none" w:pos="417" w:val="left"/>
        </w:tabs>
        <w:numPr>
          <w:ilvl w:val="0"/>
          <w:numId w:val="27"/>
        </w:numPr>
        <w:rPr>
          <w:rFonts w:ascii="Arial" w:cs="Arial" w:eastAsia="Arial" w:hAnsi="Arial"/>
          <w:sz w:val="11"/>
          <w:szCs w:val="11"/>
          <w:color w:val="auto"/>
        </w:rPr>
      </w:pPr>
      <w:r>
        <w:rPr>
          <w:rFonts w:ascii="Arial" w:cs="Arial" w:eastAsia="Arial" w:hAnsi="Arial"/>
          <w:sz w:val="11"/>
          <w:szCs w:val="11"/>
          <w:color w:val="auto"/>
        </w:rPr>
        <w:t>an increase in sales and marketing expense (excluding stock-based compensation) of $8.4 million, or 44%, to $27.5 million for the three months ended June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54" w:lineRule="exact"/>
        <w:rPr>
          <w:rFonts w:ascii="Arial" w:cs="Arial" w:eastAsia="Arial" w:hAnsi="Arial"/>
          <w:sz w:val="11"/>
          <w:szCs w:val="11"/>
          <w:color w:val="auto"/>
        </w:rPr>
      </w:pPr>
    </w:p>
    <w:p>
      <w:pPr>
        <w:ind w:left="420" w:right="20" w:hanging="209"/>
        <w:spacing w:after="0" w:line="280" w:lineRule="auto"/>
        <w:tabs>
          <w:tab w:leader="none" w:pos="417"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 increase in research and development expense (excluding stock-based compensation) of $1.6 million, or 25%, to $7.9 million for the three months ended June 30, 2020, due primarily to additional headcount and related salaries and benefits expenses added to support continued innovation of our services;</w:t>
      </w:r>
    </w:p>
    <w:p>
      <w:pPr>
        <w:spacing w:after="0" w:line="77" w:lineRule="exact"/>
        <w:rPr>
          <w:rFonts w:ascii="Arial" w:cs="Arial" w:eastAsia="Arial" w:hAnsi="Arial"/>
          <w:sz w:val="12"/>
          <w:szCs w:val="12"/>
          <w:color w:val="auto"/>
        </w:rPr>
      </w:pPr>
    </w:p>
    <w:p>
      <w:pPr>
        <w:jc w:val="both"/>
        <w:ind w:left="420" w:hanging="209"/>
        <w:spacing w:after="0" w:line="266" w:lineRule="auto"/>
        <w:tabs>
          <w:tab w:leader="none" w:pos="417"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 increase in general and administrative expense (excluding stock-based compensation) of $0.7 million, or 8%, to $9.5 million for the three months ended June 30, 2020, due primarily to additional headcount and related salaries and benefits expenses to support the larger organization, which were offset by a decrease in integration-related expenses in the three months ended June 30, 2019, which did not recur in the three months ended June 30, 2020;</w:t>
      </w:r>
    </w:p>
    <w:p>
      <w:pPr>
        <w:spacing w:after="0" w:line="85" w:lineRule="exact"/>
        <w:rPr>
          <w:rFonts w:ascii="Arial" w:cs="Arial" w:eastAsia="Arial" w:hAnsi="Arial"/>
          <w:sz w:val="12"/>
          <w:szCs w:val="12"/>
          <w:color w:val="auto"/>
        </w:rPr>
      </w:pPr>
    </w:p>
    <w:p>
      <w:pPr>
        <w:ind w:left="420" w:hanging="209"/>
        <w:spacing w:after="0" w:line="280" w:lineRule="auto"/>
        <w:tabs>
          <w:tab w:leader="none" w:pos="417"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 increase in restructuring and transaction-related expense of $8.3 million, or 692%, to $9.5 million for the three months ended June 30, 2020, due primarily to IPO related expenses in the current quarter, which was partially offset by the reduction of restructuring expenses in the three months ended June 30, 2019 related to integrating the Pre-Acquisition ZI business, which did not recur.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5" w:name="page66"/>
    <w:bookmarkEnd w:id="6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Interest Expense, Net</w:t>
      </w:r>
      <w:r>
        <w:rPr>
          <w:rFonts w:ascii="Arial" w:cs="Arial" w:eastAsia="Arial" w:hAnsi="Arial"/>
          <w:sz w:val="12"/>
          <w:szCs w:val="12"/>
          <w:color w:val="auto"/>
        </w:rPr>
        <w:t>. Interest expense, net was $25.1 million for the three months ended June 30, 2020, a decrease of $1.8 million, or 7%, as compared to $26.9 million for the three months ended June 30, 2019. The decrease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was primarily due to interest savings as a result of repayment of the second lien debt and $100.0 million first lien debt principal repayment, offset by nonrecurring interest expense recognized upon partial dedesignation of cash flow hedges resulting from reclassification from </w:t>
      </w:r>
      <w:r>
        <w:rPr>
          <w:rFonts w:ascii="Arial" w:cs="Arial" w:eastAsia="Arial" w:hAnsi="Arial"/>
          <w:sz w:val="12"/>
          <w:szCs w:val="12"/>
          <w:i w:val="1"/>
          <w:iCs w:val="1"/>
          <w:color w:val="auto"/>
        </w:rPr>
        <w:t>Accumulated other comprehensive income (loss)</w:t>
      </w:r>
      <w:r>
        <w:rPr>
          <w:rFonts w:ascii="Arial" w:cs="Arial" w:eastAsia="Arial" w:hAnsi="Arial"/>
          <w:sz w:val="12"/>
          <w:szCs w:val="12"/>
          <w:color w:val="auto"/>
        </w:rPr>
        <w:t>.</w:t>
      </w:r>
    </w:p>
    <w:p>
      <w:pPr>
        <w:spacing w:after="0" w:line="86" w:lineRule="exact"/>
        <w:rPr>
          <w:sz w:val="20"/>
          <w:szCs w:val="20"/>
          <w:color w:val="auto"/>
        </w:rPr>
      </w:pPr>
    </w:p>
    <w:p>
      <w:pPr>
        <w:jc w:val="both"/>
        <w:ind w:right="20" w:firstLine="218"/>
        <w:spacing w:after="0" w:line="327" w:lineRule="auto"/>
        <w:rPr>
          <w:sz w:val="20"/>
          <w:szCs w:val="20"/>
          <w:color w:val="auto"/>
        </w:rPr>
      </w:pPr>
      <w:r>
        <w:rPr>
          <w:rFonts w:ascii="Arial" w:cs="Arial" w:eastAsia="Arial" w:hAnsi="Arial"/>
          <w:sz w:val="11"/>
          <w:szCs w:val="11"/>
          <w:i w:val="1"/>
          <w:iCs w:val="1"/>
          <w:color w:val="auto"/>
        </w:rPr>
        <w:t>Loss on Debt Extinguishment</w:t>
      </w:r>
      <w:r>
        <w:rPr>
          <w:rFonts w:ascii="Arial" w:cs="Arial" w:eastAsia="Arial" w:hAnsi="Arial"/>
          <w:sz w:val="11"/>
          <w:szCs w:val="11"/>
          <w:color w:val="auto"/>
        </w:rPr>
        <w:t>. Loss on debt extinguishment was $12.7 million for the three months ended June 30, 2020, an increase of $12.7 million, as compared to $0.0 million for the three months ended June 30, 2019. The</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 represents prepayment penalties and derecognition of deferred and unamortized debt issuance costs resulting from the repayment of the second lien debt and $100.0 million first lien debt principal repayment.</w:t>
      </w:r>
    </w:p>
    <w:p>
      <w:pPr>
        <w:spacing w:after="0" w:line="55"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Benefit (expense) from Income Taxes</w:t>
      </w:r>
      <w:r>
        <w:rPr>
          <w:rFonts w:ascii="Arial" w:cs="Arial" w:eastAsia="Arial" w:hAnsi="Arial"/>
          <w:sz w:val="12"/>
          <w:szCs w:val="12"/>
          <w:color w:val="auto"/>
        </w:rPr>
        <w:t>. Benefit (expense) from income taxes was $(8.8) million for the three months ended June 30, 2020, a decrease of $10.2 million, or 729%, as compared to $1.4 million for the three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June 30, 2019. The decrease in the benefit from income taxes was primarily due to the company recording increased pre-tax book income adjusted for certain compensation expenses that will not have a corresponding deduction for tax.</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Six months ended June 30, 2020 and Six months ended June 30, 2019</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Revenue</w:t>
      </w:r>
      <w:r>
        <w:rPr>
          <w:rFonts w:ascii="Arial" w:cs="Arial" w:eastAsia="Arial" w:hAnsi="Arial"/>
          <w:sz w:val="12"/>
          <w:szCs w:val="12"/>
          <w:color w:val="auto"/>
        </w:rPr>
        <w:t>. Revenue was $213.1 million for the six months ended June 30, 2020, an increase of $90.0 million, or 73%, as compared to $123.1 for the six months ended June 30, 2019. This increase was primarily due to the addition</w:t>
      </w:r>
      <w:r>
        <w:rPr>
          <w:rFonts w:ascii="Arial" w:cs="Arial" w:eastAsia="Arial" w:hAnsi="Arial"/>
          <w:sz w:val="12"/>
          <w:szCs w:val="12"/>
          <w:i w:val="1"/>
          <w:iCs w:val="1"/>
          <w:color w:val="auto"/>
        </w:rPr>
        <w:t xml:space="preserve"> </w:t>
      </w:r>
      <w:r>
        <w:rPr>
          <w:rFonts w:ascii="Arial" w:cs="Arial" w:eastAsia="Arial" w:hAnsi="Arial"/>
          <w:sz w:val="12"/>
          <w:szCs w:val="12"/>
          <w:color w:val="auto"/>
        </w:rPr>
        <w:t>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 xml:space="preserve">Cost of Service. </w:t>
      </w:r>
      <w:r>
        <w:rPr>
          <w:rFonts w:ascii="Arial" w:cs="Arial" w:eastAsia="Arial" w:hAnsi="Arial"/>
          <w:sz w:val="12"/>
          <w:szCs w:val="12"/>
          <w:color w:val="auto"/>
        </w:rPr>
        <w:t>Cost of service was $54.2 million for the six months ended June 30, 2020, an increase of $21.9 million, or 68%, as compared to $32.3 million for the six months ended June 30, 2019. The increase was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due to additional stock-based compensation expense related to grants previously made by HSKB, modified in December 2019, and triggered by the IPO. Additional expenses related to additional headcount and hosting expense to support new and growing customers were largely offset by reductions in amortization of acquired technology.</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i w:val="1"/>
          <w:iCs w:val="1"/>
          <w:color w:val="auto"/>
        </w:rPr>
        <w:t xml:space="preserve">Operating Expenses. </w:t>
      </w:r>
      <w:r>
        <w:rPr>
          <w:rFonts w:ascii="Arial" w:cs="Arial" w:eastAsia="Arial" w:hAnsi="Arial"/>
          <w:sz w:val="11"/>
          <w:szCs w:val="11"/>
          <w:color w:val="auto"/>
        </w:rPr>
        <w:t>Operating expenses were $169.8 million for the six months ended June 30, 2020, an increase of $82.8 million, or 95%, as compared to $87.0 million for the six months ended June 30, 2019. The increase was</w:t>
      </w:r>
      <w:r>
        <w:rPr>
          <w:rFonts w:ascii="Arial" w:cs="Arial" w:eastAsia="Arial" w:hAnsi="Arial"/>
          <w:sz w:val="11"/>
          <w:szCs w:val="11"/>
          <w:i w:val="1"/>
          <w:iCs w:val="1"/>
          <w:color w:val="auto"/>
        </w:rPr>
        <w:t xml:space="preserve"> </w:t>
      </w:r>
      <w:r>
        <w:rPr>
          <w:rFonts w:ascii="Arial" w:cs="Arial" w:eastAsia="Arial" w:hAnsi="Arial"/>
          <w:sz w:val="11"/>
          <w:szCs w:val="11"/>
          <w:color w:val="auto"/>
        </w:rPr>
        <w:t>primarily due to additional stock-based compensation expense related to grants previously made by HSKB, modified in December 2019, and triggered by the IPO. Excluding stock-based compensation expenses, operating expenses were $111.0 million for the six months ended June 30, 2020, an increase of $33.7 million, or 44%, as compared to $77.3 million for the six months ended June 30, 2019. The increase was primarily due to:</w:t>
      </w:r>
    </w:p>
    <w:p>
      <w:pPr>
        <w:spacing w:after="0" w:line="69" w:lineRule="exact"/>
        <w:rPr>
          <w:sz w:val="20"/>
          <w:szCs w:val="20"/>
          <w:color w:val="auto"/>
        </w:rPr>
      </w:pPr>
    </w:p>
    <w:p>
      <w:pPr>
        <w:ind w:left="420" w:hanging="209"/>
        <w:spacing w:after="0" w:line="327" w:lineRule="auto"/>
        <w:tabs>
          <w:tab w:leader="none" w:pos="417" w:val="left"/>
        </w:tabs>
        <w:numPr>
          <w:ilvl w:val="0"/>
          <w:numId w:val="28"/>
        </w:numPr>
        <w:rPr>
          <w:rFonts w:ascii="Arial" w:cs="Arial" w:eastAsia="Arial" w:hAnsi="Arial"/>
          <w:sz w:val="11"/>
          <w:szCs w:val="11"/>
          <w:color w:val="auto"/>
        </w:rPr>
      </w:pPr>
      <w:r>
        <w:rPr>
          <w:rFonts w:ascii="Arial" w:cs="Arial" w:eastAsia="Arial" w:hAnsi="Arial"/>
          <w:sz w:val="11"/>
          <w:szCs w:val="11"/>
          <w:color w:val="auto"/>
        </w:rPr>
        <w:t>an increase in sales and marketing expense (excluding stock-based compensation) of $20.5 million, or 59%, to $55.2 million for the six months ended June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54" w:lineRule="exact"/>
        <w:rPr>
          <w:rFonts w:ascii="Arial" w:cs="Arial" w:eastAsia="Arial" w:hAnsi="Arial"/>
          <w:sz w:val="11"/>
          <w:szCs w:val="11"/>
          <w:color w:val="auto"/>
        </w:rPr>
      </w:pPr>
    </w:p>
    <w:p>
      <w:pPr>
        <w:ind w:left="420" w:hanging="209"/>
        <w:spacing w:after="0" w:line="280"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 increase in research and development expense (excluding stock-based compensation) of $5.0 million, or 45%, to $16.2 million for the six months ended June 30, 2020, due primarily to additional engineering and product management resources added to support continued innovation of our services;</w:t>
      </w:r>
    </w:p>
    <w:p>
      <w:pPr>
        <w:spacing w:after="0" w:line="77" w:lineRule="exact"/>
        <w:rPr>
          <w:rFonts w:ascii="Arial" w:cs="Arial" w:eastAsia="Arial" w:hAnsi="Arial"/>
          <w:sz w:val="12"/>
          <w:szCs w:val="12"/>
          <w:color w:val="auto"/>
        </w:rPr>
      </w:pPr>
    </w:p>
    <w:p>
      <w:pPr>
        <w:jc w:val="both"/>
        <w:ind w:left="420" w:hanging="209"/>
        <w:spacing w:after="0" w:line="266"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 increase in general and administrative expense (excluding stock-based compensation) of $3.8 million, or 27%, to $17.9 million for the six months ended June 30, 2020, due primarily to additional headcount and related salaries and benefits expenses to support the larger organization, which were offset by a decrease in integration-related expenses in the six months ended June 30, 2019, which did not recur in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6" w:name="page67"/>
    <w:bookmarkEnd w:id="6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line="280"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 increase in amortization of acquired intangibles expense of $1.0 million, or 12%, to $9.3 million for the six months ended June 30, 2020, due to amortization expense related to intangible assets acquired in the Zoom Information Acquisition during the full period for the current year; and</w:t>
      </w:r>
    </w:p>
    <w:p>
      <w:pPr>
        <w:spacing w:after="0" w:line="77" w:lineRule="exact"/>
        <w:rPr>
          <w:rFonts w:ascii="Arial" w:cs="Arial" w:eastAsia="Arial" w:hAnsi="Arial"/>
          <w:sz w:val="12"/>
          <w:szCs w:val="12"/>
          <w:color w:val="auto"/>
        </w:rPr>
      </w:pPr>
    </w:p>
    <w:p>
      <w:pPr>
        <w:ind w:left="420" w:right="20" w:hanging="209"/>
        <w:spacing w:after="0" w:line="280" w:lineRule="auto"/>
        <w:tabs>
          <w:tab w:leader="none" w:pos="417" w:val="left"/>
        </w:tabs>
        <w:numPr>
          <w:ilvl w:val="0"/>
          <w:numId w:val="29"/>
        </w:numPr>
        <w:rPr>
          <w:rFonts w:ascii="Arial" w:cs="Arial" w:eastAsia="Arial" w:hAnsi="Arial"/>
          <w:sz w:val="12"/>
          <w:szCs w:val="12"/>
          <w:i w:val="1"/>
          <w:iCs w:val="1"/>
          <w:color w:val="auto"/>
        </w:rPr>
      </w:pPr>
      <w:r>
        <w:rPr>
          <w:rFonts w:ascii="Arial" w:cs="Arial" w:eastAsia="Arial" w:hAnsi="Arial"/>
          <w:sz w:val="12"/>
          <w:szCs w:val="12"/>
          <w:color w:val="auto"/>
        </w:rPr>
        <w:t>restructuring and transaction-related expense of $12.4 million for the six months ended June 30, 2020, due primarily to expenses related to the IPO. This represented an increase of $3.4 million, or 38%, as compared to expense of $9.0 million for the six months ended June 30, 2019, related to acquisition of Pre-Acquisition ZI.</w:t>
      </w:r>
    </w:p>
    <w:p>
      <w:pPr>
        <w:spacing w:after="0" w:line="77"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Interest Expense, Net</w:t>
      </w:r>
      <w:r>
        <w:rPr>
          <w:rFonts w:ascii="Arial" w:cs="Arial" w:eastAsia="Arial" w:hAnsi="Arial"/>
          <w:sz w:val="12"/>
          <w:szCs w:val="12"/>
          <w:color w:val="auto"/>
        </w:rPr>
        <w:t>. Interest expense, net was $49.6 million for the six months ended June 30, 2020, a decrease of $0.8 million, or 2%, as compared to $50.4 million for the six months ended June 30, 2019. The decrease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primarily due to interest savings as a result of the repayment of our second lien debt in full and $100.0 million of first lien debt, offset by nonrecurring interest expense recognized upon partial dedesignation of cash flow hedges resulting from reclassification from </w:t>
      </w:r>
      <w:r>
        <w:rPr>
          <w:rFonts w:ascii="Arial" w:cs="Arial" w:eastAsia="Arial" w:hAnsi="Arial"/>
          <w:sz w:val="12"/>
          <w:szCs w:val="12"/>
          <w:i w:val="1"/>
          <w:iCs w:val="1"/>
          <w:color w:val="auto"/>
        </w:rPr>
        <w:t>Accumulated other comprehensive income (loss)</w:t>
      </w:r>
      <w:r>
        <w:rPr>
          <w:rFonts w:ascii="Arial" w:cs="Arial" w:eastAsia="Arial" w:hAnsi="Arial"/>
          <w:sz w:val="12"/>
          <w:szCs w:val="12"/>
          <w:color w:val="auto"/>
        </w:rPr>
        <w:t>.</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i w:val="1"/>
          <w:iCs w:val="1"/>
          <w:color w:val="auto"/>
        </w:rPr>
        <w:t>Loss on Debt Extinguishment</w:t>
      </w:r>
      <w:r>
        <w:rPr>
          <w:rFonts w:ascii="Arial" w:cs="Arial" w:eastAsia="Arial" w:hAnsi="Arial"/>
          <w:sz w:val="12"/>
          <w:szCs w:val="12"/>
          <w:color w:val="auto"/>
        </w:rPr>
        <w:t>. Loss on debt extinguishment was $14.9 million for the six months ended June 30, 2020, related to penalties and derecognition of deferred and unamortized debt issuance costs resulting from the</w:t>
      </w:r>
      <w:r>
        <w:rPr>
          <w:rFonts w:ascii="Arial" w:cs="Arial" w:eastAsia="Arial" w:hAnsi="Arial"/>
          <w:sz w:val="12"/>
          <w:szCs w:val="12"/>
          <w:i w:val="1"/>
          <w:iCs w:val="1"/>
          <w:color w:val="auto"/>
        </w:rPr>
        <w:t xml:space="preserve"> </w:t>
      </w:r>
      <w:r>
        <w:rPr>
          <w:rFonts w:ascii="Arial" w:cs="Arial" w:eastAsia="Arial" w:hAnsi="Arial"/>
          <w:sz w:val="12"/>
          <w:szCs w:val="12"/>
          <w:color w:val="auto"/>
        </w:rPr>
        <w:t>repayment of the second lien debt and $100.0 million first lien debt principal repayment after the IPO. This represented a decrease of $3.3 million, or 18%, as compared to expense of $18.2 million for the six months ended June 30, 2019, related to costs incurred with respect to prior debt instruments that were repaid in conjunction with the acquisition of Pre-Acquisition ZI in February 2019.</w:t>
      </w:r>
    </w:p>
    <w:p>
      <w:pPr>
        <w:spacing w:after="0" w:line="86" w:lineRule="exact"/>
        <w:rPr>
          <w:sz w:val="20"/>
          <w:szCs w:val="20"/>
          <w:color w:val="auto"/>
        </w:rPr>
      </w:pPr>
    </w:p>
    <w:p>
      <w:pPr>
        <w:jc w:val="both"/>
        <w:ind w:right="20" w:firstLine="218"/>
        <w:spacing w:after="0" w:line="384" w:lineRule="auto"/>
        <w:rPr>
          <w:sz w:val="20"/>
          <w:szCs w:val="20"/>
          <w:color w:val="auto"/>
        </w:rPr>
      </w:pPr>
      <w:r>
        <w:rPr>
          <w:rFonts w:ascii="Arial" w:cs="Arial" w:eastAsia="Arial" w:hAnsi="Arial"/>
          <w:sz w:val="10"/>
          <w:szCs w:val="10"/>
          <w:i w:val="1"/>
          <w:iCs w:val="1"/>
          <w:color w:val="auto"/>
        </w:rPr>
        <w:t xml:space="preserve">Benefit (expense) from Income Tax. </w:t>
      </w:r>
      <w:r>
        <w:rPr>
          <w:rFonts w:ascii="Arial" w:cs="Arial" w:eastAsia="Arial" w:hAnsi="Arial"/>
          <w:sz w:val="10"/>
          <w:szCs w:val="10"/>
          <w:color w:val="auto"/>
        </w:rPr>
        <w:t>Income tax expense was $8.4 million for the six months ended June 30, 2020, a decrease of $13.1 million, or 278%, as compared to $4.7 million of income tax benefit for the six months ended</w:t>
      </w:r>
      <w:r>
        <w:rPr>
          <w:rFonts w:ascii="Arial" w:cs="Arial" w:eastAsia="Arial" w:hAnsi="Arial"/>
          <w:sz w:val="10"/>
          <w:szCs w:val="10"/>
          <w:i w:val="1"/>
          <w:iCs w:val="1"/>
          <w:color w:val="auto"/>
        </w:rPr>
        <w:t xml:space="preserve"> </w:t>
      </w:r>
      <w:r>
        <w:rPr>
          <w:rFonts w:ascii="Arial" w:cs="Arial" w:eastAsia="Arial" w:hAnsi="Arial"/>
          <w:sz w:val="10"/>
          <w:szCs w:val="10"/>
          <w:color w:val="auto"/>
        </w:rPr>
        <w:t>June 30, 2019. The decrease in the income tax benefit was primarily due to the company recording increased pre-tax book income adjusted for certain compensation expenses that will not have a corresponding deduction for tax.</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As of June 30, 2020, we had $259.1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77" w:lineRule="exact"/>
        <w:rPr>
          <w:sz w:val="20"/>
          <w:szCs w:val="20"/>
          <w:color w:val="auto"/>
        </w:rPr>
      </w:pPr>
    </w:p>
    <w:p>
      <w:pPr>
        <w:jc w:val="both"/>
        <w:ind w:right="20" w:firstLine="218"/>
        <w:spacing w:after="0" w:line="327" w:lineRule="auto"/>
        <w:rPr>
          <w:sz w:val="20"/>
          <w:szCs w:val="20"/>
          <w:color w:val="auto"/>
        </w:rPr>
      </w:pPr>
      <w:r>
        <w:rPr>
          <w:rFonts w:ascii="Arial" w:cs="Arial" w:eastAsia="Arial" w:hAnsi="Arial"/>
          <w:sz w:val="11"/>
          <w:szCs w:val="11"/>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55"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June 30, 2020, we had unearned revenue of $172.1 million, of which $171.0 million was recorded as a current liability and is expected to be recorded as revenue in the next 12 months, provided all other revenue recognition criteria have been met.</w:t>
      </w:r>
    </w:p>
    <w:p>
      <w:pPr>
        <w:spacing w:after="0" w:line="9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7" w:name="page68"/>
    <w:bookmarkEnd w:id="6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 in Part II, Item 1A of this Form 10-Q/A.</w:t>
      </w:r>
    </w:p>
    <w:p>
      <w:pPr>
        <w:spacing w:after="0" w:line="78"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II, Item 1A of this Form 10-Q/A.</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Historical Cash Flows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our cash flows for the periods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0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Borders>
              <w:bottom w:val="single" w:sz="8" w:color="auto"/>
            </w:tcBorders>
          </w:tcPr>
          <w:p>
            <w:pPr>
              <w:spacing w:after="0"/>
              <w:rPr>
                <w:sz w:val="11"/>
                <w:szCs w:val="11"/>
                <w:color w:val="auto"/>
              </w:rPr>
            </w:pPr>
          </w:p>
        </w:tc>
      </w:tr>
      <w:tr>
        <w:trPr>
          <w:trHeight w:val="134"/>
        </w:trPr>
        <w:tc>
          <w:tcPr>
            <w:tcW w:w="80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2019</w:t>
            </w:r>
          </w:p>
        </w:tc>
      </w:tr>
      <w:tr>
        <w:trPr>
          <w:trHeight w:val="179"/>
        </w:trPr>
        <w:tc>
          <w:tcPr>
            <w:tcW w:w="80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53.6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r>
      <w:tr>
        <w:trPr>
          <w:trHeight w:val="172"/>
        </w:trPr>
        <w:tc>
          <w:tcPr>
            <w:tcW w:w="804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(721.1)</w:t>
            </w:r>
          </w:p>
        </w:tc>
      </w:tr>
      <w:tr>
        <w:trPr>
          <w:trHeight w:val="182"/>
        </w:trPr>
        <w:tc>
          <w:tcPr>
            <w:tcW w:w="80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172.3</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733.3</w:t>
            </w:r>
          </w:p>
        </w:tc>
      </w:tr>
      <w:tr>
        <w:trPr>
          <w:trHeight w:val="180"/>
        </w:trPr>
        <w:tc>
          <w:tcPr>
            <w:tcW w:w="804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38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217.7</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(used in) Operating Activities</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Net cash provided by operations was $53.6 million for the six months ended June 30, 2020 as a result of a net loss of $83.8 million, adjusted by non-cash charges of $134.3 million and the change in our operating assets net of operating liabilities of $3.1 million. The non-cash charges are primarily comprised of depreciation and amortization of $24.5 million, equity-based compensation of $75.8 million, loss on early extinguishment of debt of $14.9 million, amortization of deferred commission costs of $11.1 million, and a decrease in deferred tax assets net of deferred tax liabilities of $3.2 million. The change in operating assets net of operating liabilities was primarily the result of an increase in unearned revenue of $12.9 million and an increase in accrued expenses and other liabilities of $3.4 million, partially offset by an increase in deferred costs and other assets of $14.5 million.</w:t>
      </w:r>
    </w:p>
    <w:p>
      <w:pPr>
        <w:spacing w:after="0" w:line="74" w:lineRule="exact"/>
        <w:rPr>
          <w:sz w:val="20"/>
          <w:szCs w:val="20"/>
          <w:color w:val="auto"/>
        </w:rPr>
      </w:pPr>
    </w:p>
    <w:p>
      <w:pPr>
        <w:jc w:val="both"/>
        <w:ind w:right="20" w:firstLine="218"/>
        <w:spacing w:after="0" w:line="261" w:lineRule="auto"/>
        <w:rPr>
          <w:sz w:val="20"/>
          <w:szCs w:val="20"/>
          <w:color w:val="auto"/>
        </w:rPr>
      </w:pPr>
      <w:r>
        <w:rPr>
          <w:rFonts w:ascii="Arial" w:cs="Arial" w:eastAsia="Arial" w:hAnsi="Arial"/>
          <w:sz w:val="12"/>
          <w:szCs w:val="12"/>
          <w:color w:val="auto"/>
        </w:rPr>
        <w:t>Net cash provided by operations was $8.9 million for the six months ended June 30, 2019 as a result of a net loss of $60.1 million, adjusted by non-cash charges of $43.5 million and the change in our operating assets net of operating liabilities of $25.5 million. The non-cash charges are primarily comprised of depreciation and amortization of $23.7 million, equity-based compensation of $11.6 million, loss on early extinguishment of debt of $9.4 million, amortization of deferred commission costs of $2.1 million, offset by an increase in deferred tax assets net of deferred tax liabilities of $6.7 million. The change in operating assets net of operating liabilities was primarily the result of 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8" w:name="page69"/>
    <w:bookmarkEnd w:id="68"/>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
        <w:spacing w:after="0"/>
        <w:rPr>
          <w:sz w:val="20"/>
          <w:szCs w:val="20"/>
          <w:color w:val="auto"/>
        </w:rPr>
      </w:pPr>
      <w:r>
        <w:rPr>
          <w:rFonts w:ascii="Arial" w:cs="Arial" w:eastAsia="Arial" w:hAnsi="Arial"/>
          <w:sz w:val="12"/>
          <w:szCs w:val="12"/>
          <w:color w:val="auto"/>
        </w:rPr>
        <w:t>increase in unearned revenue of $43.3 million and an increase in accrued expenses and other liabilities of $1.9 million, partially offset by an increase in deferred costs and other assets of $9.0 million.</w:t>
      </w:r>
    </w:p>
    <w:p>
      <w:pPr>
        <w:spacing w:after="0" w:line="116" w:lineRule="exact"/>
        <w:rPr>
          <w:sz w:val="20"/>
          <w:szCs w:val="20"/>
          <w:color w:val="auto"/>
        </w:rPr>
      </w:pPr>
    </w:p>
    <w:p>
      <w:pPr>
        <w:jc w:val="both"/>
        <w:ind w:left="7" w:right="20" w:firstLine="218"/>
        <w:spacing w:after="0" w:line="266" w:lineRule="auto"/>
        <w:rPr>
          <w:sz w:val="20"/>
          <w:szCs w:val="20"/>
          <w:color w:val="auto"/>
        </w:rPr>
      </w:pPr>
      <w:r>
        <w:rPr>
          <w:rFonts w:ascii="Arial" w:cs="Arial" w:eastAsia="Arial" w:hAnsi="Arial"/>
          <w:sz w:val="12"/>
          <w:szCs w:val="12"/>
          <w:color w:val="auto"/>
        </w:rPr>
        <w:t>Restructuring and transaction-related cash costs for the six months ended June 30,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six months ended June 30, 2020, and 2019, we incurred the following cash expenditures:</w:t>
      </w:r>
    </w:p>
    <w:p>
      <w:pPr>
        <w:spacing w:after="0" w:line="344" w:lineRule="exact"/>
        <w:rPr>
          <w:sz w:val="20"/>
          <w:szCs w:val="20"/>
          <w:color w:val="auto"/>
        </w:rPr>
      </w:pPr>
    </w:p>
    <w:tbl>
      <w:tblPr>
        <w:tblLayout w:type="fixed"/>
        <w:tblInd w:w="7" w:type="dxa"/>
        <w:tblCellMar>
          <w:top w:w="0" w:type="dxa"/>
          <w:left w:w="0" w:type="dxa"/>
          <w:bottom w:w="0" w:type="dxa"/>
          <w:right w:w="0" w:type="dxa"/>
        </w:tblCellMar>
      </w:tblPr>
      <w:tr>
        <w:trPr>
          <w:trHeight w:val="133"/>
        </w:trPr>
        <w:tc>
          <w:tcPr>
            <w:tcW w:w="8040" w:type="dxa"/>
            <w:vAlign w:val="bottom"/>
          </w:tcPr>
          <w:p>
            <w:pPr>
              <w:spacing w:after="0"/>
              <w:rPr>
                <w:sz w:val="11"/>
                <w:szCs w:val="11"/>
                <w:color w:val="auto"/>
              </w:rPr>
            </w:pPr>
          </w:p>
        </w:tc>
        <w:tc>
          <w:tcPr>
            <w:tcW w:w="226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w w:val="91"/>
              </w:rPr>
              <w:t>Six Months Ended June 30,</w:t>
            </w:r>
          </w:p>
        </w:tc>
        <w:tc>
          <w:tcPr>
            <w:tcW w:w="960" w:type="dxa"/>
            <w:vAlign w:val="bottom"/>
            <w:tcBorders>
              <w:bottom w:val="single" w:sz="8" w:color="auto"/>
            </w:tcBorders>
          </w:tcPr>
          <w:p>
            <w:pPr>
              <w:spacing w:after="0"/>
              <w:rPr>
                <w:sz w:val="11"/>
                <w:szCs w:val="11"/>
                <w:color w:val="auto"/>
              </w:rPr>
            </w:pPr>
          </w:p>
        </w:tc>
      </w:tr>
      <w:tr>
        <w:trPr>
          <w:trHeight w:val="134"/>
        </w:trPr>
        <w:tc>
          <w:tcPr>
            <w:tcW w:w="804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158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2019</w:t>
            </w:r>
          </w:p>
        </w:tc>
      </w:tr>
      <w:tr>
        <w:trPr>
          <w:trHeight w:val="179"/>
        </w:trPr>
        <w:tc>
          <w:tcPr>
            <w:tcW w:w="8040" w:type="dxa"/>
            <w:vAlign w:val="bottom"/>
            <w:shd w:val="clear" w:color="auto" w:fill="CCEEFF"/>
          </w:tcPr>
          <w:p>
            <w:pPr>
              <w:spacing w:after="0"/>
              <w:rPr>
                <w:sz w:val="20"/>
                <w:szCs w:val="20"/>
                <w:color w:val="auto"/>
              </w:rPr>
            </w:pPr>
            <w:r>
              <w:rPr>
                <w:rFonts w:ascii="Arial" w:cs="Arial" w:eastAsia="Arial" w:hAnsi="Arial"/>
                <w:sz w:val="12"/>
                <w:szCs w:val="12"/>
                <w:color w:val="auto"/>
              </w:rPr>
              <w:t>Cash interest expense</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47.1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w:t>
            </w:r>
          </w:p>
        </w:tc>
      </w:tr>
      <w:tr>
        <w:trPr>
          <w:trHeight w:val="182"/>
        </w:trPr>
        <w:tc>
          <w:tcPr>
            <w:tcW w:w="8040" w:type="dxa"/>
            <w:vAlign w:val="bottom"/>
          </w:tcPr>
          <w:p>
            <w:pPr>
              <w:spacing w:after="0"/>
              <w:rPr>
                <w:sz w:val="20"/>
                <w:szCs w:val="20"/>
                <w:color w:val="auto"/>
              </w:rPr>
            </w:pPr>
            <w:r>
              <w:rPr>
                <w:rFonts w:ascii="Arial" w:cs="Arial" w:eastAsia="Arial" w:hAnsi="Arial"/>
                <w:sz w:val="12"/>
                <w:szCs w:val="12"/>
                <w:color w:val="auto"/>
              </w:rPr>
              <w:t>Restructuring and transaction-related expenses paid in cash</w:t>
            </w:r>
            <w:r>
              <w:rPr>
                <w:rFonts w:ascii="Arial" w:cs="Arial" w:eastAsia="Arial" w:hAnsi="Arial"/>
                <w:sz w:val="15"/>
                <w:szCs w:val="15"/>
                <w:color w:val="auto"/>
                <w:vertAlign w:val="superscript"/>
              </w:rPr>
              <w:t>(a)</w:t>
            </w:r>
          </w:p>
        </w:tc>
        <w:tc>
          <w:tcPr>
            <w:tcW w:w="1580" w:type="dxa"/>
            <w:vAlign w:val="bottom"/>
          </w:tcPr>
          <w:p>
            <w:pPr>
              <w:jc w:val="right"/>
              <w:ind w:right="4"/>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82"/>
        </w:trPr>
        <w:tc>
          <w:tcPr>
            <w:tcW w:w="8040" w:type="dxa"/>
            <w:vAlign w:val="bottom"/>
            <w:shd w:val="clear" w:color="auto" w:fill="CCEEFF"/>
          </w:tcPr>
          <w:p>
            <w:pPr>
              <w:spacing w:after="0"/>
              <w:rPr>
                <w:sz w:val="20"/>
                <w:szCs w:val="20"/>
                <w:color w:val="auto"/>
              </w:rPr>
            </w:pPr>
            <w:r>
              <w:rPr>
                <w:rFonts w:ascii="Arial" w:cs="Arial" w:eastAsia="Arial" w:hAnsi="Arial"/>
                <w:sz w:val="12"/>
                <w:szCs w:val="12"/>
                <w:color w:val="auto"/>
              </w:rPr>
              <w:t>Integration costs and acquisition-related compensation paid in cash</w:t>
            </w:r>
            <w:r>
              <w:rPr>
                <w:rFonts w:ascii="Arial" w:cs="Arial" w:eastAsia="Arial" w:hAnsi="Arial"/>
                <w:sz w:val="15"/>
                <w:szCs w:val="15"/>
                <w:color w:val="auto"/>
                <w:vertAlign w:val="superscript"/>
              </w:rPr>
              <w:t>(b)</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r>
    </w:tbl>
    <w:p>
      <w:pPr>
        <w:spacing w:after="0" w:line="105" w:lineRule="exact"/>
        <w:rPr>
          <w:sz w:val="20"/>
          <w:szCs w:val="20"/>
          <w:color w:val="auto"/>
        </w:rPr>
      </w:pPr>
    </w:p>
    <w:p>
      <w:pPr>
        <w:jc w:val="both"/>
        <w:ind w:left="227" w:hanging="227"/>
        <w:spacing w:after="0" w:line="232" w:lineRule="auto"/>
        <w:tabs>
          <w:tab w:leader="none" w:pos="226" w:val="left"/>
        </w:tabs>
        <w:numPr>
          <w:ilvl w:val="0"/>
          <w:numId w:val="30"/>
        </w:numPr>
        <w:rPr>
          <w:rFonts w:ascii="Arial" w:cs="Arial" w:eastAsia="Arial" w:hAnsi="Arial"/>
          <w:sz w:val="10"/>
          <w:szCs w:val="10"/>
          <w:color w:val="auto"/>
        </w:rPr>
      </w:pPr>
      <w:r>
        <w:rPr>
          <w:rFonts w:ascii="Arial" w:cs="Arial" w:eastAsia="Arial" w:hAnsi="Arial"/>
          <w:sz w:val="10"/>
          <w:szCs w:val="10"/>
          <w:color w:val="auto"/>
        </w:rPr>
        <w:t>Represents cash payments directly associated with acquisition or disposal activities, including employee severance and termination benefits, contract termination fees and penalties, and other exit or disposal costs. For the six months ended June 30, 2020, these payments related primarily to the IPO, including professional fees, severance and acceleration of payments for terminated employees, and deferred consideration. For the six months ended June 30, 2019, these payments related primarily to the acquisition of Pre-Acquisition ZI, including professional fees, severance, and acceleration of payments for terminated employees.</w:t>
      </w:r>
    </w:p>
    <w:p>
      <w:pPr>
        <w:spacing w:after="0" w:line="1" w:lineRule="exact"/>
        <w:rPr>
          <w:rFonts w:ascii="Arial" w:cs="Arial" w:eastAsia="Arial" w:hAnsi="Arial"/>
          <w:sz w:val="10"/>
          <w:szCs w:val="10"/>
          <w:color w:val="auto"/>
        </w:rPr>
      </w:pPr>
    </w:p>
    <w:p>
      <w:pPr>
        <w:jc w:val="both"/>
        <w:ind w:left="227" w:hanging="227"/>
        <w:spacing w:after="0" w:line="231" w:lineRule="auto"/>
        <w:tabs>
          <w:tab w:leader="none" w:pos="222" w:val="left"/>
        </w:tabs>
        <w:numPr>
          <w:ilvl w:val="0"/>
          <w:numId w:val="30"/>
        </w:numPr>
        <w:rPr>
          <w:rFonts w:ascii="Arial" w:cs="Arial" w:eastAsia="Arial" w:hAnsi="Arial"/>
          <w:sz w:val="10"/>
          <w:szCs w:val="10"/>
          <w:color w:val="auto"/>
        </w:rPr>
      </w:pPr>
      <w:r>
        <w:rPr>
          <w:rFonts w:ascii="Arial" w:cs="Arial" w:eastAsia="Arial" w:hAnsi="Arial"/>
          <w:sz w:val="10"/>
          <w:szCs w:val="10"/>
          <w:color w:val="auto"/>
        </w:rPr>
        <w:t>Represents cash payments directly associated with integration activities for acquisitions and acquisition-related compensation, which includes transaction bonuses and retention awards. For the six months ended June 30, 2020, these payments related primarily to cash vesting payments from the acquisition of Pre-Acquisition ZI. For the six months ended June 30, 2019, these payments related primarily to activities resulting from the acquisition of Pre-Acquisition ZI, including cash vesting payments and transaction bonuses, as well as payments of retention awards granted upon the Company’s acquisition of RainKing.</w:t>
      </w:r>
    </w:p>
    <w:p>
      <w:pPr>
        <w:spacing w:after="0" w:line="99" w:lineRule="exact"/>
        <w:rPr>
          <w:sz w:val="20"/>
          <w:szCs w:val="20"/>
          <w:color w:val="auto"/>
        </w:rPr>
      </w:pPr>
    </w:p>
    <w:p>
      <w:pPr>
        <w:jc w:val="both"/>
        <w:ind w:left="7" w:firstLine="218"/>
        <w:spacing w:after="0" w:line="261" w:lineRule="auto"/>
        <w:rPr>
          <w:sz w:val="20"/>
          <w:szCs w:val="20"/>
          <w:color w:val="auto"/>
        </w:rPr>
      </w:pPr>
      <w:r>
        <w:rPr>
          <w:rFonts w:ascii="Arial" w:cs="Arial" w:eastAsia="Arial" w:hAnsi="Arial"/>
          <w:sz w:val="12"/>
          <w:szCs w:val="12"/>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Cash Flows from (used in) Investing Activities</w:t>
      </w:r>
    </w:p>
    <w:p>
      <w:pPr>
        <w:spacing w:after="0" w:line="11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Cash used in investing activities for the six months ended June 30, 2020 was $8.2 million, consisting of purchases of property and equipment and other assets.</w:t>
      </w:r>
    </w:p>
    <w:p>
      <w:pPr>
        <w:spacing w:after="0" w:line="116"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Cash used in investing activities for the six months ended June 30, 2019 was $721.1 million, consisting of cash payments for the acquisition of Pre-Acquisition ZI of $714.9 million and purchases of property and equipment and other assets of $6.2 million.</w:t>
      </w:r>
    </w:p>
    <w:p>
      <w:pPr>
        <w:spacing w:after="0" w:line="77"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As we continue to grow and invest in our business, we expect to continue to invest in property and equipment and opportunistically pursue acquisitions.</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Cash Flows from (used in) Financing Activities</w:t>
      </w:r>
    </w:p>
    <w:p>
      <w:pPr>
        <w:spacing w:after="0" w:line="116" w:lineRule="exact"/>
        <w:rPr>
          <w:sz w:val="20"/>
          <w:szCs w:val="20"/>
          <w:color w:val="auto"/>
        </w:rPr>
      </w:pPr>
    </w:p>
    <w:p>
      <w:pPr>
        <w:jc w:val="both"/>
        <w:ind w:left="7" w:firstLine="218"/>
        <w:spacing w:after="0" w:line="266" w:lineRule="auto"/>
        <w:rPr>
          <w:sz w:val="20"/>
          <w:szCs w:val="20"/>
          <w:color w:val="auto"/>
        </w:rPr>
      </w:pPr>
      <w:r>
        <w:rPr>
          <w:rFonts w:ascii="Arial" w:cs="Arial" w:eastAsia="Arial" w:hAnsi="Arial"/>
          <w:sz w:val="12"/>
          <w:szCs w:val="12"/>
          <w:color w:val="auto"/>
        </w:rPr>
        <w:t>Cash provided from financing activities for the six months ended June 30, 2020 was $172.3 million, consisting of the IPO proceeds, net of underwriter discount, of $1,019.6 million, partially offset by the redemption of Series A Preferred Units of $274.2 million, payments on long-term debt of $510.9 million, purchase of OpCo Units from Pre-IPO Unitholders for $47.2 million, payments of deferred consideration of $24.0 million, the payment of debt issuance costs of $7.2 million, and distributions to equity partners of $6.8 million.</w:t>
      </w:r>
    </w:p>
    <w:p>
      <w:pPr>
        <w:spacing w:after="0" w:line="86" w:lineRule="exact"/>
        <w:rPr>
          <w:sz w:val="20"/>
          <w:szCs w:val="20"/>
          <w:color w:val="auto"/>
        </w:rPr>
      </w:pPr>
    </w:p>
    <w:p>
      <w:pPr>
        <w:jc w:val="both"/>
        <w:ind w:left="7" w:firstLine="218"/>
        <w:spacing w:after="0" w:line="280" w:lineRule="auto"/>
        <w:rPr>
          <w:sz w:val="20"/>
          <w:szCs w:val="20"/>
          <w:color w:val="auto"/>
        </w:rPr>
      </w:pPr>
      <w:r>
        <w:rPr>
          <w:rFonts w:ascii="Arial" w:cs="Arial" w:eastAsia="Arial" w:hAnsi="Arial"/>
          <w:sz w:val="12"/>
          <w:szCs w:val="12"/>
          <w:color w:val="auto"/>
        </w:rPr>
        <w:t>Cash provided from financing activities for the six months ended June 30, 2019 was $733.3 million, consisting of the proceeds from long-term debt of $1,220.8 million, and equity offering, net of transaction costs of $200.2 million, partially offset by the payments on long-term debt of $645.4 million.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69" w:name="page70"/>
    <w:bookmarkEnd w:id="6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Refer to Note 7 of our consolidated financial statements for additional information related to each of our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Obligations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The Company’s total financing contractual obligations were reduced by $505.0 million during the three months ended June 30, 2020. The Company used the proceeds from the IPO consummated during the second quarter of 2020 to prepay $100.0 million aggregate principal amount of the first lien term loans outstanding under the First Lien Credit Agreement, prepay the full aggregate principal balance of the second lien term loans outstanding under the Second Lien Credit agreement of $370.0 million, and repay the outstanding $35.0 million balance of the revolving credit facility. The prepayment against the first lien term loans satisfied the requirements to make quarterly principal payments through the facility’s maturity date. As of June 30, 2020, the aggregate remaining balance of $756.4 million of first lien term loans is due, in its entirety, at the contractual maturity date of February 1, 2026, which represents the only existing required future debt principal repayment obligations that will require future uses of the Company’s cash.</w:t>
      </w:r>
    </w:p>
    <w:p>
      <w:pPr>
        <w:spacing w:after="0" w:line="91"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The Company’s first lien term loans bear interest at a rate equal to, at our option, either (a) LIBOR (not less than 0%) plus 3.75% per annum or (b) 2.75% per annum plus the highest of (i) the Federal Funds Rate plus 0.5% , (ii) the Prime Rate or (iii) one-month LIBOR plus 1.0% . The interest rate margins above reflect reductions of 0.25% following the IPO. Should the Company draw down on the $100 million of available credit on the revolving credit facility, the outstanding balance would bear interest at a rate equal to, at our option, either (a) LIBOR (not less than 0%) plus 3.5% per annum or (b) 2.5% per annum plus the highest of (i) the Federal Funds Rate plus 0.5% , (ii) the Prime Rate or (iii) one-month LIBOR plus 1.0%. The interest rate margins above reflect reductions of 0.25% following the IPO and an additional 0.25% due to our achievement of certain leverage criteria. The revolving credit facility is subject to customary fees for loan facilities of this type, including a commitment fee of 0.125%, reflecting 0.375% reductions due to our achievement of certain leverage criteria</w:t>
      </w:r>
    </w:p>
    <w:p>
      <w:pPr>
        <w:spacing w:after="0" w:line="7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June 30, 2020 was $238.8 million. Our consolidated first lien net leverage ratio as of June 30, 2020 was 2.1x.</w:t>
      </w:r>
    </w:p>
    <w:p>
      <w:pPr>
        <w:spacing w:after="0" w:line="8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In addition, our credit agreement governing our first lien term loan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Receivable Agreements</w:t>
      </w:r>
    </w:p>
    <w:p>
      <w:pPr>
        <w:spacing w:after="0" w:line="120"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In connection with the Reorganization Transactions and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0" w:name="page71"/>
    <w:bookmarkEnd w:id="7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219"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June 30, 2020) is approximately $387.6 million (assuming a price of $51.03 per share of Class A common stock, which is the last reported sale price of our Class A common stock on the Nasdaq on June 30, 2020). The payments under the tax receivable agreements are not conditioned upon continued ownership of us by the exchanging holders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1" w:name="page72"/>
    <w:bookmarkEnd w:id="7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of OpCo Units. See Note 16 in our unaudited consolidated financial statements included in Part I, Item 1 of this Form 10-Q/A.</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June 30, 2020, there were “no off-balance sheet arrangements,” as defined in Item 303(a)(4)(ii) of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90"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There have been no material changes to our critical accounting policies and estimates as compared to the critical accounting policies and estimates described in our Management's Discussion and Analysis of Financial Condition and Results of Operations, set forth in our IPO Prospectus.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2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20"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Refer to Note 2 – Basis of Presentation and Summary of Significant Accounting Policies of our consolidated financial statements included elsewhere in this Form 10-Q/A regarding recently issued accounting pronouncements which we adopted and have not yet adopted and the impact on our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operations in the United States and internationally, and we are exposed to market risk in the ordinary course of business.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Our operating results are subject to market risk from interest rate fluctuations on our First Lien Term Loan, which bears a variable interest rate based on LIBOR. As of June 30, 2020, the total principal balance outstanding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2" w:name="page73"/>
    <w:bookmarkEnd w:id="7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was $756.4 million. We have implemented a hedging strategy to mitigate the interest rate risk by entering into certain derivative instruments (refer to Note 7 of our consolidated financial statements included elsewhere in this Form 10-Q/A). Based on the outstanding balances and interest rates of our debt as of June 30, 2020, a hypothetical 10% relative increase or decrease in LIBOR would cause an increase or decrease in interest expense of approximately $1.6 million over the next 12 months.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Exchange Rate Risk</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Risk</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16"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2"/>
          <w:szCs w:val="12"/>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93"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As previously reported, in connection with the audit of our consolidated financial statements for the year ended December 31, 2019, our management and auditors determined that a material weakness existed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continue to take remediation steps, including hiring additional personnel around and subsequent to December 31, 2019, we have not concluded that the material weakness has been remediated as of June 30, 2020, and therefore have concluded that our disclosure controls and procedures were not effective as of June 30,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3" w:name="page74"/>
    <w:bookmarkEnd w:id="7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16" w:lineRule="exact"/>
        <w:rPr>
          <w:sz w:val="20"/>
          <w:szCs w:val="20"/>
          <w:color w:val="auto"/>
        </w:rPr>
      </w:pPr>
    </w:p>
    <w:p>
      <w:pPr>
        <w:ind w:firstLine="218"/>
        <w:spacing w:after="0" w:line="280" w:lineRule="auto"/>
        <w:rPr>
          <w:sz w:val="20"/>
          <w:szCs w:val="20"/>
          <w:color w:val="auto"/>
        </w:rPr>
      </w:pPr>
      <w:r>
        <w:rPr>
          <w:rFonts w:ascii="Arial" w:cs="Arial" w:eastAsia="Arial" w:hAnsi="Arial"/>
          <w:sz w:val="12"/>
          <w:szCs w:val="12"/>
          <w:color w:val="auto"/>
        </w:rPr>
        <w:t>During the quarter ended June 30, 2020,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74" w:name="page75"/>
    <w:bookmarkEnd w:id="7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INFORMATION</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20" w:lineRule="exact"/>
        <w:rPr>
          <w:sz w:val="20"/>
          <w:szCs w:val="20"/>
          <w:color w:val="auto"/>
        </w:rPr>
      </w:pPr>
    </w:p>
    <w:p>
      <w:pPr>
        <w:jc w:val="both"/>
        <w:ind w:firstLine="148"/>
        <w:spacing w:after="0" w:line="261" w:lineRule="auto"/>
        <w:rPr>
          <w:sz w:val="20"/>
          <w:szCs w:val="20"/>
          <w:color w:val="auto"/>
        </w:rPr>
      </w:pPr>
      <w:r>
        <w:rPr>
          <w:rFonts w:ascii="Arial" w:cs="Arial" w:eastAsia="Arial" w:hAnsi="Arial"/>
          <w:sz w:val="12"/>
          <w:szCs w:val="12"/>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0"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i w:val="1"/>
          <w:iCs w:val="1"/>
          <w:color w:val="auto"/>
        </w:rPr>
        <w:t>The risks described below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20"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77"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90"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78"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5" w:name="page76"/>
    <w:bookmarkEnd w:id="7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90"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7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90"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8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39"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6" w:name="page77"/>
    <w:bookmarkEnd w:id="7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9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8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77"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90"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74"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7" w:name="page78"/>
    <w:bookmarkEnd w:id="7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customers, or to derive insights from data globally. For example, the European Union Court of Justice recently struck down a permitted personal data transfer mechanism between the European Union and the United States and introduced requirements to carry out risk assessments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91"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69"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74"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9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91"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8" w:name="page79"/>
    <w:bookmarkEnd w:id="7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industry standards, regulations, or laws, could deter people from using the internet or our websites to conduct transactions that involve the transmission of confidential information, which could harm our business.</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also receive data from third-party vendors (</w:t>
      </w:r>
      <w:r>
        <w:rPr>
          <w:rFonts w:ascii="Arial" w:cs="Arial" w:eastAsia="Arial" w:hAnsi="Arial"/>
          <w:sz w:val="12"/>
          <w:szCs w:val="12"/>
          <w:i w:val="1"/>
          <w:iCs w:val="1"/>
          <w:color w:val="auto"/>
        </w:rPr>
        <w:t>e.g.</w:t>
      </w:r>
      <w:r>
        <w:rPr>
          <w:rFonts w:ascii="Arial" w:cs="Arial" w:eastAsia="Arial" w:hAnsi="Arial"/>
          <w:sz w:val="12"/>
          <w:szCs w:val="12"/>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77"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Our current competitors include:</w:t>
      </w:r>
    </w:p>
    <w:p>
      <w:pPr>
        <w:spacing w:after="0" w:line="116" w:lineRule="exact"/>
        <w:rPr>
          <w:sz w:val="20"/>
          <w:szCs w:val="20"/>
          <w:color w:val="auto"/>
        </w:rPr>
      </w:pPr>
    </w:p>
    <w:p>
      <w:pPr>
        <w:ind w:left="420" w:right="20" w:hanging="209"/>
        <w:spacing w:after="0" w:line="280" w:lineRule="auto"/>
        <w:tabs>
          <w:tab w:leader="none" w:pos="417" w:val="left"/>
        </w:tabs>
        <w:numPr>
          <w:ilvl w:val="0"/>
          <w:numId w:val="31"/>
        </w:numPr>
        <w:rPr>
          <w:rFonts w:ascii="Arial" w:cs="Arial" w:eastAsia="Arial" w:hAnsi="Arial"/>
          <w:sz w:val="12"/>
          <w:szCs w:val="12"/>
          <w:color w:val="auto"/>
        </w:rPr>
      </w:pPr>
      <w:r>
        <w:rPr>
          <w:rFonts w:ascii="Arial" w:cs="Arial" w:eastAsia="Arial" w:hAnsi="Arial"/>
          <w:sz w:val="12"/>
          <w:szCs w:val="12"/>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current and potential customers’ internal and homegrown business contact databases;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when used in conjunction with the foregoing or when additionally providing third-party sales and marketing data, predictive analytics and customer data platform technologies;</w:t>
      </w:r>
    </w:p>
    <w:p>
      <w:pPr>
        <w:spacing w:after="0" w:line="116" w:lineRule="exact"/>
        <w:rPr>
          <w:rFonts w:ascii="Arial" w:cs="Arial" w:eastAsia="Arial" w:hAnsi="Arial"/>
          <w:sz w:val="12"/>
          <w:szCs w:val="12"/>
          <w:color w:val="auto"/>
        </w:rPr>
      </w:pPr>
    </w:p>
    <w:p>
      <w:pPr>
        <w:ind w:left="420" w:hanging="209"/>
        <w:spacing w:after="0" w:line="280" w:lineRule="auto"/>
        <w:tabs>
          <w:tab w:leader="none" w:pos="417" w:val="left"/>
        </w:tabs>
        <w:numPr>
          <w:ilvl w:val="0"/>
          <w:numId w:val="31"/>
        </w:numPr>
        <w:rPr>
          <w:rFonts w:ascii="Arial" w:cs="Arial" w:eastAsia="Arial" w:hAnsi="Arial"/>
          <w:sz w:val="12"/>
          <w:szCs w:val="12"/>
          <w:color w:val="auto"/>
        </w:rPr>
      </w:pPr>
      <w:r>
        <w:rPr>
          <w:rFonts w:ascii="Arial" w:cs="Arial" w:eastAsia="Arial" w:hAnsi="Arial"/>
          <w:sz w:val="12"/>
          <w:szCs w:val="12"/>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other vendors of sales automation software;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other providers of third-party company attributes, technology attributes, and business contact information;</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other providers of online content consumption data for predictive sales and marketing analytics;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user-based networks of companies and/or business professionals.</w:t>
      </w:r>
    </w:p>
    <w:p>
      <w:pPr>
        <w:spacing w:after="0" w:line="11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Companies with large databases that are currently not commercially available could enter the market and rapidly become new competitors. The existence of such potential competitors may not be readily apparent today, and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9" w:name="page80"/>
    <w:bookmarkEnd w:id="7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such companies may become significant low-cost or no-cost competitors and adversely impact the demand for our solutions and services or limit our growth potential.</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28"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91"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78"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69"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0" w:name="page81"/>
    <w:bookmarkEnd w:id="8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9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77" w:lineRule="exact"/>
        <w:rPr>
          <w:sz w:val="20"/>
          <w:szCs w:val="20"/>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awareness and acceptance of the sales and marketing platform category generally, and the growth, contraction and evolution of the category;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availability of products and services that compete with ours;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brand recognition;</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pricing;</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ease of adoption and use;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performance, features, and user experience, and the development and acceptance of new features, integrations, and capabilities;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customer support;</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accessibility across several devices, operating system, and applications;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integration with CRM and other related technologies;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potential for the development of new systems and protocols for B2B communication.</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77"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1" w:name="page82"/>
    <w:bookmarkEnd w:id="8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internally develop and implement new and competitive technologies;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use leading third-party technologies effectively;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respond to advances in data collection, cataloging, and updating.</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obtain and maintain accurate, comprehensive, or reliable data, we could experience reduced demand for our products and services.</w:t>
      </w:r>
    </w:p>
    <w:p>
      <w:pPr>
        <w:spacing w:after="0" w:line="116" w:lineRule="exact"/>
        <w:rPr>
          <w:sz w:val="20"/>
          <w:szCs w:val="20"/>
          <w:color w:val="auto"/>
        </w:rPr>
      </w:pPr>
    </w:p>
    <w:p>
      <w:pPr>
        <w:jc w:val="both"/>
        <w:ind w:firstLine="218"/>
        <w:spacing w:after="0" w:line="323" w:lineRule="auto"/>
        <w:rPr>
          <w:sz w:val="20"/>
          <w:szCs w:val="20"/>
          <w:color w:val="auto"/>
        </w:rPr>
      </w:pPr>
      <w:r>
        <w:rPr>
          <w:rFonts w:ascii="Arial" w:cs="Arial" w:eastAsia="Arial" w:hAnsi="Arial"/>
          <w:sz w:val="10"/>
          <w:szCs w:val="10"/>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depends upon the interoperability of our platform with third-party systems that we do not control.</w:t>
      </w:r>
    </w:p>
    <w:p>
      <w:pPr>
        <w:spacing w:after="0" w:line="116"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47%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91"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2" w:name="page83"/>
    <w:bookmarkEnd w:id="8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interoperability of our platform with these systems could decrease and our business, results of operations, and financial condition could be harmed.</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69"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7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attract new customers and expand subscriptions of current customers, our revenue growth and profitability will be harmed.</w:t>
      </w:r>
    </w:p>
    <w:p>
      <w:pPr>
        <w:spacing w:after="0" w:line="116"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3" w:name="page84"/>
    <w:bookmarkEnd w:id="8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our sales capabilities could harm our ability to increase the number of organizations on our platform and achieve broader market acceptance of our platform.”</w:t>
      </w:r>
    </w:p>
    <w:p>
      <w:pPr>
        <w:spacing w:after="0" w:line="116"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79" w:lineRule="exact"/>
        <w:rPr>
          <w:sz w:val="20"/>
          <w:szCs w:val="20"/>
          <w:color w:val="auto"/>
        </w:rPr>
      </w:pPr>
    </w:p>
    <w:p>
      <w:pPr>
        <w:jc w:val="both"/>
        <w:ind w:firstLine="218"/>
        <w:spacing w:after="0" w:line="281" w:lineRule="auto"/>
        <w:rPr>
          <w:sz w:val="20"/>
          <w:szCs w:val="20"/>
          <w:color w:val="auto"/>
        </w:rPr>
      </w:pPr>
      <w:r>
        <w:rPr>
          <w:rFonts w:ascii="Arial" w:cs="Arial" w:eastAsia="Arial" w:hAnsi="Arial"/>
          <w:sz w:val="11"/>
          <w:szCs w:val="11"/>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81" w:lineRule="exact"/>
        <w:rPr>
          <w:sz w:val="20"/>
          <w:szCs w:val="20"/>
          <w:color w:val="auto"/>
        </w:rPr>
      </w:pPr>
    </w:p>
    <w:p>
      <w:pPr>
        <w:jc w:val="both"/>
        <w:ind w:right="20" w:firstLine="218"/>
        <w:spacing w:after="0" w:line="292" w:lineRule="auto"/>
        <w:rPr>
          <w:sz w:val="20"/>
          <w:szCs w:val="20"/>
          <w:color w:val="auto"/>
        </w:rPr>
      </w:pPr>
      <w:r>
        <w:rPr>
          <w:rFonts w:ascii="Arial" w:cs="Arial" w:eastAsia="Arial" w:hAnsi="Arial"/>
          <w:sz w:val="11"/>
          <w:szCs w:val="11"/>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7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77"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4" w:name="page85"/>
    <w:bookmarkEnd w:id="8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2"/>
          <w:szCs w:val="12"/>
          <w:i w:val="1"/>
          <w:iCs w:val="1"/>
          <w:color w:val="auto"/>
        </w:rPr>
        <w:t>i.e.</w:t>
      </w:r>
      <w:r>
        <w:rPr>
          <w:rFonts w:ascii="Arial" w:cs="Arial" w:eastAsia="Arial" w:hAnsi="Arial"/>
          <w:sz w:val="12"/>
          <w:szCs w:val="12"/>
          <w:color w:val="auto"/>
        </w:rPr>
        <w:t>, from all platforms, including ours). Consequently, our ability to grow our business may be harmed and our results of operations and financial condition could suffer.</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28"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86" w:lineRule="exact"/>
        <w:rPr>
          <w:sz w:val="20"/>
          <w:szCs w:val="20"/>
          <w:color w:val="auto"/>
        </w:rPr>
      </w:pPr>
    </w:p>
    <w:p>
      <w:pPr>
        <w:jc w:val="both"/>
        <w:ind w:firstLine="218"/>
        <w:spacing w:after="0" w:line="316" w:lineRule="auto"/>
        <w:rPr>
          <w:sz w:val="20"/>
          <w:szCs w:val="20"/>
          <w:color w:val="auto"/>
        </w:rPr>
      </w:pPr>
      <w:r>
        <w:rPr>
          <w:rFonts w:ascii="Arial" w:cs="Arial" w:eastAsia="Arial" w:hAnsi="Arial"/>
          <w:sz w:val="10"/>
          <w:szCs w:val="10"/>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6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negatively affected by changes in search engine algorithms and dynamics or other traffic-generating arrangements.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5" w:name="page86"/>
    <w:bookmarkEnd w:id="8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adequately protect our proprietary and intellectual property rights in our data or technology.</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74"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79"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77" w:lineRule="exact"/>
        <w:rPr>
          <w:sz w:val="20"/>
          <w:szCs w:val="20"/>
          <w:color w:val="auto"/>
        </w:rPr>
      </w:pPr>
    </w:p>
    <w:p>
      <w:pPr>
        <w:jc w:val="both"/>
        <w:ind w:firstLine="218"/>
        <w:spacing w:after="0" w:line="343" w:lineRule="auto"/>
        <w:rPr>
          <w:sz w:val="20"/>
          <w:szCs w:val="20"/>
          <w:color w:val="auto"/>
        </w:rPr>
      </w:pPr>
      <w:r>
        <w:rPr>
          <w:rFonts w:ascii="Arial" w:cs="Arial" w:eastAsia="Arial" w:hAnsi="Arial"/>
          <w:sz w:val="10"/>
          <w:szCs w:val="10"/>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6" w:name="page87"/>
    <w:bookmarkEnd w:id="8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327" w:lineRule="auto"/>
        <w:rPr>
          <w:sz w:val="20"/>
          <w:szCs w:val="20"/>
          <w:color w:val="auto"/>
        </w:rPr>
      </w:pPr>
      <w:r>
        <w:rPr>
          <w:rFonts w:ascii="Arial" w:cs="Arial" w:eastAsia="Arial" w:hAnsi="Arial"/>
          <w:sz w:val="11"/>
          <w:szCs w:val="11"/>
          <w:color w:val="auto"/>
        </w:rPr>
        <w:t>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55" w:lineRule="exact"/>
        <w:rPr>
          <w:sz w:val="20"/>
          <w:szCs w:val="20"/>
          <w:color w:val="auto"/>
        </w:rPr>
      </w:pPr>
    </w:p>
    <w:p>
      <w:pPr>
        <w:jc w:val="both"/>
        <w:ind w:right="20" w:firstLine="218"/>
        <w:spacing w:after="0" w:line="292" w:lineRule="auto"/>
        <w:rPr>
          <w:sz w:val="20"/>
          <w:szCs w:val="20"/>
          <w:color w:val="auto"/>
        </w:rPr>
      </w:pPr>
      <w:r>
        <w:rPr>
          <w:rFonts w:ascii="Arial" w:cs="Arial" w:eastAsia="Arial" w:hAnsi="Arial"/>
          <w:sz w:val="11"/>
          <w:szCs w:val="11"/>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7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77"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91" w:lineRule="exact"/>
        <w:rPr>
          <w:sz w:val="20"/>
          <w:szCs w:val="20"/>
          <w:color w:val="auto"/>
        </w:rPr>
      </w:pPr>
    </w:p>
    <w:p>
      <w:pPr>
        <w:jc w:val="both"/>
        <w:ind w:right="20" w:firstLine="218"/>
        <w:spacing w:after="0" w:line="261" w:lineRule="auto"/>
        <w:rPr>
          <w:sz w:val="20"/>
          <w:szCs w:val="20"/>
          <w:color w:val="auto"/>
        </w:rPr>
      </w:pPr>
      <w:r>
        <w:rPr>
          <w:rFonts w:ascii="Arial" w:cs="Arial" w:eastAsia="Arial" w:hAnsi="Arial"/>
          <w:sz w:val="12"/>
          <w:szCs w:val="12"/>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Acquisitions and other transactions, arrangements, and investments involve numerous risks and could create unforeseen operating difficulties and expenditures, including:</w:t>
      </w:r>
    </w:p>
    <w:p>
      <w:pPr>
        <w:spacing w:after="0" w:line="116" w:lineRule="exact"/>
        <w:rPr>
          <w:sz w:val="20"/>
          <w:szCs w:val="20"/>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potential failure to achieve the expected benefits on a timely basis or at all;</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difficulties in, and the cost of, integrating operations, technologies, services, and platforms;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diversion of financial and managerial resources from existing operations;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potential entry into new markets in which we have little or no experience or where competitors may have stronger market positions;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potential write-offs of acquired assets or investments and potential financial and credit risks associated with acquired customers;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differences between our values and those of our acquired companies;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difficulties in re-training key employees of acquired companies and integrating them into our organizational structure and corporate culture;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7" w:name="page88"/>
    <w:bookmarkEnd w:id="8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difficulties in, and financial costs of, addressing acquired compensation structures inconsistent with our compensation structure;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inability to generate sufficient revenue to offset acquisition or investment costs;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inability to maintain, or changes in, relationships with customers and partners of the acquired business;</w:t>
      </w:r>
    </w:p>
    <w:p>
      <w:pPr>
        <w:spacing w:after="0" w:line="116" w:lineRule="exact"/>
        <w:rPr>
          <w:rFonts w:ascii="Arial" w:cs="Arial" w:eastAsia="Arial" w:hAnsi="Arial"/>
          <w:sz w:val="12"/>
          <w:szCs w:val="12"/>
          <w:color w:val="auto"/>
        </w:rPr>
      </w:pPr>
    </w:p>
    <w:p>
      <w:pPr>
        <w:ind w:left="420" w:hanging="209"/>
        <w:spacing w:after="0" w:line="280" w:lineRule="auto"/>
        <w:tabs>
          <w:tab w:leader="none" w:pos="417"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difficulty with, and costs related to, transitioning the acquired technology onto our existing platforms and customer acceptance of multiple platforms on a temporary or permanent basis;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augmenting the acquired technologies and platforms to the levels that are consistent with our brand and reputation;</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potential for acquired products to impact the profitability of existing products;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increasing or maintaining the security standards for acquired technology consistent with our other services;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potential unknown liabilities associated with the acquired businesses, including risks associated with acquired intellectual property and/or technologies;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challenges relating to the structure of an investment, such as governance, accountability, and decision-making conflicts that may arise in the context of a joint venture or other majority ownership investments;</w:t>
      </w:r>
    </w:p>
    <w:p>
      <w:pPr>
        <w:spacing w:after="0" w:line="127" w:lineRule="exact"/>
        <w:rPr>
          <w:rFonts w:ascii="Arial" w:cs="Arial" w:eastAsia="Arial" w:hAnsi="Arial"/>
          <w:sz w:val="11"/>
          <w:szCs w:val="11"/>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negative impact to our results of operations because of the depreciation and amortization of amounts related to acquired intangible assets, fixed assets, and deferred compensation;</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additional stock-based compensation;</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loss of acquired unearned revenue and unbilled unearned revenue;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delays in customer purchases due to uncertainty related to any acquisition;</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ineffective or inadequate controls, procedures, and policies at the acquired company;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 the case of foreign acquisitions, challenges caused by integrating operations over distance, and across different languages, cultures, and political environments;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currency and regulatory risks associated with foreign countries and potential additional cybersecurity and compliance risks resulting from entry into new markets;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tax effects and costs of any such acquisitions, including the related integration into our tax structure and assessment of the impact on the realizability of our future tax assets or liabilities;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potential challenges by governmental authorities, including the Department of Justice, for anti-competitive or other reasons.</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8" w:name="page89"/>
    <w:bookmarkEnd w:id="8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39"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91"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8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effectively expand our sales capabilities could harm our ability to bring on new customers at the rate we anticipate.</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offer high-quality customer experience, our business and reputation will suffer.</w:t>
      </w:r>
    </w:p>
    <w:p>
      <w:pPr>
        <w:spacing w:after="0" w:line="116"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9" w:name="page90"/>
    <w:bookmarkEnd w:id="8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7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8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77"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77"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fail to offer the optimal pricing and packaging of our products and services.</w:t>
      </w:r>
    </w:p>
    <w:p>
      <w:pPr>
        <w:spacing w:after="0" w:line="11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experienced rapid growth in recent periods, and our recent growth rates will not be indicative of our future growth.</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have experienced rapid organic and acquisition-driven growth in recent periods. We do not expect revenue growth in future periods to be consistent with recent history. Further, as we operate in a new and rapidly changing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0" w:name="page91"/>
    <w:bookmarkEnd w:id="9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market, widespread acceptance and use of our platform is critical to our future growth and success. We believe our revenue growth depends on a number of factors, including, but not limited to, our ability to:</w:t>
      </w:r>
    </w:p>
    <w:p>
      <w:pPr>
        <w:spacing w:after="0" w:line="116" w:lineRule="exact"/>
        <w:rPr>
          <w:sz w:val="20"/>
          <w:szCs w:val="20"/>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attract new customers;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provide excellent customer experience;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renew and grow current customer subscriptions;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convert users of and organizations on our free Community Edition into paying customers;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introduce and grow adoption of our products and services in new markets outside of the United States;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achieve widespread acceptance and use of our platform;</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adequately expand our sales force and otherwise scale our operations as a business;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expand the features and capabilities of our platform, including through the creation and use of additional integrations;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maintain the security and reliability of our platform;</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comply with existing and new applicable laws and regulations;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price and package our products and services effectively;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successfully compete against established companies and new market entrants;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increase awareness of our brand on a global basis;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execute on our acquisition strategy.</w:t>
      </w:r>
    </w:p>
    <w:p>
      <w:pPr>
        <w:spacing w:after="0" w:line="11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8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28"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9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1" w:name="page92"/>
    <w:bookmarkEnd w:id="9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company to find an adequate replacement, which could cause us to be less successful in maintaining our culture and developing and effectively executing on our company strategies.</w:t>
      </w:r>
    </w:p>
    <w:p>
      <w:pPr>
        <w:spacing w:after="0" w:line="11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90"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91"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have overestimated the size of our total addressable market, our future growth rate may be limited.</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the IPO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90" w:lineRule="exact"/>
        <w:rPr>
          <w:sz w:val="20"/>
          <w:szCs w:val="20"/>
          <w:color w:val="auto"/>
        </w:rPr>
      </w:pPr>
    </w:p>
    <w:p>
      <w:pPr>
        <w:jc w:val="both"/>
        <w:ind w:right="20" w:firstLine="218"/>
        <w:spacing w:after="0" w:line="327" w:lineRule="auto"/>
        <w:rPr>
          <w:sz w:val="20"/>
          <w:szCs w:val="20"/>
          <w:color w:val="auto"/>
        </w:rPr>
      </w:pPr>
      <w:r>
        <w:rPr>
          <w:rFonts w:ascii="Arial" w:cs="Arial" w:eastAsia="Arial" w:hAnsi="Arial"/>
          <w:sz w:val="11"/>
          <w:szCs w:val="11"/>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the IPO Prospectus should not be taken as indicative of our ability to grow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86" w:lineRule="exact"/>
        <w:rPr>
          <w:sz w:val="20"/>
          <w:szCs w:val="20"/>
          <w:color w:val="auto"/>
        </w:rPr>
      </w:pPr>
    </w:p>
    <w:p>
      <w:pPr>
        <w:ind w:left="420" w:hanging="209"/>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ability to attract and retain customers and grow subscriptions of existing customers;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2" w:name="page93"/>
    <w:bookmarkEnd w:id="9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ability to price and package our products and services effectively;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pricing pressure as a result of competition or otherwise;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unforeseen costs and expenses, including those related to the expansion of our business and operations;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customers’ budgets and in the timing of their budget cycles and purchasing decisions;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changes in the competitive dynamics of our market, including consolidation among competitors or customers and the introduction of new products or product enhancements;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 and timing of payment for operating expenses, particularly research and development, sales, and marketing expenses and employee benefit expenses;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timing of revenue and expenses related to the development or acquisition of technologies, products, or businesses;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potential goodwill and intangible asset impairment charges and amortization associated with acquired businesses;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potential restructuring and transaction-related expenses;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 and timing of costs associated with recruiting, training, and integrating new employees while maintaining our company culture;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27" w:lineRule="exact"/>
        <w:rPr>
          <w:rFonts w:ascii="Arial" w:cs="Arial" w:eastAsia="Arial" w:hAnsi="Arial"/>
          <w:sz w:val="11"/>
          <w:szCs w:val="11"/>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foreign currency exchange rate fluctuations;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general economic and political conditions in our domestic and international markets.</w:t>
      </w:r>
    </w:p>
    <w:p>
      <w:pPr>
        <w:spacing w:after="0" w:line="116" w:lineRule="exact"/>
        <w:rPr>
          <w:sz w:val="20"/>
          <w:szCs w:val="20"/>
          <w:color w:val="auto"/>
        </w:rPr>
      </w:pPr>
    </w:p>
    <w:p>
      <w:pPr>
        <w:jc w:val="both"/>
        <w:ind w:right="20" w:firstLine="218"/>
        <w:spacing w:after="0" w:line="327" w:lineRule="auto"/>
        <w:rPr>
          <w:sz w:val="20"/>
          <w:szCs w:val="20"/>
          <w:color w:val="auto"/>
        </w:rPr>
      </w:pPr>
      <w:r>
        <w:rPr>
          <w:rFonts w:ascii="Arial" w:cs="Arial" w:eastAsia="Arial" w:hAnsi="Arial"/>
          <w:sz w:val="11"/>
          <w:szCs w:val="11"/>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5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39"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69" w:lineRule="exact"/>
        <w:rPr>
          <w:sz w:val="20"/>
          <w:szCs w:val="20"/>
          <w:color w:val="auto"/>
        </w:rPr>
      </w:pPr>
    </w:p>
    <w:p>
      <w:pPr>
        <w:ind w:left="420" w:hanging="209"/>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 new features, integrations, capabilities, and enhancements;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continue to expand our product development, sales, and marketing organizations;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hire, train, and retain employees;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respond to competitive pressures or unanticipated working capital requirements; or</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pursue acquisition opportunities.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3" w:name="page94"/>
    <w:bookmarkEnd w:id="9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For more information, see “—Risks Related to Our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devote, and may continue to devote, substantial resources to our earlier platforms.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Operations and sales to customers outside the United States expose us to risks inherent in international operations.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90" w:lineRule="exact"/>
        <w:rPr>
          <w:sz w:val="20"/>
          <w:szCs w:val="20"/>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need to localize our products and services, including translation into foreign languages and associated expenses;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competition from local incumbents that better understand the local market, customs, and culture, may market and operate more effectively, and may enjoy greater local affinity or awareness;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need to comply with foreign regulatory frameworks or business practices, which among other things may favor local competitors;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evolving domestic and international tax environments;</w:t>
      </w:r>
    </w:p>
    <w:p>
      <w:pPr>
        <w:spacing w:after="0" w:line="116" w:lineRule="exact"/>
        <w:rPr>
          <w:rFonts w:ascii="Arial" w:cs="Arial" w:eastAsia="Arial" w:hAnsi="Arial"/>
          <w:sz w:val="12"/>
          <w:szCs w:val="12"/>
          <w:color w:val="auto"/>
        </w:rPr>
      </w:pPr>
    </w:p>
    <w:p>
      <w:pPr>
        <w:ind w:left="420" w:right="20" w:hanging="209"/>
        <w:spacing w:after="0" w:line="280" w:lineRule="auto"/>
        <w:tabs>
          <w:tab w:leader="none" w:pos="417" w:val="left"/>
        </w:tabs>
        <w:numPr>
          <w:ilvl w:val="0"/>
          <w:numId w:val="40"/>
        </w:numPr>
        <w:rPr>
          <w:rFonts w:ascii="Arial" w:cs="Arial" w:eastAsia="Arial" w:hAnsi="Arial"/>
          <w:sz w:val="12"/>
          <w:szCs w:val="12"/>
          <w:color w:val="auto"/>
        </w:rPr>
      </w:pPr>
      <w:r>
        <w:rPr>
          <w:rFonts w:ascii="Arial" w:cs="Arial" w:eastAsia="Arial" w:hAnsi="Arial"/>
          <w:sz w:val="12"/>
          <w:szCs w:val="12"/>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foreign currency fluctuations and controls, which may make our products and services more expensive for international customers and could add volatility to our operating results;</w:t>
      </w:r>
    </w:p>
    <w:p>
      <w:pPr>
        <w:spacing w:after="0" w:line="116" w:lineRule="exact"/>
        <w:rPr>
          <w:rFonts w:ascii="Arial" w:cs="Arial" w:eastAsia="Arial" w:hAnsi="Arial"/>
          <w:sz w:val="12"/>
          <w:szCs w:val="12"/>
          <w:color w:val="auto"/>
        </w:rPr>
      </w:pPr>
    </w:p>
    <w:p>
      <w:pPr>
        <w:ind w:left="420" w:hanging="209"/>
        <w:spacing w:after="0" w:line="280" w:lineRule="auto"/>
        <w:tabs>
          <w:tab w:leader="none" w:pos="417"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vetting and monitoring internal or external sales or customer experience resources in new and evolving markets to confirm they maintain standards consistent with our brand and reputation;</w:t>
      </w:r>
    </w:p>
    <w:p>
      <w:pPr>
        <w:spacing w:after="0" w:line="116" w:lineRule="exact"/>
        <w:rPr>
          <w:rFonts w:ascii="Arial" w:cs="Arial" w:eastAsia="Arial" w:hAnsi="Arial"/>
          <w:sz w:val="12"/>
          <w:szCs w:val="12"/>
          <w:color w:val="auto"/>
        </w:rPr>
      </w:pPr>
    </w:p>
    <w:p>
      <w:pPr>
        <w:ind w:left="420" w:right="20" w:hanging="209"/>
        <w:spacing w:after="0" w:line="280" w:lineRule="auto"/>
        <w:tabs>
          <w:tab w:leader="none" w:pos="417" w:val="left"/>
        </w:tabs>
        <w:numPr>
          <w:ilvl w:val="0"/>
          <w:numId w:val="40"/>
        </w:numPr>
        <w:rPr>
          <w:rFonts w:ascii="Arial" w:cs="Arial" w:eastAsia="Arial" w:hAnsi="Arial"/>
          <w:sz w:val="12"/>
          <w:szCs w:val="12"/>
          <w:color w:val="auto"/>
        </w:rPr>
      </w:pPr>
      <w:r>
        <w:rPr>
          <w:rFonts w:ascii="Arial" w:cs="Arial" w:eastAsia="Arial" w:hAnsi="Arial"/>
          <w:sz w:val="12"/>
          <w:szCs w:val="12"/>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changes in the public perception of governments in the regions where we operate or plan to operate;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4" w:name="page95"/>
    <w:bookmarkEnd w:id="9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line="280" w:lineRule="auto"/>
        <w:tabs>
          <w:tab w:leader="none" w:pos="41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different pricing environments;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different or lesser protection of our intellectual property;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longer accounts receivable payment cycles and other collection difficulties;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changes in diplomatic and trade relationships, including the imposition of new trade restrictions, trade protection measures, import or export requirements, trade embargoes, and other trade barriers;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natural disasters, pandemics (such as COVID-19), acts of war, terrorism, pandemics, or security breaches;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regional economic and political conditions;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higher costs of doing business internationally, including increased accounting, travel, infrastructure, and legal compliance costs.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of these factors could negatively impact our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Cyber-attacks and security vulnerabilities could result in serious harm to our reputation, business, and financial condition.</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86"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78"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5" w:name="page96"/>
    <w:bookmarkEnd w:id="9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77"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90"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69"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errors, defects, disruptions, or other performance problems with our services could harm our reputation, business, results of operations, and financial condition.</w:t>
      </w:r>
    </w:p>
    <w:p>
      <w:pPr>
        <w:spacing w:after="0" w:line="116"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77"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6" w:name="page97"/>
    <w:bookmarkEnd w:id="9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customers, all of which would reduce our revenue. Our business would also be harmed if our customers and potential customers believe our services are unreliable.</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86"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77"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76"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management team has limited experience managing a public company.</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7" w:name="page98"/>
    <w:bookmarkEnd w:id="9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limited operating history, which makes it difficult to forecast our revenue and evaluate our business and future prospects.</w:t>
      </w:r>
    </w:p>
    <w:p>
      <w:pPr>
        <w:spacing w:after="0" w:line="116"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litigation for any of a variety of claims, which could harm our reputation and adversely affect our business, results of operations, and financial condition.</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91"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 the future be sued by third parties for various claims including alleged infringement of proprietary intellectual property rights.</w:t>
      </w:r>
    </w:p>
    <w:p>
      <w:pPr>
        <w:spacing w:after="0" w:line="11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77"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8" w:name="page99"/>
    <w:bookmarkEnd w:id="9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liability if we breach our contracts, and our insurance may be inadequate to cover our losses.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90"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laws and regulations related to the internet or changes in the internet infrastructure itself may diminish the demand for our platform and could harm our business.</w:t>
      </w:r>
    </w:p>
    <w:p>
      <w:pPr>
        <w:spacing w:after="0" w:line="116"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78"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9" w:name="page100"/>
    <w:bookmarkEnd w:id="9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9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could incur greater operating expenses and our user acquisition and retention could be negatively impacted if network operators:</w:t>
      </w:r>
    </w:p>
    <w:p>
      <w:pPr>
        <w:spacing w:after="0" w:line="116" w:lineRule="exact"/>
        <w:rPr>
          <w:sz w:val="20"/>
          <w:szCs w:val="20"/>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implement usage-based pricing;</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discount pricing for competitive products;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otherwise materially change their pricing rates or schemes;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charge us to deliver our traffic at certain levels or at all;</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throttle traffic based on its source or type;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implement bandwidth caps or other usage restrictions; or</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otherwise try to monetize or control access to their networks.</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39"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are subject to requirements under the U.S. Treasury Department’s Office of Foreign Assets Control, anti-corruption, anti-bribery, and similar laws, such as the U.S. Foreign Corrupt Practices Act of 1977, as amended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0" w:name="page101"/>
    <w:bookmarkEnd w:id="10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76"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2"/>
          <w:szCs w:val="12"/>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93"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existing financial accounting standards or practices may harm our results of operations.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90"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90"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1" w:name="page102"/>
    <w:bookmarkEnd w:id="10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presented under Topic 606, while prior period amounts are not adjusted and continue to be presented in accordance with their historic accounting under ASC Topic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We believe that the revenue presented for Pre-Acquisition ZI in 2018 would not have materially changed, had Pre-Acquisition ZI used the full retrospective method of adoption for Topic 606 and restated their 2018 revenue figures. See Note 2 - to our unaudited consolidated financial statements included in Part I, Item 1 of this Form 10-Q/A.</w:t>
      </w:r>
    </w:p>
    <w:p>
      <w:pPr>
        <w:spacing w:after="0" w:line="86"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2"/>
          <w:szCs w:val="12"/>
          <w:color w:val="auto"/>
        </w:rPr>
        <w:t xml:space="preserve">In February 2016, the FASB issued ASU No. 2016-02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difficulties in implementing these pronouncements could cause us to fail to meet our financial reporting obligations, which could result in regulatory discipline and harm investors’ confidence in us.</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77" w:lineRule="exact"/>
        <w:rPr>
          <w:sz w:val="20"/>
          <w:szCs w:val="20"/>
          <w:color w:val="auto"/>
        </w:rPr>
      </w:pPr>
    </w:p>
    <w:p>
      <w:pPr>
        <w:jc w:val="both"/>
        <w:ind w:firstLine="218"/>
        <w:spacing w:after="0" w:line="255" w:lineRule="auto"/>
        <w:rPr>
          <w:sz w:val="20"/>
          <w:szCs w:val="20"/>
          <w:color w:val="auto"/>
        </w:rPr>
      </w:pPr>
      <w:r>
        <w:rPr>
          <w:rFonts w:ascii="Arial" w:cs="Arial" w:eastAsia="Arial" w:hAnsi="Arial"/>
          <w:sz w:val="12"/>
          <w:szCs w:val="12"/>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 addition to our results determined in accordance with GAAP, we believe certain non-GAAP measures may be useful in evaluating our operating performance. We present certain non-GAAP financial measures in this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2" w:name="page103"/>
    <w:bookmarkEnd w:id="10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77"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74" w:lineRule="exact"/>
        <w:rPr>
          <w:sz w:val="20"/>
          <w:szCs w:val="20"/>
          <w:color w:val="auto"/>
        </w:rPr>
      </w:pPr>
    </w:p>
    <w:p>
      <w:pPr>
        <w:jc w:val="both"/>
        <w:ind w:firstLine="218"/>
        <w:spacing w:after="0" w:line="284" w:lineRule="auto"/>
        <w:rPr>
          <w:sz w:val="20"/>
          <w:szCs w:val="20"/>
          <w:color w:val="auto"/>
        </w:rPr>
      </w:pPr>
      <w:r>
        <w:rPr>
          <w:rFonts w:ascii="Arial" w:cs="Arial" w:eastAsia="Arial" w:hAnsi="Arial"/>
          <w:sz w:val="11"/>
          <w:szCs w:val="11"/>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June 30, 2020.</w:t>
      </w:r>
    </w:p>
    <w:p>
      <w:pPr>
        <w:spacing w:after="0" w:line="78"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In addition, because the material weakness discussed above had not been fully remediated as of June 30, 2020, our management was unable to conclude that our disclosure controls and procedures were effective as of June 30, 2020. See the disclosure under the heading “Evaluation of Disclosure Controls and Procedures” in Item 4 of Part I of this Form 10-Q/A.</w:t>
      </w:r>
    </w:p>
    <w:p>
      <w:pPr>
        <w:spacing w:after="0" w:line="77" w:lineRule="exact"/>
        <w:rPr>
          <w:sz w:val="20"/>
          <w:szCs w:val="20"/>
          <w:color w:val="auto"/>
        </w:rPr>
      </w:pPr>
    </w:p>
    <w:p>
      <w:pPr>
        <w:jc w:val="both"/>
        <w:ind w:right="20" w:firstLine="218"/>
        <w:spacing w:after="0" w:line="301" w:lineRule="auto"/>
        <w:rPr>
          <w:sz w:val="20"/>
          <w:szCs w:val="20"/>
          <w:color w:val="auto"/>
        </w:rPr>
      </w:pPr>
      <w:r>
        <w:rPr>
          <w:rFonts w:ascii="Arial" w:cs="Arial" w:eastAsia="Arial" w:hAnsi="Arial"/>
          <w:sz w:val="11"/>
          <w:szCs w:val="11"/>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6"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3" w:name="page104"/>
    <w:bookmarkEnd w:id="10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majority of our costs are expensed as incurred, which could result in our recognition of more costs than revenue in the earlier portion of the subscription term, and we may not attain profitability in any given period.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net losses, we anticipate increasing operating expenses in the future, and we may not be able to achieve and, if achieved, maintain profitability.</w:t>
      </w:r>
    </w:p>
    <w:p>
      <w:pPr>
        <w:spacing w:after="0" w:line="112" w:lineRule="exact"/>
        <w:rPr>
          <w:sz w:val="20"/>
          <w:szCs w:val="20"/>
          <w:color w:val="auto"/>
        </w:rPr>
      </w:pPr>
    </w:p>
    <w:p>
      <w:pPr>
        <w:jc w:val="both"/>
        <w:ind w:firstLine="218"/>
        <w:spacing w:after="0" w:line="282" w:lineRule="auto"/>
        <w:rPr>
          <w:sz w:val="20"/>
          <w:szCs w:val="20"/>
          <w:color w:val="auto"/>
        </w:rPr>
      </w:pPr>
      <w:r>
        <w:rPr>
          <w:rFonts w:ascii="Arial" w:cs="Arial" w:eastAsia="Arial" w:hAnsi="Arial"/>
          <w:sz w:val="11"/>
          <w:szCs w:val="11"/>
          <w:color w:val="auto"/>
        </w:rPr>
        <w:t>We have incurred significant net losses in each year since our inception, including net losses of $28.6 million in 2018, $78.0 million in 2019 and $83.8 million for the six months ended June 30, 2020</w:t>
      </w:r>
      <w:r>
        <w:rPr>
          <w:rFonts w:ascii="Arial" w:cs="Arial" w:eastAsia="Arial" w:hAnsi="Arial"/>
          <w:sz w:val="11"/>
          <w:szCs w:val="11"/>
          <w:b w:val="1"/>
          <w:bCs w:val="1"/>
          <w:color w:val="auto"/>
        </w:rPr>
        <w:t>,</w:t>
      </w:r>
      <w:r>
        <w:rPr>
          <w:rFonts w:ascii="Arial" w:cs="Arial" w:eastAsia="Arial" w:hAnsi="Arial"/>
          <w:sz w:val="11"/>
          <w:szCs w:val="11"/>
          <w:color w:val="auto"/>
        </w:rPr>
        <w:t xml:space="preserve">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28"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Our balance sheet reflects goodwill of $445.7 million, $966.8 million, and $966.8 million as of December 31, 2018, December 31, 2019, and June 30, 2020, respectively, and intangible assets of $88.7 million, $370.6 million, and $350.2 million as of December 31, 2018, December 31, 2019, and June 30,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78" w:lineRule="exact"/>
        <w:rPr>
          <w:sz w:val="20"/>
          <w:szCs w:val="20"/>
          <w:color w:val="auto"/>
        </w:rPr>
      </w:pPr>
    </w:p>
    <w:p>
      <w:pPr>
        <w:ind w:left="420" w:hanging="209"/>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underperformance relative to historical or projected future operating results;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changes in the manner of our use of acquired assets or the strategy for our overall business;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negative industry or economic trends; or</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decline in our market capitalization relative to net book value for a sustained period.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These types of events or indicators and the resulting impairment analysis could result in impairment charges in the future. If we are not able to realize the value of the goodwill and intangible assets, we may be required to incur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4" w:name="page105"/>
    <w:bookmarkEnd w:id="10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material charges relating to the impairment of those assets. Such impairment charges could materially and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Unanticipated changes in our effective tax rate and additional tax liabilities may impact our financial results.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91"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77"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90"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39"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On December 22, 2017, the legislation commonly referred to as the Tax Cuts and Jobs Act (the “Tax Act”), was enacted, which contains significant changes to U.S. tax law, including, but not limited to, a reduction in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5" w:name="page106"/>
    <w:bookmarkEnd w:id="10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8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69"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28"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7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Indebtedness</w:t>
      </w: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28"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As of June 30, 2020, we had total outstanding indebtedness of approximately $756.4 million. Additionally, as of June 30, 2020, we had $100.0 million of availability under our first lien revolving credit facility. Our substantial indebtedness may:</w:t>
      </w:r>
    </w:p>
    <w:p>
      <w:pPr>
        <w:spacing w:after="0" w:line="77" w:lineRule="exact"/>
        <w:rPr>
          <w:sz w:val="20"/>
          <w:szCs w:val="20"/>
          <w:color w:val="auto"/>
        </w:rPr>
      </w:pPr>
    </w:p>
    <w:p>
      <w:pPr>
        <w:ind w:left="420" w:hanging="209"/>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make it difficult for us to satisfy our financial obligations, including with respect to our indebtedness;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6" w:name="page107"/>
    <w:bookmarkEnd w:id="10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limit our ability to borrow additional funds for working capital, capital expenditures, acquisitions, or other general business purposes;</w:t>
      </w:r>
    </w:p>
    <w:p>
      <w:pPr>
        <w:spacing w:after="0" w:line="116" w:lineRule="exact"/>
        <w:rPr>
          <w:rFonts w:ascii="Arial" w:cs="Arial" w:eastAsia="Arial" w:hAnsi="Arial"/>
          <w:sz w:val="12"/>
          <w:szCs w:val="12"/>
          <w:color w:val="auto"/>
        </w:rPr>
      </w:pPr>
    </w:p>
    <w:p>
      <w:pPr>
        <w:ind w:left="420" w:hanging="209"/>
        <w:spacing w:after="0" w:line="280" w:lineRule="auto"/>
        <w:tabs>
          <w:tab w:leader="none" w:pos="417"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expose us to the risk of increased interest rates as certain of our borrowings, including under our secured credit facilities, are at variable rates of interest;</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limit our ability to pay dividends;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limit our flexibility to plan for, or react to, changes in our business and industry;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place us at a competitive disadvantage compared with our less-leveraged competitors;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increase our vulnerability to the impact of adverse economic, competitive, and industry conditions;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increase our cost of borrowing.</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90"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28"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2019 and 2018 were $649.8 million and $3.7 million, respectively. Our total interest expense, net for 2019 and 2018 was $102.4 million and $58.2 million, respectively. Our total principal repayments of debt made during the six months ended June 30, 2020 were $510.9 million. Our total interest expense, net, for the six months ended June 30, 2020 was $49.6 million. We may be unable to maintain a level of cash flow sufficient to permit us to pay the principal, premium, if any, and interest on our indebtedness.</w:t>
      </w:r>
    </w:p>
    <w:p>
      <w:pPr>
        <w:spacing w:after="0" w:line="91"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7" w:name="page108"/>
    <w:bookmarkEnd w:id="10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77"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fluctuations may affect our results of operations and financial condition.</w:t>
      </w:r>
    </w:p>
    <w:p>
      <w:pPr>
        <w:spacing w:after="0" w:line="116"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69"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our credit ratings could adversely impact our operations and lower our profitability.</w:t>
      </w:r>
    </w:p>
    <w:p>
      <w:pPr>
        <w:spacing w:after="0" w:line="116"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Organizational Structure</w:t>
      </w:r>
    </w:p>
    <w:p>
      <w:pPr>
        <w:spacing w:after="0" w:line="120" w:lineRule="exact"/>
        <w:rPr>
          <w:sz w:val="20"/>
          <w:szCs w:val="20"/>
          <w:color w:val="auto"/>
        </w:rPr>
      </w:pPr>
    </w:p>
    <w:p>
      <w:pPr>
        <w:jc w:val="both"/>
        <w:ind w:right="20"/>
        <w:spacing w:after="0" w:line="327" w:lineRule="auto"/>
        <w:rPr>
          <w:sz w:val="20"/>
          <w:szCs w:val="20"/>
          <w:color w:val="auto"/>
        </w:rPr>
      </w:pPr>
      <w:r>
        <w:rPr>
          <w:rFonts w:ascii="Arial" w:cs="Arial" w:eastAsia="Arial" w:hAnsi="Arial"/>
          <w:sz w:val="11"/>
          <w:szCs w:val="11"/>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55"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ZoomInfo Technologies Inc. is a holding company, and has no material assets other than its ownership of HoldCo Units.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8" w:name="page109"/>
    <w:bookmarkEnd w:id="10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distributions under applicable law or regulation or under the terms of our financing arrangements, or is otherwise unable to provide such funds, it could materially adversely affect our liquidity and financial condition.</w:t>
      </w:r>
    </w:p>
    <w:p>
      <w:pPr>
        <w:spacing w:after="0" w:line="116"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79"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 in the IPO Prospectus.</w:t>
      </w:r>
    </w:p>
    <w:p>
      <w:pPr>
        <w:spacing w:after="0" w:line="7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90"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8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9" w:name="page110"/>
    <w:bookmarkEnd w:id="10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7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1"/>
          <w:szCs w:val="11"/>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June 30, 2020 is approximately $387.6 million (assuming a price of $51.03 per share of Class A common stock, which is the last reported sale price of our Class A common stock on the Nasdaq on June 30, 2020). The payments under the tax receivable agreements are not conditioned upon continued ownership of us by the exchanging holders of OpCo Units or the prior owners of the Blocker Companies. See “Certain Relationships and Related Person Transactions – Tax Receivable Agreements” in the IPO Prospectus.</w:t>
      </w:r>
    </w:p>
    <w:p>
      <w:pPr>
        <w:spacing w:after="0" w:line="81"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77"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0" w:name="page111"/>
    <w:bookmarkEnd w:id="11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69"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Assuming that the market value of a share of Class A common stock were to be equal to $51.03 per share, which is the last reported sale price of our Class A common stock on the Nasdaq on June 30, 2020, and that LIBOR were to be 0.5%, we estimate that the aggregate amount of these termination payments would be approximately $2,583.8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77"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90"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77"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90"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1"/>
          <w:szCs w:val="11"/>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1" w:name="page112"/>
    <w:bookmarkEnd w:id="11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ZoomInfo HoldCo’s interest in ZoomInfo OpCo, as applicable, could be deemed an “investment security” for purposes of the 1940 Act.</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parties to our stockholders agreement control us, and their interests may conflict with ours or yours in the future.</w:t>
      </w:r>
    </w:p>
    <w:p>
      <w:pPr>
        <w:spacing w:after="0" w:line="116" w:lineRule="exact"/>
        <w:rPr>
          <w:sz w:val="20"/>
          <w:szCs w:val="20"/>
          <w:color w:val="auto"/>
        </w:rPr>
      </w:pPr>
    </w:p>
    <w:p>
      <w:pPr>
        <w:jc w:val="both"/>
        <w:ind w:firstLine="218"/>
        <w:spacing w:after="0" w:line="279" w:lineRule="auto"/>
        <w:rPr>
          <w:sz w:val="20"/>
          <w:szCs w:val="20"/>
          <w:color w:val="auto"/>
        </w:rPr>
      </w:pPr>
      <w:r>
        <w:rPr>
          <w:rFonts w:ascii="Arial" w:cs="Arial" w:eastAsia="Arial" w:hAnsi="Arial"/>
          <w:sz w:val="11"/>
          <w:szCs w:val="11"/>
          <w:color w:val="auto"/>
        </w:rPr>
        <w:t>As of June 30, 2020, the parties to our stockholders agreement beneficially owned approximately 89.6% of the combined voting power of our Class A, Class B, and Class C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in the IPO Prospectus.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8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In addition, as of June 30, 2020, the Pre-IPO OpCo Unitholders owned 60.4% of the OpCo Units.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2" w:name="page113"/>
    <w:bookmarkEnd w:id="11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 in the IPO Prospectus.</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77" w:lineRule="exact"/>
        <w:rPr>
          <w:sz w:val="20"/>
          <w:szCs w:val="20"/>
          <w:color w:val="auto"/>
        </w:rPr>
      </w:pPr>
    </w:p>
    <w:p>
      <w:pPr>
        <w:jc w:val="both"/>
        <w:ind w:firstLine="218"/>
        <w:spacing w:after="0" w:line="285" w:lineRule="auto"/>
        <w:rPr>
          <w:sz w:val="20"/>
          <w:szCs w:val="20"/>
          <w:color w:val="auto"/>
        </w:rPr>
      </w:pPr>
      <w:r>
        <w:rPr>
          <w:rFonts w:ascii="Arial" w:cs="Arial" w:eastAsia="Arial" w:hAnsi="Arial"/>
          <w:sz w:val="11"/>
          <w:szCs w:val="11"/>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in the IPO Prospectus.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79"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We are a “controlled company” within the meaning of the Nasdaq rules and, as a result, qualify for, and intend to rely on, exemptions and relief from certain corporate governance requirements. Our stockholders will not have the same protections afforded to stockholders of companies that are subject to such requirements.</w:t>
      </w:r>
    </w:p>
    <w:p>
      <w:pPr>
        <w:spacing w:after="0" w:line="77"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As of June 30, 2020, certain affiliates of TA Associates, Carlyle, and our Founders beneficially owned approximately 89.4% of the combined voting power of our Class A, Class B, and Class C common stock and are parties, among others, to a stockholders agreement described in “Certain Relationships and Related Person Transactions—Stockholders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74" w:lineRule="exact"/>
        <w:rPr>
          <w:sz w:val="20"/>
          <w:szCs w:val="20"/>
          <w:color w:val="auto"/>
        </w:rPr>
      </w:pPr>
    </w:p>
    <w:p>
      <w:pPr>
        <w:ind w:left="420" w:hanging="209"/>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 board that is composed of a majority of “independent directors,” as defined under the Nasdaq rules;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 compensation committee that is composed entirely of independent directors; and</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director nominations be made, or recommended to the full board of directors, by its independent directors, or by a nominations/governance committee that is composed entirely of independent directors.</w:t>
      </w:r>
    </w:p>
    <w:p>
      <w:pPr>
        <w:spacing w:after="0" w:line="116" w:lineRule="exact"/>
        <w:rPr>
          <w:sz w:val="20"/>
          <w:szCs w:val="20"/>
          <w:color w:val="auto"/>
        </w:rPr>
      </w:pPr>
    </w:p>
    <w:p>
      <w:pPr>
        <w:jc w:val="both"/>
        <w:ind w:right="20" w:firstLine="218"/>
        <w:spacing w:after="0" w:line="280" w:lineRule="auto"/>
        <w:rPr>
          <w:sz w:val="20"/>
          <w:szCs w:val="20"/>
          <w:color w:val="auto"/>
        </w:rPr>
      </w:pPr>
      <w:r>
        <w:rPr>
          <w:rFonts w:ascii="Arial" w:cs="Arial" w:eastAsia="Arial" w:hAnsi="Arial"/>
          <w:sz w:val="12"/>
          <w:szCs w:val="12"/>
          <w:color w:val="auto"/>
        </w:rPr>
        <w:t>We intend to continue to utilize these exemptions for as long as we continue to qualify as a “controlled company.” Accordingly, our stockholders will not have the same protections afforded to stockholders of companies that are subject to all of the corporate governance requirements of the Nasdaq.</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3" w:name="page114"/>
    <w:bookmarkEnd w:id="113"/>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86"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86"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77" w:lineRule="exact"/>
        <w:rPr>
          <w:sz w:val="20"/>
          <w:szCs w:val="20"/>
          <w:color w:val="auto"/>
        </w:rPr>
      </w:pPr>
    </w:p>
    <w:p>
      <w:pPr>
        <w:jc w:val="both"/>
        <w:ind w:firstLine="218"/>
        <w:spacing w:after="0" w:line="282" w:lineRule="auto"/>
        <w:rPr>
          <w:sz w:val="20"/>
          <w:szCs w:val="20"/>
          <w:color w:val="auto"/>
        </w:rPr>
      </w:pPr>
      <w:r>
        <w:rPr>
          <w:rFonts w:ascii="Arial" w:cs="Arial" w:eastAsia="Arial" w:hAnsi="Arial"/>
          <w:sz w:val="11"/>
          <w:szCs w:val="11"/>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7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9"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4" w:name="page115"/>
    <w:bookmarkEnd w:id="11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markets, which in turn could cause the price or trading volume of our Class A common stock to decline and our Class A common stock to be less liquid.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predict the impact our multi-class structure may have on the market price of our Class A common stock.</w:t>
      </w:r>
    </w:p>
    <w:p>
      <w:pPr>
        <w:spacing w:after="0" w:line="116"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2"/>
          <w:szCs w:val="12"/>
          <w:color w:val="auto"/>
        </w:rPr>
        <w:t>We cannot predict whether our multi-class structure, combined with the concentrated control of our stockholders who currently hold our capital stock,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disparity in the voting rights among the classes of common stock may have a potential adverse effect on the price of our Class A common stock.</w:t>
      </w:r>
    </w:p>
    <w:p>
      <w:pPr>
        <w:spacing w:after="0" w:line="116" w:lineRule="exact"/>
        <w:rPr>
          <w:sz w:val="20"/>
          <w:szCs w:val="20"/>
          <w:color w:val="auto"/>
        </w:rPr>
      </w:pPr>
    </w:p>
    <w:p>
      <w:pPr>
        <w:jc w:val="both"/>
        <w:ind w:firstLine="218"/>
        <w:spacing w:after="0" w:line="311" w:lineRule="auto"/>
        <w:rPr>
          <w:sz w:val="20"/>
          <w:szCs w:val="20"/>
          <w:color w:val="auto"/>
        </w:rPr>
      </w:pPr>
      <w:r>
        <w:rPr>
          <w:rFonts w:ascii="Arial" w:cs="Arial" w:eastAsia="Arial" w:hAnsi="Arial"/>
          <w:sz w:val="10"/>
          <w:szCs w:val="10"/>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 in the IPO Prospectus.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6" w:lineRule="exact"/>
        <w:rPr>
          <w:sz w:val="20"/>
          <w:szCs w:val="20"/>
          <w:color w:val="auto"/>
        </w:rPr>
      </w:pPr>
    </w:p>
    <w:p>
      <w:pPr>
        <w:jc w:val="both"/>
        <w:ind w:right="20" w:firstLine="218"/>
        <w:spacing w:after="0" w:line="266" w:lineRule="auto"/>
        <w:rPr>
          <w:sz w:val="20"/>
          <w:szCs w:val="20"/>
          <w:color w:val="auto"/>
        </w:rPr>
      </w:pPr>
      <w:r>
        <w:rPr>
          <w:rFonts w:ascii="Arial" w:cs="Arial" w:eastAsia="Arial" w:hAnsi="Arial"/>
          <w:sz w:val="12"/>
          <w:szCs w:val="12"/>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price you paid for such shares due to a number of factors, such as those listed elsewhere in this “Risk Factors” section and the following: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5" w:name="page116"/>
    <w:bookmarkEnd w:id="115"/>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we, our competitors, or other comparable companies report operating results below the expectations of public market analysts and investors;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variations in our, our competitors’, or other comparable companies’ quarterly operating results or dividends, if any, to stockholders;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guidance, if any, that we, our competitors, or other comparable companies provide to the public, any changes in this guidance, or failure to meet this guidance;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failure by us or others in our industry to meet analysts’ earnings estimates;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publication of research reports about our industry;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adverse market reaction to any indebtedness we may incur or securities we may issue in the future;</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changes in market valuations of similar companies or speculation in the press or investment community;</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declines in the market prices of stocks generally, particularly those of similar companies;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contracts, acquisitions, dispositions, strategic partnerships, joint ventures, or capital commitments;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investor perceptions of, or the investment opportunity associated with, our Class A common stock relative to other investment alternatives;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announcements relating to litigation, government investigations, changes in laws, or changes in business or regulatory conditions, or differing interpretations or enforcement thereof;</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adverse publicity about the industries we participate in; or</w:t>
      </w:r>
    </w:p>
    <w:p>
      <w:pPr>
        <w:spacing w:after="0" w:line="116" w:lineRule="exact"/>
        <w:rPr>
          <w:rFonts w:ascii="Arial" w:cs="Arial" w:eastAsia="Arial" w:hAnsi="Arial"/>
          <w:sz w:val="12"/>
          <w:szCs w:val="12"/>
          <w:color w:val="auto"/>
        </w:rPr>
      </w:pPr>
    </w:p>
    <w:p>
      <w:pPr>
        <w:ind w:left="420" w:hanging="209"/>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individual scandals.</w:t>
      </w:r>
    </w:p>
    <w:p>
      <w:pPr>
        <w:spacing w:after="0" w:line="116" w:lineRule="exact"/>
        <w:rPr>
          <w:sz w:val="20"/>
          <w:szCs w:val="20"/>
          <w:color w:val="auto"/>
        </w:rPr>
      </w:pPr>
    </w:p>
    <w:p>
      <w:pPr>
        <w:jc w:val="both"/>
        <w:ind w:firstLine="218"/>
        <w:spacing w:after="0" w:line="327" w:lineRule="auto"/>
        <w:rPr>
          <w:sz w:val="20"/>
          <w:szCs w:val="20"/>
          <w:color w:val="auto"/>
        </w:rPr>
      </w:pPr>
      <w:r>
        <w:rPr>
          <w:rFonts w:ascii="Arial" w:cs="Arial" w:eastAsia="Arial" w:hAnsi="Arial"/>
          <w:sz w:val="11"/>
          <w:szCs w:val="11"/>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55" w:lineRule="exact"/>
        <w:rPr>
          <w:sz w:val="20"/>
          <w:szCs w:val="20"/>
          <w:color w:val="auto"/>
        </w:rPr>
      </w:pPr>
    </w:p>
    <w:p>
      <w:pPr>
        <w:jc w:val="both"/>
        <w:ind w:firstLine="218"/>
        <w:spacing w:after="0" w:line="280" w:lineRule="auto"/>
        <w:rPr>
          <w:sz w:val="20"/>
          <w:szCs w:val="20"/>
          <w:color w:val="auto"/>
        </w:rPr>
      </w:pPr>
      <w:r>
        <w:rPr>
          <w:rFonts w:ascii="Arial" w:cs="Arial" w:eastAsia="Arial" w:hAnsi="Arial"/>
          <w:sz w:val="12"/>
          <w:szCs w:val="12"/>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be diluted by the future issuance of additional Class A common stock or OpCo Units in connection with our incentive plans, acquisitions, or otherwise.</w:t>
      </w:r>
    </w:p>
    <w:p>
      <w:pPr>
        <w:spacing w:after="0" w:line="116"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As of June 30, 2020, we had 2,448,005,709 shares of Class A common stock authorized but unissued, including 239,153,213 shares of Class A common stock issuable upon exchange of OpCo Units or HoldCo Units that are held by the Pre-IPO OpCo Unitholders or the Pre-IPO HoldCo Unitholders, respectively, 98,106,387 shares of Class A common stock issuable upon conversion of 98,106,387 shares of Class C common stock that are held by the Pre-IPO Blocker Holders, and 13,272,944 shares of Class A common stock issuable upon the vesting and conversion of 15,101,631 Class P Units held by the Continuing Class P Unitholders (based on the closing price of our Class A common stock of $51.03 per share as reported on Nasdaq on June 30, 2020).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6" w:name="page117"/>
    <w:bookmarkEnd w:id="116"/>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511,537 restricted stock units, 47,620 LTIP Units, 577,879 stock options, which we refer to as “leverage restoration options,” with a strike price equal to the public offering price per share of Class A common stock in the IPO, and 630,000 Class P Units with a participation threshold (</w:t>
      </w:r>
      <w:r>
        <w:rPr>
          <w:rFonts w:ascii="Arial" w:cs="Arial" w:eastAsia="Arial" w:hAnsi="Arial"/>
          <w:sz w:val="12"/>
          <w:szCs w:val="12"/>
          <w:i w:val="1"/>
          <w:iCs w:val="1"/>
          <w:color w:val="auto"/>
        </w:rPr>
        <w:t>i</w:t>
      </w:r>
      <w:r>
        <w:rPr>
          <w:rFonts w:ascii="Arial" w:cs="Arial" w:eastAsia="Arial" w:hAnsi="Arial"/>
          <w:sz w:val="12"/>
          <w:szCs w:val="12"/>
          <w:color w:val="auto"/>
        </w:rPr>
        <w:t>.</w:t>
      </w:r>
      <w:r>
        <w:rPr>
          <w:rFonts w:ascii="Arial" w:cs="Arial" w:eastAsia="Arial" w:hAnsi="Arial"/>
          <w:sz w:val="12"/>
          <w:szCs w:val="12"/>
          <w:i w:val="1"/>
          <w:iCs w:val="1"/>
          <w:color w:val="auto"/>
        </w:rPr>
        <w:t>e</w:t>
      </w:r>
      <w:r>
        <w:rPr>
          <w:rFonts w:ascii="Arial" w:cs="Arial" w:eastAsia="Arial" w:hAnsi="Arial"/>
          <w:sz w:val="12"/>
          <w:szCs w:val="12"/>
          <w:color w:val="auto"/>
        </w:rPr>
        <w:t>., strike price) equal to the IPO public offering price per share of Class A common stock were granted under our 2020 Omnibus Incentive Plan. Any Class A common stock that we issue, including under our 2020 Omnibus Incentive Plan or other equity incentive plans that we may adopt in the future, would dilute the percentage ownership held by our Class A common stockholders.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issue preferred stock whose terms could adversely affect the voting power or value of our Class A common stock.</w:t>
      </w:r>
    </w:p>
    <w:p>
      <w:pPr>
        <w:spacing w:after="0" w:line="11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or our pre-IPO owners sell additional shares of our Class A common stock or are perceived by the public markets as intending to sell them, the market price of our Class A common stock could decline.</w:t>
      </w:r>
    </w:p>
    <w:p>
      <w:pPr>
        <w:spacing w:after="0" w:line="128" w:lineRule="exact"/>
        <w:rPr>
          <w:sz w:val="20"/>
          <w:szCs w:val="20"/>
          <w:color w:val="auto"/>
        </w:rPr>
      </w:pPr>
    </w:p>
    <w:p>
      <w:pPr>
        <w:jc w:val="both"/>
        <w:ind w:firstLine="218"/>
        <w:spacing w:after="0" w:line="288" w:lineRule="auto"/>
        <w:rPr>
          <w:sz w:val="20"/>
          <w:szCs w:val="20"/>
          <w:color w:val="auto"/>
        </w:rPr>
      </w:pPr>
      <w:r>
        <w:rPr>
          <w:rFonts w:ascii="Arial" w:cs="Arial" w:eastAsia="Arial" w:hAnsi="Arial"/>
          <w:sz w:val="11"/>
          <w:szCs w:val="11"/>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As of June 30, 2020, we had a total of 51,994,291 shares of our Class A common stock outstanding. Of these shares, 51,175,000 shares of our Class A common stock were freely tradable without restriction or further registration under the Securities Act, by persons other than our “affiliates,” as that term is defined under Rule 144 of the Securities Act (“Rule 144”). The remaining shares of our outstanding Class A common stock were “restricted securities,” as defined in Rule 144, and may not be sold absent registration under the Securities Act or compliance with Rule 144 thereunder or in reliance on another exemption from registration.</w:t>
      </w:r>
    </w:p>
    <w:p>
      <w:pPr>
        <w:spacing w:after="0" w:line="76" w:lineRule="exact"/>
        <w:rPr>
          <w:sz w:val="20"/>
          <w:szCs w:val="20"/>
          <w:color w:val="auto"/>
        </w:rPr>
      </w:pPr>
    </w:p>
    <w:p>
      <w:pPr>
        <w:jc w:val="both"/>
        <w:ind w:firstLine="218"/>
        <w:spacing w:after="0" w:line="283" w:lineRule="auto"/>
        <w:rPr>
          <w:sz w:val="20"/>
          <w:szCs w:val="20"/>
          <w:color w:val="auto"/>
        </w:rPr>
      </w:pPr>
      <w:r>
        <w:rPr>
          <w:rFonts w:ascii="Arial" w:cs="Arial" w:eastAsia="Arial" w:hAnsi="Arial"/>
          <w:sz w:val="11"/>
          <w:szCs w:val="11"/>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7" w:name="page118"/>
    <w:bookmarkEnd w:id="117"/>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outstanding shares of our Class B common stock and Class C common stock is less than 5% of our outstanding shares of common stock. Once converted into Class A common stock, Class C common stock will not be reissued.</w:t>
      </w:r>
    </w:p>
    <w:p>
      <w:pPr>
        <w:spacing w:after="0" w:line="128" w:lineRule="exact"/>
        <w:rPr>
          <w:sz w:val="20"/>
          <w:szCs w:val="20"/>
          <w:color w:val="auto"/>
        </w:rPr>
      </w:pPr>
    </w:p>
    <w:p>
      <w:pPr>
        <w:jc w:val="both"/>
        <w:ind w:firstLine="218"/>
        <w:spacing w:after="0" w:line="257" w:lineRule="auto"/>
        <w:rPr>
          <w:sz w:val="20"/>
          <w:szCs w:val="20"/>
          <w:color w:val="auto"/>
        </w:rPr>
      </w:pPr>
      <w:r>
        <w:rPr>
          <w:rFonts w:ascii="Arial" w:cs="Arial" w:eastAsia="Arial" w:hAnsi="Arial"/>
          <w:sz w:val="12"/>
          <w:szCs w:val="12"/>
          <w:color w:val="auto"/>
        </w:rPr>
        <w:t>As of June 30, 2020 (subject to the terms of the applicable limited liability company agreement), an aggregate of 234,932,785 OpCo Units and an aggregate of 4,220,428 HoldCo Units may be exchanged for shares of our Class A common stock, and an aggregate of 98,106,387 shares of Class C common stock may be converted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180 days from the date of the IPO Prospectus (June 3, 2020), except with certain underwriters’ prior written consent.</w:t>
      </w:r>
    </w:p>
    <w:p>
      <w:pPr>
        <w:spacing w:after="0" w:line="91" w:lineRule="exact"/>
        <w:rPr>
          <w:sz w:val="20"/>
          <w:szCs w:val="20"/>
          <w:color w:val="auto"/>
        </w:rPr>
      </w:pPr>
    </w:p>
    <w:p>
      <w:pPr>
        <w:jc w:val="both"/>
        <w:ind w:firstLine="218"/>
        <w:spacing w:after="0" w:line="261" w:lineRule="auto"/>
        <w:rPr>
          <w:sz w:val="20"/>
          <w:szCs w:val="20"/>
          <w:color w:val="auto"/>
        </w:rPr>
      </w:pPr>
      <w:r>
        <w:rPr>
          <w:rFonts w:ascii="Arial" w:cs="Arial" w:eastAsia="Arial" w:hAnsi="Arial"/>
          <w:sz w:val="12"/>
          <w:szCs w:val="12"/>
          <w:color w:val="auto"/>
        </w:rPr>
        <w:t>Subject to certain limitations and exceptions, pursuant to the terms of the amended and restated limited liability company agreement of ZoomInfo OpCo, the holders of 15,101,631 Class P Units, which have a weighted-average per unit participation threshold (</w:t>
      </w:r>
      <w:r>
        <w:rPr>
          <w:rFonts w:ascii="Arial" w:cs="Arial" w:eastAsia="Arial" w:hAnsi="Arial"/>
          <w:sz w:val="12"/>
          <w:szCs w:val="12"/>
          <w:i w:val="1"/>
          <w:iCs w:val="1"/>
          <w:color w:val="auto"/>
        </w:rPr>
        <w:t>i.e.,</w:t>
      </w:r>
      <w:r>
        <w:rPr>
          <w:rFonts w:ascii="Arial" w:cs="Arial" w:eastAsia="Arial" w:hAnsi="Arial"/>
          <w:sz w:val="12"/>
          <w:szCs w:val="12"/>
          <w:color w:val="auto"/>
        </w:rPr>
        <w:t xml:space="preserve"> the strike price) of $6.18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 in the IPO Prospectus.</w:t>
      </w:r>
    </w:p>
    <w:p>
      <w:pPr>
        <w:spacing w:after="0" w:line="90"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8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However, subject to the expiration or waiver of the 180-day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As of June 30, 2020, the shares covered by registration rights represented approximately 86% of our total Class A common stock outstanding,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w:t>
      </w:r>
    </w:p>
    <w:p>
      <w:pPr>
        <w:spacing w:after="0" w:line="91" w:lineRule="exact"/>
        <w:rPr>
          <w:sz w:val="20"/>
          <w:szCs w:val="20"/>
          <w:color w:val="auto"/>
        </w:rPr>
      </w:pPr>
    </w:p>
    <w:p>
      <w:pPr>
        <w:jc w:val="both"/>
        <w:ind w:firstLine="218"/>
        <w:spacing w:after="0" w:line="266" w:lineRule="auto"/>
        <w:rPr>
          <w:sz w:val="20"/>
          <w:szCs w:val="20"/>
          <w:color w:val="auto"/>
        </w:rPr>
      </w:pPr>
      <w:r>
        <w:rPr>
          <w:rFonts w:ascii="Arial" w:cs="Arial" w:eastAsia="Arial" w:hAnsi="Arial"/>
          <w:sz w:val="12"/>
          <w:szCs w:val="12"/>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86" w:lineRule="exact"/>
        <w:rPr>
          <w:sz w:val="20"/>
          <w:szCs w:val="20"/>
          <w:color w:val="auto"/>
        </w:rPr>
      </w:pPr>
    </w:p>
    <w:p>
      <w:pPr>
        <w:jc w:val="both"/>
        <w:ind w:firstLine="218"/>
        <w:spacing w:after="0" w:line="292" w:lineRule="auto"/>
        <w:rPr>
          <w:sz w:val="20"/>
          <w:szCs w:val="20"/>
          <w:color w:val="auto"/>
        </w:rPr>
      </w:pPr>
      <w:r>
        <w:rPr>
          <w:rFonts w:ascii="Arial" w:cs="Arial" w:eastAsia="Arial" w:hAnsi="Arial"/>
          <w:sz w:val="11"/>
          <w:szCs w:val="11"/>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8" w:name="page119"/>
    <w:bookmarkEnd w:id="118"/>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Anti-takeover provisions in our organizational documents and Delaware law might discourage or delay acquisition attempts for us that you might consider favorable.</w:t>
      </w:r>
    </w:p>
    <w:p>
      <w:pPr>
        <w:spacing w:after="0" w:line="116" w:lineRule="exact"/>
        <w:rPr>
          <w:sz w:val="20"/>
          <w:szCs w:val="20"/>
          <w:color w:val="auto"/>
        </w:rPr>
      </w:pPr>
    </w:p>
    <w:p>
      <w:pPr>
        <w:ind w:firstLine="218"/>
        <w:spacing w:after="0" w:line="280" w:lineRule="auto"/>
        <w:rPr>
          <w:sz w:val="20"/>
          <w:szCs w:val="20"/>
          <w:color w:val="auto"/>
        </w:rPr>
      </w:pPr>
      <w:r>
        <w:rPr>
          <w:rFonts w:ascii="Arial" w:cs="Arial" w:eastAsia="Arial" w:hAnsi="Arial"/>
          <w:sz w:val="12"/>
          <w:szCs w:val="12"/>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77" w:lineRule="exact"/>
        <w:rPr>
          <w:sz w:val="20"/>
          <w:szCs w:val="20"/>
          <w:color w:val="auto"/>
        </w:rPr>
      </w:pPr>
    </w:p>
    <w:p>
      <w:pPr>
        <w:ind w:left="420" w:right="20" w:hanging="209"/>
        <w:spacing w:after="0" w:line="280" w:lineRule="auto"/>
        <w:tabs>
          <w:tab w:leader="none" w:pos="417"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54" w:lineRule="exact"/>
        <w:rPr>
          <w:rFonts w:ascii="Arial" w:cs="Arial" w:eastAsia="Arial" w:hAnsi="Arial"/>
          <w:sz w:val="12"/>
          <w:szCs w:val="12"/>
          <w:color w:val="auto"/>
        </w:rPr>
      </w:pPr>
    </w:p>
    <w:p>
      <w:pPr>
        <w:ind w:left="420" w:right="20" w:hanging="209"/>
        <w:spacing w:after="0" w:line="319" w:lineRule="auto"/>
        <w:tabs>
          <w:tab w:leader="none" w:pos="417"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55" w:lineRule="exact"/>
        <w:rPr>
          <w:rFonts w:ascii="Arial" w:cs="Arial" w:eastAsia="Arial" w:hAnsi="Arial"/>
          <w:sz w:val="12"/>
          <w:szCs w:val="12"/>
          <w:color w:val="auto"/>
        </w:rPr>
      </w:pPr>
    </w:p>
    <w:p>
      <w:pPr>
        <w:ind w:left="420" w:hanging="209"/>
        <w:spacing w:after="0" w:line="327" w:lineRule="auto"/>
        <w:tabs>
          <w:tab w:leader="none" w:pos="417" w:val="left"/>
        </w:tabs>
        <w:numPr>
          <w:ilvl w:val="0"/>
          <w:numId w:val="48"/>
        </w:numPr>
        <w:rPr>
          <w:rFonts w:ascii="Arial" w:cs="Arial" w:eastAsia="Arial" w:hAnsi="Arial"/>
          <w:sz w:val="11"/>
          <w:szCs w:val="11"/>
          <w:color w:val="auto"/>
        </w:rPr>
      </w:pPr>
      <w:r>
        <w:rPr>
          <w:rFonts w:ascii="Arial" w:cs="Arial" w:eastAsia="Arial" w:hAnsi="Arial"/>
          <w:sz w:val="11"/>
          <w:szCs w:val="11"/>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54" w:lineRule="exact"/>
        <w:rPr>
          <w:rFonts w:ascii="Arial" w:cs="Arial" w:eastAsia="Arial" w:hAnsi="Arial"/>
          <w:sz w:val="11"/>
          <w:szCs w:val="11"/>
          <w:color w:val="auto"/>
        </w:rPr>
      </w:pPr>
    </w:p>
    <w:p>
      <w:pPr>
        <w:ind w:left="420" w:right="20" w:hanging="209"/>
        <w:spacing w:after="0" w:line="280" w:lineRule="auto"/>
        <w:tabs>
          <w:tab w:leader="none" w:pos="417"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77" w:lineRule="exact"/>
        <w:rPr>
          <w:rFonts w:ascii="Arial" w:cs="Arial" w:eastAsia="Arial" w:hAnsi="Arial"/>
          <w:sz w:val="12"/>
          <w:szCs w:val="12"/>
          <w:color w:val="auto"/>
        </w:rPr>
      </w:pPr>
    </w:p>
    <w:p>
      <w:pPr>
        <w:ind w:left="420" w:hanging="209"/>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for certain limitations on convening special stockholder meetings;</w:t>
      </w:r>
    </w:p>
    <w:p>
      <w:pPr>
        <w:spacing w:after="0" w:line="93" w:lineRule="exact"/>
        <w:rPr>
          <w:rFonts w:ascii="Arial" w:cs="Arial" w:eastAsia="Arial" w:hAnsi="Arial"/>
          <w:sz w:val="12"/>
          <w:szCs w:val="12"/>
          <w:color w:val="auto"/>
        </w:rPr>
      </w:pPr>
    </w:p>
    <w:p>
      <w:pPr>
        <w:jc w:val="both"/>
        <w:ind w:left="420" w:right="20" w:hanging="209"/>
        <w:spacing w:after="0" w:line="285" w:lineRule="auto"/>
        <w:tabs>
          <w:tab w:leader="none" w:pos="417"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53" w:lineRule="exact"/>
        <w:rPr>
          <w:rFonts w:ascii="Arial" w:cs="Arial" w:eastAsia="Arial" w:hAnsi="Arial"/>
          <w:sz w:val="12"/>
          <w:szCs w:val="12"/>
          <w:color w:val="auto"/>
        </w:rPr>
      </w:pPr>
    </w:p>
    <w:p>
      <w:pPr>
        <w:jc w:val="both"/>
        <w:ind w:left="420" w:hanging="209"/>
        <w:spacing w:after="0" w:line="285" w:lineRule="auto"/>
        <w:tabs>
          <w:tab w:leader="none" w:pos="417"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75" w:lineRule="exact"/>
        <w:rPr>
          <w:rFonts w:ascii="Arial" w:cs="Arial" w:eastAsia="Arial" w:hAnsi="Arial"/>
          <w:sz w:val="12"/>
          <w:szCs w:val="12"/>
          <w:color w:val="auto"/>
        </w:rPr>
      </w:pPr>
    </w:p>
    <w:p>
      <w:pPr>
        <w:ind w:left="420" w:hanging="209"/>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elections to our board of directors or for proposing matters that can be acted upon by stockholders at stockholder meetings.</w:t>
      </w:r>
    </w:p>
    <w:p>
      <w:pPr>
        <w:spacing w:after="0" w:line="116"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2"/>
          <w:szCs w:val="12"/>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 in the IPO Prospectus.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9" w:name="page120"/>
    <w:bookmarkEnd w:id="119"/>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77" w:lineRule="exact"/>
        <w:rPr>
          <w:sz w:val="20"/>
          <w:szCs w:val="20"/>
          <w:color w:val="auto"/>
        </w:rPr>
      </w:pPr>
    </w:p>
    <w:p>
      <w:pPr>
        <w:jc w:val="both"/>
        <w:ind w:firstLine="218"/>
        <w:spacing w:after="0" w:line="281" w:lineRule="auto"/>
        <w:rPr>
          <w:sz w:val="20"/>
          <w:szCs w:val="20"/>
          <w:color w:val="auto"/>
        </w:rPr>
      </w:pPr>
      <w:r>
        <w:rPr>
          <w:rFonts w:ascii="Arial" w:cs="Arial" w:eastAsia="Arial" w:hAnsi="Arial"/>
          <w:sz w:val="11"/>
          <w:szCs w:val="11"/>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331"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Unregistered Sales of Equity Securities</w:t>
      </w:r>
    </w:p>
    <w:p>
      <w:pPr>
        <w:spacing w:after="0" w:line="116"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color w:val="auto"/>
        </w:rPr>
        <w:t>In connection with the IPO, ZoomInfo Technologies Inc. effected a series of transactions occurring at various times prior to and/or concurrently with the closing of the IPO that resulted in a reorganization of its business (the “Reorganization Transactions”). In connection with the Reorganization Transactions, on June 3, 2020, ZoomInfo Technologies Inc. issued 98,106,387 shares of its Class C common stock, par value $0.01 per share (“Class C Common Stock”), to affiliates of TA Associates, The Carlyle Group, and 22C Capital. Shares of Class C Common Stock are convertible at the option of the holder into shares of ZoomInfo Technologies Inc.’s Class A common stock on a one-for-one basis, pursuant to the conversion terms described under “Description of Capital Stock” in the IPO Prospectus.</w:t>
      </w:r>
    </w:p>
    <w:p>
      <w:pPr>
        <w:spacing w:after="0" w:line="90"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No underwriters were involved in the issuance and sale of the shares of Class C common stock. The issuances of the shares of Class C common stock described in the foregoing paragraph were made in reliance on Section 4(a)(2) of the Securities Act.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Proceeds</w:t>
      </w:r>
    </w:p>
    <w:p>
      <w:pPr>
        <w:spacing w:after="0" w:line="116"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1"/>
          <w:szCs w:val="11"/>
          <w:color w:val="auto"/>
        </w:rPr>
        <w:t xml:space="preserve">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in accounts receivable as of June 30, 2020). </w:t>
      </w:r>
      <w:r>
        <w:rPr>
          <w:rFonts w:ascii="Arial" w:cs="Arial" w:eastAsia="Arial" w:hAnsi="Arial"/>
          <w:sz w:val="11"/>
          <w:szCs w:val="11"/>
          <w:color w:val="212529"/>
        </w:rPr>
        <w:t>The IPO was registered pursuant to a registration statement on Form S-1 (File No. 333-236674) that was declared effective by the SEC on June 3, 2020.</w:t>
      </w:r>
    </w:p>
    <w:p>
      <w:pPr>
        <w:spacing w:after="0" w:line="69"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As contemplated in the IPO Prospectus, ZoomInfo Technologies Inc. used all of the proceeds from the IPO to (i) purchase 48,528,783 newly issued HoldCo Units from ZoomInfo HoldCo for approximately $966.9 million (which ZoomInfo HoldCo in turn used to purchase the same number of newly issued OpCo Units from ZoomInfo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0" w:name="page121"/>
    <w:bookmarkEnd w:id="120"/>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OpCo); (ii) purchase 2,370,948 OpCo Units from certain Pre-IPO OpCo Unitholders for approximately $47.2 million; and (iii) fund $5.5 million of merger consideration payable to certain Pre-IPO Blocker Holders in connection with the Blocker Mergers.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the First Lien Credit Agreement, including accrued interest thereon, using approximately $101.2 million of the proceeds; with the remaining proceeds intended to be used for general corporate purposes.</w:t>
      </w:r>
    </w:p>
    <w:p>
      <w:pPr>
        <w:spacing w:after="0" w:line="35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None.</w:t>
      </w:r>
    </w:p>
    <w:p>
      <w:pPr>
        <w:spacing w:after="0" w:line="38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Not applicable.</w:t>
      </w:r>
    </w:p>
    <w:p>
      <w:pPr>
        <w:spacing w:after="0" w:line="38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1"/>
          <w:szCs w:val="11"/>
          <w:i w:val="1"/>
          <w:iCs w:val="1"/>
          <w:color w:val="auto"/>
        </w:rPr>
        <w:t xml:space="preserve">Employment Agreement. </w:t>
      </w:r>
      <w:r>
        <w:rPr>
          <w:rFonts w:ascii="Arial" w:cs="Arial" w:eastAsia="Arial" w:hAnsi="Arial"/>
          <w:sz w:val="11"/>
          <w:szCs w:val="11"/>
          <w:color w:val="auto"/>
        </w:rPr>
        <w:t>On August 10, 2020, we entered into a new employment agreement (the “New Employment Agreement”) with Chris Hays, our Chief Revenue Officer. The New Employment Agreement will supersede Mr.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Hays’ prior employment agreement, dated August 26, 2018, as amended on May 28, 2019.</w:t>
      </w:r>
    </w:p>
    <w:p>
      <w:pPr>
        <w:spacing w:after="0" w:line="144" w:lineRule="exact"/>
        <w:rPr>
          <w:sz w:val="20"/>
          <w:szCs w:val="20"/>
          <w:color w:val="auto"/>
        </w:rPr>
      </w:pPr>
    </w:p>
    <w:p>
      <w:pPr>
        <w:jc w:val="both"/>
        <w:ind w:firstLine="122"/>
        <w:spacing w:after="0" w:line="261" w:lineRule="auto"/>
        <w:rPr>
          <w:sz w:val="20"/>
          <w:szCs w:val="20"/>
          <w:color w:val="auto"/>
        </w:rPr>
      </w:pPr>
      <w:r>
        <w:rPr>
          <w:rFonts w:ascii="Arial" w:cs="Arial" w:eastAsia="Arial" w:hAnsi="Arial"/>
          <w:sz w:val="12"/>
          <w:szCs w:val="12"/>
          <w:color w:val="auto"/>
        </w:rPr>
        <w:t>Under the terms of the New Employment Agreement, Mr. Hays will be (i) an at-will employee with no fixed contractual term of employment, and either party may terminate his employment at any time, with or without cause, upon at least 30 days advance notice; (ii) entitled to a base salary of $360,000; (iii) eligible for an annual cash incentive bonus, with a target bonus amount of $200,000 and a maximum bonus amount of $1 million based upon the achievement of specific performance for the applicable fiscal year, as approved by the Compensation Committee of the Board of Directors; and (iv) entitled to participate in all employee benefit plans provided generally to our senior executives.</w:t>
      </w:r>
    </w:p>
    <w:p>
      <w:pPr>
        <w:spacing w:after="0" w:line="126" w:lineRule="exact"/>
        <w:rPr>
          <w:sz w:val="20"/>
          <w:szCs w:val="20"/>
          <w:color w:val="auto"/>
        </w:rPr>
      </w:pPr>
    </w:p>
    <w:p>
      <w:pPr>
        <w:jc w:val="both"/>
        <w:ind w:firstLine="139"/>
        <w:spacing w:after="0" w:line="258" w:lineRule="auto"/>
        <w:rPr>
          <w:sz w:val="20"/>
          <w:szCs w:val="20"/>
          <w:color w:val="auto"/>
        </w:rPr>
      </w:pPr>
      <w:r>
        <w:rPr>
          <w:rFonts w:ascii="Arial" w:cs="Arial" w:eastAsia="Arial" w:hAnsi="Arial"/>
          <w:sz w:val="12"/>
          <w:szCs w:val="12"/>
          <w:color w:val="auto"/>
        </w:rPr>
        <w:t>Pursuant the terms of the New Employment Agreement and except as otherwise described below, upon termination of Mr. Hays’ employment by the Company without cause or his resignation with good reason, Mr. Hays will be entitled to (i) a severance payment (subject to his execution of a general release of claims against the Company) equal to one year of his base salary plus the target amount of his annual cash incentive bonus for the year in which the termination occurs prorated based on the number of days that Mr. Hays is employed during the fiscal year in which the termination date occurs, payable in a single lump sum; (ii) payment of any earned but unpaid annual bonus for the fiscal year prior to the year in which the termination date occurs, payable in a single lump sum; (iii) continuation for twelve months following the termination date of any health insurance benefits to which he was entitled as of the termination date; and (iv) accelerated vesting of the portion of Mr. Hays’ then-unvested equity awards subject to time based vesting that he holds as of the termination date and are scheduled to vest within twelve months following the termination date.</w:t>
      </w:r>
    </w:p>
    <w:p>
      <w:pPr>
        <w:spacing w:after="0" w:line="127" w:lineRule="exact"/>
        <w:rPr>
          <w:sz w:val="20"/>
          <w:szCs w:val="20"/>
          <w:color w:val="auto"/>
        </w:rPr>
      </w:pPr>
    </w:p>
    <w:p>
      <w:pPr>
        <w:jc w:val="both"/>
        <w:ind w:firstLine="153"/>
        <w:spacing w:after="0" w:line="301" w:lineRule="auto"/>
        <w:rPr>
          <w:sz w:val="20"/>
          <w:szCs w:val="20"/>
          <w:color w:val="auto"/>
        </w:rPr>
      </w:pPr>
      <w:r>
        <w:rPr>
          <w:rFonts w:ascii="Arial" w:cs="Arial" w:eastAsia="Arial" w:hAnsi="Arial"/>
          <w:sz w:val="11"/>
          <w:szCs w:val="11"/>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1" w:name="page122"/>
    <w:bookmarkEnd w:id="121"/>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termination date occurs, payable in a single lump sum; (iii) continuation for 18 months following the termination date of any health insurance benefits to which he was entitled as of the termination date; and (iv) full accelerated vesting of all of Mr. Hays’ then-unvested equity awards subject to time-based vesting that he holds as of the termination date.</w:t>
      </w:r>
    </w:p>
    <w:p>
      <w:pPr>
        <w:spacing w:after="0" w:line="114" w:lineRule="exact"/>
        <w:rPr>
          <w:sz w:val="20"/>
          <w:szCs w:val="20"/>
          <w:color w:val="auto"/>
        </w:rPr>
      </w:pPr>
    </w:p>
    <w:p>
      <w:pPr>
        <w:jc w:val="both"/>
        <w:ind w:right="20" w:firstLine="128"/>
        <w:spacing w:after="0" w:line="280" w:lineRule="auto"/>
        <w:rPr>
          <w:sz w:val="20"/>
          <w:szCs w:val="20"/>
          <w:color w:val="auto"/>
        </w:rPr>
      </w:pPr>
      <w:r>
        <w:rPr>
          <w:rFonts w:ascii="Arial" w:cs="Arial" w:eastAsia="Arial" w:hAnsi="Arial"/>
          <w:sz w:val="12"/>
          <w:szCs w:val="12"/>
          <w:color w:val="auto"/>
        </w:rPr>
        <w:t>Under the terms of the New Employment Agreement, if Mr. Hays’ employment terminates due to death or disability, he will be entitled to a severance payment equal to his accrued and unpaid base salary plus the expected amount of his annual cash incentive bonus for the year in which the termination occurs prorated through the termination date.</w:t>
      </w:r>
    </w:p>
    <w:p>
      <w:pPr>
        <w:spacing w:after="0" w:line="11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Pursuant to the terms of the Agreement, Mr. Hays will be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2" w:name="page123"/>
    <w:bookmarkEnd w:id="122"/>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20"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Exhibits.</w:t>
      </w:r>
    </w:p>
    <w:p>
      <w:pPr>
        <w:spacing w:after="0" w:line="120" w:lineRule="exact"/>
        <w:rPr>
          <w:sz w:val="20"/>
          <w:szCs w:val="20"/>
          <w:color w:val="auto"/>
        </w:rPr>
      </w:pPr>
    </w:p>
    <w:p>
      <w:pPr>
        <w:jc w:val="both"/>
        <w:ind w:left="220" w:firstLine="436"/>
        <w:spacing w:after="0" w:line="261" w:lineRule="auto"/>
        <w:rPr>
          <w:sz w:val="20"/>
          <w:szCs w:val="20"/>
          <w:color w:val="auto"/>
        </w:rPr>
      </w:pPr>
      <w:r>
        <w:rPr>
          <w:rFonts w:ascii="Arial" w:cs="Arial" w:eastAsia="Arial" w:hAnsi="Arial"/>
          <w:sz w:val="12"/>
          <w:szCs w:val="12"/>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3" w:name="page124"/>
    <w:bookmarkEnd w:id="123"/>
    <w:p>
      <w:pPr>
        <w:ind w:left="7"/>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356" w:lineRule="exact"/>
        <w:rPr>
          <w:sz w:val="20"/>
          <w:szCs w:val="20"/>
          <w:color w:val="auto"/>
        </w:rPr>
      </w:pPr>
    </w:p>
    <w:tbl>
      <w:tblPr>
        <w:tblLayout w:type="fixed"/>
        <w:tblInd w:w="47" w:type="dxa"/>
        <w:tblCellMar>
          <w:top w:w="0" w:type="dxa"/>
          <w:left w:w="0" w:type="dxa"/>
          <w:bottom w:w="0" w:type="dxa"/>
          <w:right w:w="0" w:type="dxa"/>
        </w:tblCellMar>
      </w:tblPr>
      <w:tr>
        <w:trPr>
          <w:trHeight w:val="145"/>
        </w:trPr>
        <w:tc>
          <w:tcPr>
            <w:tcW w:w="920" w:type="dxa"/>
            <w:vAlign w:val="bottom"/>
          </w:tcPr>
          <w:p>
            <w:pPr>
              <w:jc w:val="center"/>
              <w:ind w:right="11"/>
              <w:spacing w:after="0"/>
              <w:rPr>
                <w:sz w:val="20"/>
                <w:szCs w:val="20"/>
                <w:color w:val="auto"/>
              </w:rPr>
            </w:pPr>
            <w:r>
              <w:rPr>
                <w:rFonts w:ascii="Arial" w:cs="Arial" w:eastAsia="Arial" w:hAnsi="Arial"/>
                <w:sz w:val="12"/>
                <w:szCs w:val="12"/>
                <w:b w:val="1"/>
                <w:bCs w:val="1"/>
                <w:color w:val="auto"/>
                <w:w w:val="96"/>
              </w:rPr>
              <w:t>Exhibit Number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2"/>
                <w:szCs w:val="12"/>
                <w:b w:val="1"/>
                <w:bCs w:val="1"/>
                <w:color w:val="auto"/>
                <w:w w:val="91"/>
              </w:rPr>
              <w:t>Report or Registration Statement</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1"/>
              </w:rPr>
              <w:t>SEC File or Registration</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w w:val="88"/>
              </w:rPr>
              <w:t>Exhibit Reference</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80" w:type="dxa"/>
            <w:vAlign w:val="bottom"/>
            <w:gridSpan w:val="9"/>
            <w:vMerge w:val="restart"/>
          </w:tcPr>
          <w:p>
            <w:pPr>
              <w:ind w:left="1220"/>
              <w:spacing w:after="0"/>
              <w:rPr>
                <w:sz w:val="20"/>
                <w:szCs w:val="20"/>
                <w:color w:val="auto"/>
              </w:rPr>
            </w:pPr>
            <w:r>
              <w:rPr>
                <w:rFonts w:ascii="Arial" w:cs="Arial" w:eastAsia="Arial" w:hAnsi="Arial"/>
                <w:sz w:val="12"/>
                <w:szCs w:val="12"/>
                <w:b w:val="1"/>
                <w:bCs w:val="1"/>
                <w:color w:val="auto"/>
              </w:rPr>
              <w:t>Description</w:t>
            </w:r>
          </w:p>
        </w:tc>
        <w:tc>
          <w:tcPr>
            <w:tcW w:w="19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80" w:type="dxa"/>
            <w:vAlign w:val="bottom"/>
            <w:gridSpan w:val="9"/>
            <w:vMerge w:val="continue"/>
          </w:tcPr>
          <w:p>
            <w:pPr>
              <w:spacing w:after="0"/>
              <w:rPr>
                <w:sz w:val="11"/>
                <w:szCs w:val="11"/>
                <w:color w:val="auto"/>
              </w:rPr>
            </w:pPr>
          </w:p>
        </w:tc>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920" w:type="dxa"/>
            <w:vAlign w:val="bottom"/>
          </w:tcPr>
          <w:p>
            <w:pPr>
              <w:jc w:val="center"/>
              <w:ind w:right="31"/>
              <w:spacing w:after="0"/>
              <w:rPr>
                <w:sz w:val="20"/>
                <w:szCs w:val="20"/>
                <w:color w:val="auto"/>
              </w:rPr>
            </w:pPr>
            <w:r>
              <w:rPr>
                <w:rFonts w:ascii="Arial" w:cs="Arial" w:eastAsia="Arial" w:hAnsi="Arial"/>
                <w:sz w:val="10"/>
                <w:szCs w:val="10"/>
                <w:color w:val="auto"/>
                <w:w w:val="85"/>
              </w:rPr>
              <w:t>3.1</w:t>
            </w:r>
          </w:p>
        </w:tc>
        <w:tc>
          <w:tcPr>
            <w:tcW w:w="5860" w:type="dxa"/>
            <w:vAlign w:val="bottom"/>
            <w:gridSpan w:val="15"/>
          </w:tcPr>
          <w:p>
            <w:pPr>
              <w:spacing w:after="0"/>
              <w:rPr>
                <w:rFonts w:ascii="Arial" w:cs="Arial" w:eastAsia="Arial" w:hAnsi="Arial"/>
                <w:sz w:val="10"/>
                <w:szCs w:val="10"/>
                <w:u w:val="single" w:color="auto"/>
                <w:color w:val="0000FF"/>
              </w:rPr>
            </w:pPr>
            <w:hyperlink r:id="rId164">
              <w:r>
                <w:rPr>
                  <w:rFonts w:ascii="Arial" w:cs="Arial" w:eastAsia="Arial" w:hAnsi="Arial"/>
                  <w:sz w:val="10"/>
                  <w:szCs w:val="10"/>
                  <w:u w:val="single" w:color="auto"/>
                  <w:color w:val="0000FF"/>
                </w:rPr>
                <w:t>Amended and Restated Certificate of Incorporation of ZoomInfo Technologies Inc.</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5"/>
              </w:rPr>
              <w:t>3.1</w:t>
            </w:r>
          </w:p>
        </w:tc>
        <w:tc>
          <w:tcPr>
            <w:tcW w:w="0" w:type="dxa"/>
            <w:vAlign w:val="bottom"/>
          </w:tcPr>
          <w:p>
            <w:pPr>
              <w:spacing w:after="0"/>
              <w:rPr>
                <w:sz w:val="1"/>
                <w:szCs w:val="1"/>
                <w:color w:val="auto"/>
              </w:rPr>
            </w:pPr>
          </w:p>
        </w:tc>
      </w:tr>
      <w:tr>
        <w:trPr>
          <w:trHeight w:val="145"/>
        </w:trPr>
        <w:tc>
          <w:tcPr>
            <w:tcW w:w="920" w:type="dxa"/>
            <w:vAlign w:val="bottom"/>
          </w:tcPr>
          <w:p>
            <w:pPr>
              <w:jc w:val="center"/>
              <w:ind w:right="31"/>
              <w:spacing w:after="0"/>
              <w:rPr>
                <w:sz w:val="20"/>
                <w:szCs w:val="20"/>
                <w:color w:val="auto"/>
              </w:rPr>
            </w:pPr>
            <w:r>
              <w:rPr>
                <w:rFonts w:ascii="Arial" w:cs="Arial" w:eastAsia="Arial" w:hAnsi="Arial"/>
                <w:sz w:val="10"/>
                <w:szCs w:val="10"/>
                <w:color w:val="auto"/>
                <w:w w:val="85"/>
              </w:rPr>
              <w:t>3.2</w:t>
            </w:r>
          </w:p>
        </w:tc>
        <w:tc>
          <w:tcPr>
            <w:tcW w:w="5860" w:type="dxa"/>
            <w:vAlign w:val="bottom"/>
            <w:gridSpan w:val="15"/>
          </w:tcPr>
          <w:p>
            <w:pPr>
              <w:spacing w:after="0"/>
              <w:rPr>
                <w:rFonts w:ascii="Arial" w:cs="Arial" w:eastAsia="Arial" w:hAnsi="Arial"/>
                <w:sz w:val="10"/>
                <w:szCs w:val="10"/>
                <w:color w:val="0000FF"/>
              </w:rPr>
            </w:pPr>
            <w:hyperlink r:id="rId165">
              <w:r>
                <w:rPr>
                  <w:rFonts w:ascii="Arial" w:cs="Arial" w:eastAsia="Arial" w:hAnsi="Arial"/>
                  <w:sz w:val="10"/>
                  <w:szCs w:val="10"/>
                  <w:u w:val="single" w:color="auto"/>
                  <w:color w:val="0000FF"/>
                </w:rPr>
                <w:t>Amended and Restated Bylaws of ZoomInfo Technologies Inc</w:t>
              </w:r>
              <w:r>
                <w:rPr>
                  <w:rFonts w:ascii="Arial" w:cs="Arial" w:eastAsia="Arial" w:hAnsi="Arial"/>
                  <w:sz w:val="10"/>
                  <w:szCs w:val="10"/>
                  <w:color w:val="0000FF"/>
                </w:rPr>
                <w:t>.</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5"/>
              </w:rPr>
              <w:t>3.2</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10.1</w:t>
            </w:r>
          </w:p>
        </w:tc>
        <w:tc>
          <w:tcPr>
            <w:tcW w:w="5860" w:type="dxa"/>
            <w:vAlign w:val="bottom"/>
            <w:gridSpan w:val="15"/>
          </w:tcPr>
          <w:p>
            <w:pPr>
              <w:spacing w:after="0"/>
              <w:rPr>
                <w:rFonts w:ascii="Arial" w:cs="Arial" w:eastAsia="Arial" w:hAnsi="Arial"/>
                <w:sz w:val="10"/>
                <w:szCs w:val="10"/>
                <w:u w:val="single" w:color="auto"/>
                <w:color w:val="0000FF"/>
              </w:rPr>
            </w:pPr>
            <w:hyperlink r:id="rId166">
              <w:r>
                <w:rPr>
                  <w:rFonts w:ascii="Arial" w:cs="Arial" w:eastAsia="Arial" w:hAnsi="Arial"/>
                  <w:sz w:val="10"/>
                  <w:szCs w:val="10"/>
                  <w:u w:val="single" w:color="auto"/>
                  <w:color w:val="0000FF"/>
                </w:rPr>
                <w:t>Fifth Amended and Restated Limited Liability Company Agreement of ZoomInfo Holdings LLC, dated as of June 3, 2020</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10.1</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10.2</w:t>
            </w:r>
          </w:p>
        </w:tc>
        <w:tc>
          <w:tcPr>
            <w:tcW w:w="5860" w:type="dxa"/>
            <w:vAlign w:val="bottom"/>
            <w:gridSpan w:val="15"/>
          </w:tcPr>
          <w:p>
            <w:pPr>
              <w:spacing w:after="0"/>
              <w:rPr>
                <w:rFonts w:ascii="Arial" w:cs="Arial" w:eastAsia="Arial" w:hAnsi="Arial"/>
                <w:sz w:val="10"/>
                <w:szCs w:val="10"/>
                <w:color w:val="0000FF"/>
              </w:rPr>
            </w:pPr>
            <w:hyperlink r:id="rId167">
              <w:r>
                <w:rPr>
                  <w:rFonts w:ascii="Arial" w:cs="Arial" w:eastAsia="Arial" w:hAnsi="Arial"/>
                  <w:sz w:val="10"/>
                  <w:szCs w:val="10"/>
                  <w:u w:val="single" w:color="auto"/>
                  <w:color w:val="0000FF"/>
                </w:rPr>
                <w:t>Amended and Restated Limited Liability Company Agreement of ZoomInfo Intermediate Holdings LLC, dated as of June 3, 2020</w:t>
              </w:r>
              <w:r>
                <w:rPr>
                  <w:rFonts w:ascii="Arial" w:cs="Arial" w:eastAsia="Arial" w:hAnsi="Arial"/>
                  <w:sz w:val="10"/>
                  <w:szCs w:val="10"/>
                  <w:color w:val="0000FF"/>
                </w:rPr>
                <w:t>.</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10.2</w:t>
            </w:r>
          </w:p>
        </w:tc>
        <w:tc>
          <w:tcPr>
            <w:tcW w:w="0" w:type="dxa"/>
            <w:vAlign w:val="bottom"/>
          </w:tcPr>
          <w:p>
            <w:pPr>
              <w:spacing w:after="0"/>
              <w:rPr>
                <w:sz w:val="1"/>
                <w:szCs w:val="1"/>
                <w:color w:val="auto"/>
              </w:rPr>
            </w:pPr>
          </w:p>
        </w:tc>
      </w:tr>
      <w:tr>
        <w:trPr>
          <w:trHeight w:val="126"/>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10.3</w:t>
            </w:r>
          </w:p>
        </w:tc>
        <w:tc>
          <w:tcPr>
            <w:tcW w:w="5860" w:type="dxa"/>
            <w:vAlign w:val="bottom"/>
            <w:gridSpan w:val="15"/>
          </w:tcPr>
          <w:p>
            <w:pPr>
              <w:spacing w:after="0"/>
              <w:rPr>
                <w:rFonts w:ascii="Arial" w:cs="Arial" w:eastAsia="Arial" w:hAnsi="Arial"/>
                <w:sz w:val="10"/>
                <w:szCs w:val="10"/>
                <w:color w:val="0000FF"/>
                <w:w w:val="88"/>
              </w:rPr>
            </w:pPr>
            <w:hyperlink r:id="rId168">
              <w:r>
                <w:rPr>
                  <w:rFonts w:ascii="Arial" w:cs="Arial" w:eastAsia="Arial" w:hAnsi="Arial"/>
                  <w:sz w:val="10"/>
                  <w:szCs w:val="10"/>
                  <w:color w:val="0000FF"/>
                  <w:w w:val="88"/>
                </w:rPr>
                <w:t>Exchange Tax Receivable Agreement, dated as of June 3, 2020, by and among ZoomInfo Technologies Inc. and each of the other persons from time</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10.3</w:t>
            </w: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5720" w:type="dxa"/>
            <w:vAlign w:val="bottom"/>
            <w:tcBorders>
              <w:top w:val="single" w:sz="8" w:color="0000FF"/>
            </w:tcBorders>
            <w:gridSpan w:val="10"/>
          </w:tcPr>
          <w:p>
            <w:pPr>
              <w:spacing w:after="0" w:line="89" w:lineRule="exact"/>
              <w:rPr>
                <w:rFonts w:ascii="Arial" w:cs="Arial" w:eastAsia="Arial" w:hAnsi="Arial"/>
                <w:sz w:val="10"/>
                <w:szCs w:val="10"/>
                <w:color w:val="0000FF"/>
              </w:rPr>
            </w:pPr>
            <w:hyperlink r:id="rId168">
              <w:r>
                <w:rPr>
                  <w:rFonts w:ascii="Arial" w:cs="Arial" w:eastAsia="Arial" w:hAnsi="Arial"/>
                  <w:sz w:val="10"/>
                  <w:szCs w:val="10"/>
                  <w:color w:val="0000FF"/>
                </w:rPr>
                <w:t>to time party thereto</w:t>
              </w:r>
            </w:hyperlink>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10.4</w:t>
            </w:r>
          </w:p>
        </w:tc>
        <w:tc>
          <w:tcPr>
            <w:tcW w:w="5860" w:type="dxa"/>
            <w:vAlign w:val="bottom"/>
            <w:gridSpan w:val="15"/>
          </w:tcPr>
          <w:p>
            <w:pPr>
              <w:spacing w:after="0"/>
              <w:rPr>
                <w:rFonts w:ascii="Arial" w:cs="Arial" w:eastAsia="Arial" w:hAnsi="Arial"/>
                <w:sz w:val="10"/>
                <w:szCs w:val="10"/>
                <w:color w:val="0000FF"/>
                <w:w w:val="88"/>
              </w:rPr>
            </w:pPr>
            <w:hyperlink r:id="rId169">
              <w:r>
                <w:rPr>
                  <w:rFonts w:ascii="Arial" w:cs="Arial" w:eastAsia="Arial" w:hAnsi="Arial"/>
                  <w:sz w:val="10"/>
                  <w:szCs w:val="10"/>
                  <w:color w:val="0000FF"/>
                  <w:w w:val="88"/>
                </w:rPr>
                <w:t>Reorganization Tax Receivable Agreement, dated as of June 3, 2020, by and among ZoomInfo Technologies Inc. and each of the other persons from</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10.4</w:t>
            </w: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5760" w:type="dxa"/>
            <w:vAlign w:val="bottom"/>
            <w:tcBorders>
              <w:top w:val="single" w:sz="8" w:color="0000FF"/>
            </w:tcBorders>
            <w:gridSpan w:val="12"/>
          </w:tcPr>
          <w:p>
            <w:pPr>
              <w:spacing w:after="0" w:line="89" w:lineRule="exact"/>
              <w:rPr>
                <w:rFonts w:ascii="Arial" w:cs="Arial" w:eastAsia="Arial" w:hAnsi="Arial"/>
                <w:sz w:val="10"/>
                <w:szCs w:val="10"/>
                <w:color w:val="0000FF"/>
              </w:rPr>
            </w:pPr>
            <w:hyperlink r:id="rId169">
              <w:r>
                <w:rPr>
                  <w:rFonts w:ascii="Arial" w:cs="Arial" w:eastAsia="Arial" w:hAnsi="Arial"/>
                  <w:sz w:val="10"/>
                  <w:szCs w:val="10"/>
                  <w:color w:val="0000FF"/>
                </w:rPr>
                <w:t>time to time party thereto</w:t>
              </w:r>
            </w:hyperlink>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10.5</w:t>
            </w:r>
          </w:p>
        </w:tc>
        <w:tc>
          <w:tcPr>
            <w:tcW w:w="5860" w:type="dxa"/>
            <w:vAlign w:val="bottom"/>
            <w:gridSpan w:val="15"/>
          </w:tcPr>
          <w:p>
            <w:pPr>
              <w:spacing w:after="0"/>
              <w:rPr>
                <w:rFonts w:ascii="Arial" w:cs="Arial" w:eastAsia="Arial" w:hAnsi="Arial"/>
                <w:sz w:val="10"/>
                <w:szCs w:val="10"/>
                <w:color w:val="0000FF"/>
                <w:w w:val="88"/>
              </w:rPr>
            </w:pPr>
            <w:hyperlink r:id="rId170">
              <w:r>
                <w:rPr>
                  <w:rFonts w:ascii="Arial" w:cs="Arial" w:eastAsia="Arial" w:hAnsi="Arial"/>
                  <w:sz w:val="10"/>
                  <w:szCs w:val="10"/>
                  <w:color w:val="0000FF"/>
                  <w:w w:val="88"/>
                </w:rPr>
                <w:t>Registration Rights Agreement, dated as of June 8, 2020, by and among ZoomInfo Technologies Inc. and each of the other persons from time to time</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10.5</w:t>
            </w: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5800" w:type="dxa"/>
            <w:vAlign w:val="bottom"/>
            <w:tcBorders>
              <w:top w:val="single" w:sz="8" w:color="0000FF"/>
            </w:tcBorders>
            <w:gridSpan w:val="14"/>
          </w:tcPr>
          <w:p>
            <w:pPr>
              <w:spacing w:after="0" w:line="89" w:lineRule="exact"/>
              <w:rPr>
                <w:rFonts w:ascii="Arial" w:cs="Arial" w:eastAsia="Arial" w:hAnsi="Arial"/>
                <w:sz w:val="10"/>
                <w:szCs w:val="10"/>
                <w:color w:val="0000FF"/>
              </w:rPr>
            </w:pPr>
            <w:hyperlink r:id="rId170">
              <w:r>
                <w:rPr>
                  <w:rFonts w:ascii="Arial" w:cs="Arial" w:eastAsia="Arial" w:hAnsi="Arial"/>
                  <w:sz w:val="10"/>
                  <w:szCs w:val="10"/>
                  <w:color w:val="0000FF"/>
                </w:rPr>
                <w:t>party thereto</w:t>
              </w:r>
            </w:hyperlink>
          </w:p>
        </w:tc>
        <w:tc>
          <w:tcPr>
            <w:tcW w:w="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10.6</w:t>
            </w:r>
          </w:p>
        </w:tc>
        <w:tc>
          <w:tcPr>
            <w:tcW w:w="5860" w:type="dxa"/>
            <w:vAlign w:val="bottom"/>
            <w:gridSpan w:val="15"/>
          </w:tcPr>
          <w:p>
            <w:pPr>
              <w:spacing w:after="0"/>
              <w:rPr>
                <w:rFonts w:ascii="Arial" w:cs="Arial" w:eastAsia="Arial" w:hAnsi="Arial"/>
                <w:sz w:val="10"/>
                <w:szCs w:val="10"/>
                <w:color w:val="0000FF"/>
                <w:w w:val="88"/>
              </w:rPr>
            </w:pPr>
            <w:hyperlink r:id="rId171">
              <w:r>
                <w:rPr>
                  <w:rFonts w:ascii="Arial" w:cs="Arial" w:eastAsia="Arial" w:hAnsi="Arial"/>
                  <w:sz w:val="10"/>
                  <w:szCs w:val="10"/>
                  <w:color w:val="0000FF"/>
                  <w:w w:val="88"/>
                </w:rPr>
                <w:t>Stockholders Agreement, dated as of June 3, 2020, by and among ZoomInfo Technologies Inc. and each of the other persons from time to time party</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10.6</w:t>
            </w: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5780" w:type="dxa"/>
            <w:vAlign w:val="bottom"/>
            <w:tcBorders>
              <w:top w:val="single" w:sz="8" w:color="0000FF"/>
            </w:tcBorders>
            <w:gridSpan w:val="13"/>
          </w:tcPr>
          <w:p>
            <w:pPr>
              <w:spacing w:after="0" w:line="89" w:lineRule="exact"/>
              <w:rPr>
                <w:rFonts w:ascii="Arial" w:cs="Arial" w:eastAsia="Arial" w:hAnsi="Arial"/>
                <w:sz w:val="10"/>
                <w:szCs w:val="10"/>
                <w:color w:val="0000FF"/>
              </w:rPr>
            </w:pPr>
            <w:hyperlink r:id="rId171">
              <w:r>
                <w:rPr>
                  <w:rFonts w:ascii="Arial" w:cs="Arial" w:eastAsia="Arial" w:hAnsi="Arial"/>
                  <w:sz w:val="10"/>
                  <w:szCs w:val="10"/>
                  <w:color w:val="0000FF"/>
                </w:rPr>
                <w:t>thereto</w:t>
              </w:r>
            </w:hyperlink>
          </w:p>
        </w:tc>
        <w:tc>
          <w:tcPr>
            <w:tcW w:w="80" w:type="dxa"/>
            <w:vAlign w:val="bottom"/>
            <w:gridSpan w:val="2"/>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7"/>
              </w:rPr>
              <w:t>10.7†</w:t>
            </w:r>
          </w:p>
        </w:tc>
        <w:tc>
          <w:tcPr>
            <w:tcW w:w="5860" w:type="dxa"/>
            <w:vAlign w:val="bottom"/>
            <w:gridSpan w:val="15"/>
          </w:tcPr>
          <w:p>
            <w:pPr>
              <w:spacing w:after="0"/>
              <w:rPr>
                <w:rFonts w:ascii="Arial" w:cs="Arial" w:eastAsia="Arial" w:hAnsi="Arial"/>
                <w:sz w:val="10"/>
                <w:szCs w:val="10"/>
                <w:u w:val="single" w:color="auto"/>
                <w:color w:val="0000FF"/>
              </w:rPr>
            </w:pPr>
            <w:hyperlink r:id="rId172">
              <w:r>
                <w:rPr>
                  <w:rFonts w:ascii="Arial" w:cs="Arial" w:eastAsia="Arial" w:hAnsi="Arial"/>
                  <w:sz w:val="10"/>
                  <w:szCs w:val="10"/>
                  <w:u w:val="single" w:color="auto"/>
                  <w:color w:val="0000FF"/>
                </w:rPr>
                <w:t>ZoomInfo Technologies Inc.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10.7</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7"/>
              </w:rPr>
              <w:t>10.8†</w:t>
            </w:r>
          </w:p>
        </w:tc>
        <w:tc>
          <w:tcPr>
            <w:tcW w:w="5860" w:type="dxa"/>
            <w:vAlign w:val="bottom"/>
            <w:gridSpan w:val="15"/>
          </w:tcPr>
          <w:p>
            <w:pPr>
              <w:spacing w:after="0"/>
              <w:rPr>
                <w:rFonts w:ascii="Arial" w:cs="Arial" w:eastAsia="Arial" w:hAnsi="Arial"/>
                <w:sz w:val="10"/>
                <w:szCs w:val="10"/>
                <w:u w:val="single" w:color="auto"/>
                <w:color w:val="0000FF"/>
              </w:rPr>
            </w:pPr>
            <w:hyperlink r:id="rId173">
              <w:r>
                <w:rPr>
                  <w:rFonts w:ascii="Arial" w:cs="Arial" w:eastAsia="Arial" w:hAnsi="Arial"/>
                  <w:sz w:val="10"/>
                  <w:szCs w:val="10"/>
                  <w:u w:val="single" w:color="auto"/>
                  <w:color w:val="0000FF"/>
                </w:rPr>
                <w:t>ZoomInfo Technologies Inc. 2020 Employee Stock Purchase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10.8</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7"/>
              </w:rPr>
              <w:t>10.9†</w:t>
            </w:r>
          </w:p>
        </w:tc>
        <w:tc>
          <w:tcPr>
            <w:tcW w:w="5860" w:type="dxa"/>
            <w:vAlign w:val="bottom"/>
            <w:gridSpan w:val="15"/>
          </w:tcPr>
          <w:p>
            <w:pPr>
              <w:spacing w:after="0"/>
              <w:rPr>
                <w:rFonts w:ascii="Arial" w:cs="Arial" w:eastAsia="Arial" w:hAnsi="Arial"/>
                <w:sz w:val="10"/>
                <w:szCs w:val="10"/>
                <w:u w:val="single" w:color="auto"/>
                <w:color w:val="0000FF"/>
              </w:rPr>
            </w:pPr>
            <w:hyperlink r:id="rId174">
              <w:r>
                <w:rPr>
                  <w:rFonts w:ascii="Arial" w:cs="Arial" w:eastAsia="Arial" w:hAnsi="Arial"/>
                  <w:sz w:val="10"/>
                  <w:szCs w:val="10"/>
                  <w:u w:val="single" w:color="auto"/>
                  <w:color w:val="0000FF"/>
                </w:rPr>
                <w:t>Form of Indemnification Agreement</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27,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10.9</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10.10†</w:t>
            </w:r>
          </w:p>
        </w:tc>
        <w:tc>
          <w:tcPr>
            <w:tcW w:w="5860" w:type="dxa"/>
            <w:vAlign w:val="bottom"/>
            <w:gridSpan w:val="15"/>
          </w:tcPr>
          <w:p>
            <w:pPr>
              <w:spacing w:after="0"/>
              <w:rPr>
                <w:rFonts w:ascii="Arial" w:cs="Arial" w:eastAsia="Arial" w:hAnsi="Arial"/>
                <w:sz w:val="10"/>
                <w:szCs w:val="10"/>
                <w:u w:val="single" w:color="auto"/>
                <w:color w:val="0000FF"/>
              </w:rPr>
            </w:pPr>
            <w:hyperlink r:id="rId175">
              <w:r>
                <w:rPr>
                  <w:rFonts w:ascii="Arial" w:cs="Arial" w:eastAsia="Arial" w:hAnsi="Arial"/>
                  <w:sz w:val="10"/>
                  <w:szCs w:val="10"/>
                  <w:u w:val="single" w:color="auto"/>
                  <w:color w:val="0000FF"/>
                </w:rPr>
                <w:t>Employment Agreement, dated as of May 27, 2020, between ZoomInfo Technologies Inc., ZoomInfo OpCo and Henry Schuck</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0"/>
              </w:rPr>
              <w:t>8-K filed June 8,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31"/>
              <w:spacing w:after="0"/>
              <w:rPr>
                <w:sz w:val="20"/>
                <w:szCs w:val="20"/>
                <w:color w:val="auto"/>
              </w:rPr>
            </w:pPr>
            <w:r>
              <w:rPr>
                <w:rFonts w:ascii="Arial" w:cs="Arial" w:eastAsia="Arial" w:hAnsi="Arial"/>
                <w:sz w:val="10"/>
                <w:szCs w:val="10"/>
                <w:color w:val="auto"/>
                <w:w w:val="81"/>
              </w:rPr>
              <w:t>10.9</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10.11†</w:t>
            </w:r>
          </w:p>
        </w:tc>
        <w:tc>
          <w:tcPr>
            <w:tcW w:w="5860" w:type="dxa"/>
            <w:vAlign w:val="bottom"/>
            <w:gridSpan w:val="15"/>
          </w:tcPr>
          <w:p>
            <w:pPr>
              <w:spacing w:after="0"/>
              <w:rPr>
                <w:rFonts w:ascii="Arial" w:cs="Arial" w:eastAsia="Arial" w:hAnsi="Arial"/>
                <w:sz w:val="10"/>
                <w:szCs w:val="10"/>
                <w:u w:val="single" w:color="auto"/>
                <w:color w:val="0000FF"/>
              </w:rPr>
            </w:pPr>
            <w:hyperlink r:id="rId176">
              <w:r>
                <w:rPr>
                  <w:rFonts w:ascii="Arial" w:cs="Arial" w:eastAsia="Arial" w:hAnsi="Arial"/>
                  <w:sz w:val="10"/>
                  <w:szCs w:val="10"/>
                  <w:u w:val="single" w:color="auto"/>
                  <w:color w:val="0000FF"/>
                </w:rPr>
                <w:t>Form of Standard Employee Stock Option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10.28</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10.12†</w:t>
            </w:r>
          </w:p>
        </w:tc>
        <w:tc>
          <w:tcPr>
            <w:tcW w:w="5860" w:type="dxa"/>
            <w:vAlign w:val="bottom"/>
            <w:gridSpan w:val="15"/>
          </w:tcPr>
          <w:p>
            <w:pPr>
              <w:spacing w:after="0"/>
              <w:rPr>
                <w:rFonts w:ascii="Arial" w:cs="Arial" w:eastAsia="Arial" w:hAnsi="Arial"/>
                <w:sz w:val="10"/>
                <w:szCs w:val="10"/>
                <w:u w:val="single" w:color="auto"/>
                <w:color w:val="0000FF"/>
              </w:rPr>
            </w:pPr>
            <w:hyperlink r:id="rId177">
              <w:r>
                <w:rPr>
                  <w:rFonts w:ascii="Arial" w:cs="Arial" w:eastAsia="Arial" w:hAnsi="Arial"/>
                  <w:sz w:val="10"/>
                  <w:szCs w:val="10"/>
                  <w:u w:val="single" w:color="auto"/>
                  <w:color w:val="0000FF"/>
                </w:rPr>
                <w:t>Form of Class P Unit Agreement for Henry Schuck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27,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10.29</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10.13†</w:t>
            </w:r>
          </w:p>
        </w:tc>
        <w:tc>
          <w:tcPr>
            <w:tcW w:w="5860" w:type="dxa"/>
            <w:vAlign w:val="bottom"/>
            <w:gridSpan w:val="15"/>
          </w:tcPr>
          <w:p>
            <w:pPr>
              <w:spacing w:after="0"/>
              <w:rPr>
                <w:rFonts w:ascii="Arial" w:cs="Arial" w:eastAsia="Arial" w:hAnsi="Arial"/>
                <w:sz w:val="10"/>
                <w:szCs w:val="10"/>
                <w:u w:val="single" w:color="auto"/>
                <w:color w:val="0000FF"/>
              </w:rPr>
            </w:pPr>
            <w:hyperlink r:id="rId178">
              <w:r>
                <w:rPr>
                  <w:rFonts w:ascii="Arial" w:cs="Arial" w:eastAsia="Arial" w:hAnsi="Arial"/>
                  <w:sz w:val="10"/>
                  <w:szCs w:val="10"/>
                  <w:u w:val="single" w:color="auto"/>
                  <w:color w:val="0000FF"/>
                </w:rPr>
                <w:t>Form of Leverage Restoration Stock Option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10.30</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10.14†</w:t>
            </w:r>
          </w:p>
        </w:tc>
        <w:tc>
          <w:tcPr>
            <w:tcW w:w="5860" w:type="dxa"/>
            <w:vAlign w:val="bottom"/>
            <w:gridSpan w:val="15"/>
          </w:tcPr>
          <w:p>
            <w:pPr>
              <w:spacing w:after="0"/>
              <w:rPr>
                <w:rFonts w:ascii="Arial" w:cs="Arial" w:eastAsia="Arial" w:hAnsi="Arial"/>
                <w:sz w:val="10"/>
                <w:szCs w:val="10"/>
                <w:u w:val="single" w:color="auto"/>
                <w:color w:val="0000FF"/>
              </w:rPr>
            </w:pPr>
            <w:hyperlink r:id="rId179">
              <w:r>
                <w:rPr>
                  <w:rFonts w:ascii="Arial" w:cs="Arial" w:eastAsia="Arial" w:hAnsi="Arial"/>
                  <w:sz w:val="10"/>
                  <w:szCs w:val="10"/>
                  <w:u w:val="single" w:color="auto"/>
                  <w:color w:val="0000FF"/>
                </w:rPr>
                <w:t>Form of Standard Employee Restricted Stock Unit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10.31</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10.15†</w:t>
            </w:r>
          </w:p>
        </w:tc>
        <w:tc>
          <w:tcPr>
            <w:tcW w:w="5860" w:type="dxa"/>
            <w:vAlign w:val="bottom"/>
            <w:gridSpan w:val="15"/>
          </w:tcPr>
          <w:p>
            <w:pPr>
              <w:spacing w:after="0"/>
              <w:rPr>
                <w:rFonts w:ascii="Arial" w:cs="Arial" w:eastAsia="Arial" w:hAnsi="Arial"/>
                <w:sz w:val="10"/>
                <w:szCs w:val="10"/>
                <w:u w:val="single" w:color="auto"/>
                <w:color w:val="0000FF"/>
              </w:rPr>
            </w:pPr>
            <w:hyperlink r:id="rId180">
              <w:r>
                <w:rPr>
                  <w:rFonts w:ascii="Arial" w:cs="Arial" w:eastAsia="Arial" w:hAnsi="Arial"/>
                  <w:sz w:val="10"/>
                  <w:szCs w:val="10"/>
                  <w:u w:val="single" w:color="auto"/>
                  <w:color w:val="0000FF"/>
                </w:rPr>
                <w:t>Form of Non-Employee Director Annual Restricted Stock Unit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10.32</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10.16†</w:t>
            </w:r>
          </w:p>
        </w:tc>
        <w:tc>
          <w:tcPr>
            <w:tcW w:w="5860" w:type="dxa"/>
            <w:vAlign w:val="bottom"/>
            <w:gridSpan w:val="15"/>
          </w:tcPr>
          <w:p>
            <w:pPr>
              <w:spacing w:after="0"/>
              <w:rPr>
                <w:rFonts w:ascii="Arial" w:cs="Arial" w:eastAsia="Arial" w:hAnsi="Arial"/>
                <w:sz w:val="10"/>
                <w:szCs w:val="10"/>
                <w:u w:val="single" w:color="auto"/>
                <w:color w:val="0000FF"/>
              </w:rPr>
            </w:pPr>
            <w:hyperlink r:id="rId181">
              <w:r>
                <w:rPr>
                  <w:rFonts w:ascii="Arial" w:cs="Arial" w:eastAsia="Arial" w:hAnsi="Arial"/>
                  <w:sz w:val="10"/>
                  <w:szCs w:val="10"/>
                  <w:u w:val="single" w:color="auto"/>
                  <w:color w:val="0000FF"/>
                </w:rPr>
                <w:t>Form of Non-Employee Director Sign-On Restricted Stock Unit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10.33</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10.17†</w:t>
            </w:r>
          </w:p>
        </w:tc>
        <w:tc>
          <w:tcPr>
            <w:tcW w:w="5860" w:type="dxa"/>
            <w:vAlign w:val="bottom"/>
            <w:gridSpan w:val="15"/>
          </w:tcPr>
          <w:p>
            <w:pPr>
              <w:spacing w:after="0"/>
              <w:rPr>
                <w:rFonts w:ascii="Arial" w:cs="Arial" w:eastAsia="Arial" w:hAnsi="Arial"/>
                <w:sz w:val="10"/>
                <w:szCs w:val="10"/>
                <w:u w:val="single" w:color="auto"/>
                <w:color w:val="0000FF"/>
              </w:rPr>
            </w:pPr>
            <w:hyperlink r:id="rId182">
              <w:r>
                <w:rPr>
                  <w:rFonts w:ascii="Arial" w:cs="Arial" w:eastAsia="Arial" w:hAnsi="Arial"/>
                  <w:sz w:val="10"/>
                  <w:szCs w:val="10"/>
                  <w:u w:val="single" w:color="auto"/>
                  <w:color w:val="0000FF"/>
                </w:rPr>
                <w:t>Form of Class P Unit Award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10.34</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10.18†</w:t>
            </w:r>
          </w:p>
        </w:tc>
        <w:tc>
          <w:tcPr>
            <w:tcW w:w="5860" w:type="dxa"/>
            <w:vAlign w:val="bottom"/>
            <w:gridSpan w:val="15"/>
          </w:tcPr>
          <w:p>
            <w:pPr>
              <w:spacing w:after="0"/>
              <w:rPr>
                <w:rFonts w:ascii="Arial" w:cs="Arial" w:eastAsia="Arial" w:hAnsi="Arial"/>
                <w:sz w:val="10"/>
                <w:szCs w:val="10"/>
                <w:u w:val="single" w:color="auto"/>
                <w:color w:val="0000FF"/>
              </w:rPr>
            </w:pPr>
            <w:hyperlink r:id="rId183">
              <w:r>
                <w:rPr>
                  <w:rFonts w:ascii="Arial" w:cs="Arial" w:eastAsia="Arial" w:hAnsi="Arial"/>
                  <w:sz w:val="10"/>
                  <w:szCs w:val="10"/>
                  <w:u w:val="single" w:color="auto"/>
                  <w:color w:val="0000FF"/>
                </w:rPr>
                <w:t>Form of LTIP Unit Award Agreement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10.35</w:t>
            </w: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10.19†</w:t>
            </w:r>
          </w:p>
        </w:tc>
        <w:tc>
          <w:tcPr>
            <w:tcW w:w="5860" w:type="dxa"/>
            <w:vAlign w:val="bottom"/>
            <w:gridSpan w:val="15"/>
          </w:tcPr>
          <w:p>
            <w:pPr>
              <w:spacing w:after="0"/>
              <w:rPr>
                <w:rFonts w:ascii="Arial" w:cs="Arial" w:eastAsia="Arial" w:hAnsi="Arial"/>
                <w:sz w:val="10"/>
                <w:szCs w:val="10"/>
                <w:u w:val="single" w:color="auto"/>
                <w:color w:val="0000FF"/>
              </w:rPr>
            </w:pPr>
            <w:hyperlink r:id="rId184">
              <w:r>
                <w:rPr>
                  <w:rFonts w:ascii="Arial" w:cs="Arial" w:eastAsia="Arial" w:hAnsi="Arial"/>
                  <w:sz w:val="10"/>
                  <w:szCs w:val="10"/>
                  <w:u w:val="single" w:color="auto"/>
                  <w:color w:val="0000FF"/>
                </w:rPr>
                <w:t>Form of Restrictive Covenant Agreement Exhibit to Employee Equity Awards under 2020 Omnibus Incentive Plan</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91"/>
              </w:rPr>
              <w:t>S-1/A filed May 22,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6"/>
              </w:rPr>
              <w:t>333-236674</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10.36</w:t>
            </w:r>
          </w:p>
        </w:tc>
        <w:tc>
          <w:tcPr>
            <w:tcW w:w="0" w:type="dxa"/>
            <w:vAlign w:val="bottom"/>
          </w:tcPr>
          <w:p>
            <w:pPr>
              <w:spacing w:after="0"/>
              <w:rPr>
                <w:sz w:val="1"/>
                <w:szCs w:val="1"/>
                <w:color w:val="auto"/>
              </w:rPr>
            </w:pPr>
          </w:p>
        </w:tc>
      </w:tr>
      <w:tr>
        <w:trPr>
          <w:trHeight w:val="126"/>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4"/>
              </w:rPr>
              <w:t>10.20†</w:t>
            </w:r>
          </w:p>
        </w:tc>
        <w:tc>
          <w:tcPr>
            <w:tcW w:w="5860" w:type="dxa"/>
            <w:vAlign w:val="bottom"/>
            <w:gridSpan w:val="15"/>
          </w:tcPr>
          <w:p>
            <w:pPr>
              <w:spacing w:after="0"/>
              <w:rPr>
                <w:rFonts w:ascii="Arial" w:cs="Arial" w:eastAsia="Arial" w:hAnsi="Arial"/>
                <w:sz w:val="10"/>
                <w:szCs w:val="10"/>
                <w:color w:val="0000FF"/>
                <w:w w:val="90"/>
              </w:rPr>
            </w:pPr>
            <w:hyperlink r:id="rId185">
              <w:r>
                <w:rPr>
                  <w:rFonts w:ascii="Arial" w:cs="Arial" w:eastAsia="Arial" w:hAnsi="Arial"/>
                  <w:sz w:val="10"/>
                  <w:szCs w:val="10"/>
                  <w:color w:val="0000FF"/>
                  <w:w w:val="90"/>
                </w:rPr>
                <w:t>Employment Agreement, dated as of August 10, 2020, between ZoomInfo Technologies Inc., ZoomInfo Technologies LLC and Joseph Christopher</w:t>
              </w:r>
            </w:hyperlink>
          </w:p>
        </w:tc>
        <w:tc>
          <w:tcPr>
            <w:tcW w:w="1920" w:type="dxa"/>
            <w:vAlign w:val="bottom"/>
          </w:tcPr>
          <w:p>
            <w:pPr>
              <w:jc w:val="center"/>
              <w:spacing w:after="0"/>
              <w:rPr>
                <w:sz w:val="20"/>
                <w:szCs w:val="20"/>
                <w:color w:val="auto"/>
              </w:rPr>
            </w:pPr>
            <w:r>
              <w:rPr>
                <w:rFonts w:ascii="Arial" w:cs="Arial" w:eastAsia="Arial" w:hAnsi="Arial"/>
                <w:sz w:val="10"/>
                <w:szCs w:val="10"/>
                <w:color w:val="auto"/>
                <w:w w:val="89"/>
              </w:rPr>
              <w:t>Form 10-Q filed August 11, 2020</w:t>
            </w:r>
          </w:p>
        </w:tc>
        <w:tc>
          <w:tcPr>
            <w:tcW w:w="1460" w:type="dxa"/>
            <w:vAlign w:val="bottom"/>
          </w:tcPr>
          <w:p>
            <w:pPr>
              <w:jc w:val="center"/>
              <w:spacing w:after="0"/>
              <w:rPr>
                <w:sz w:val="20"/>
                <w:szCs w:val="20"/>
                <w:color w:val="auto"/>
              </w:rPr>
            </w:pPr>
            <w:r>
              <w:rPr>
                <w:rFonts w:ascii="Arial" w:cs="Arial" w:eastAsia="Arial" w:hAnsi="Arial"/>
                <w:sz w:val="10"/>
                <w:szCs w:val="10"/>
                <w:color w:val="auto"/>
                <w:w w:val="87"/>
              </w:rPr>
              <w:t>001-39310</w:t>
            </w:r>
          </w:p>
        </w:tc>
        <w:tc>
          <w:tcPr>
            <w:tcW w:w="1000" w:type="dxa"/>
            <w:vAlign w:val="bottom"/>
          </w:tcPr>
          <w:p>
            <w:pPr>
              <w:jc w:val="center"/>
              <w:ind w:left="11"/>
              <w:spacing w:after="0"/>
              <w:rPr>
                <w:sz w:val="20"/>
                <w:szCs w:val="20"/>
                <w:color w:val="auto"/>
              </w:rPr>
            </w:pPr>
            <w:r>
              <w:rPr>
                <w:rFonts w:ascii="Arial" w:cs="Arial" w:eastAsia="Arial" w:hAnsi="Arial"/>
                <w:sz w:val="10"/>
                <w:szCs w:val="10"/>
                <w:color w:val="auto"/>
                <w:w w:val="87"/>
              </w:rPr>
              <w:t>10.20</w:t>
            </w: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260" w:type="dxa"/>
            <w:vAlign w:val="bottom"/>
            <w:tcBorders>
              <w:top w:val="single" w:sz="8" w:color="0000FF"/>
              <w:bottom w:val="single" w:sz="8" w:color="0000FF"/>
            </w:tcBorders>
          </w:tcPr>
          <w:p>
            <w:pPr>
              <w:spacing w:after="0" w:line="89" w:lineRule="exact"/>
              <w:rPr>
                <w:rFonts w:ascii="Arial" w:cs="Arial" w:eastAsia="Arial" w:hAnsi="Arial"/>
                <w:sz w:val="10"/>
                <w:szCs w:val="10"/>
                <w:color w:val="0000FF"/>
                <w:w w:val="96"/>
              </w:rPr>
            </w:pPr>
            <w:hyperlink r:id="rId185">
              <w:r>
                <w:rPr>
                  <w:rFonts w:ascii="Arial" w:cs="Arial" w:eastAsia="Arial" w:hAnsi="Arial"/>
                  <w:sz w:val="10"/>
                  <w:szCs w:val="10"/>
                  <w:color w:val="0000FF"/>
                  <w:w w:val="96"/>
                </w:rPr>
                <w:t>Hays</w:t>
              </w:r>
            </w:hyperlink>
          </w:p>
        </w:tc>
        <w:tc>
          <w:tcPr>
            <w:tcW w:w="5440" w:type="dxa"/>
            <w:vAlign w:val="bottom"/>
            <w:tcBorders>
              <w:top w:val="single" w:sz="8" w:color="0000FF"/>
            </w:tcBorders>
            <w:gridSpan w:val="8"/>
          </w:tcPr>
          <w:p>
            <w:pPr>
              <w:spacing w:after="0"/>
              <w:rPr>
                <w:sz w:val="7"/>
                <w:szCs w:val="7"/>
                <w:color w:val="auto"/>
              </w:rPr>
            </w:pPr>
          </w:p>
        </w:tc>
        <w:tc>
          <w:tcPr>
            <w:tcW w:w="40" w:type="dxa"/>
            <w:vAlign w:val="bottom"/>
            <w:gridSpan w:val="2"/>
          </w:tcPr>
          <w:p>
            <w:pPr>
              <w:spacing w:after="0"/>
              <w:rPr>
                <w:sz w:val="7"/>
                <w:szCs w:val="7"/>
                <w:color w:val="auto"/>
              </w:rPr>
            </w:pPr>
          </w:p>
        </w:tc>
        <w:tc>
          <w:tcPr>
            <w:tcW w:w="120" w:type="dxa"/>
            <w:vAlign w:val="bottom"/>
            <w:gridSpan w:val="4"/>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6"/>
              </w:rPr>
              <w:t>+31.1</w:t>
            </w:r>
          </w:p>
        </w:tc>
        <w:tc>
          <w:tcPr>
            <w:tcW w:w="5860" w:type="dxa"/>
            <w:vAlign w:val="bottom"/>
            <w:gridSpan w:val="15"/>
          </w:tcPr>
          <w:p>
            <w:pPr>
              <w:spacing w:after="0"/>
              <w:rPr>
                <w:rFonts w:ascii="Arial" w:cs="Arial" w:eastAsia="Arial" w:hAnsi="Arial"/>
                <w:sz w:val="10"/>
                <w:szCs w:val="10"/>
                <w:color w:val="0000FF"/>
                <w:w w:val="92"/>
              </w:rPr>
            </w:pPr>
            <w:hyperlink w:anchor="page126">
              <w:r>
                <w:rPr>
                  <w:rFonts w:ascii="Arial" w:cs="Arial" w:eastAsia="Arial" w:hAnsi="Arial"/>
                  <w:sz w:val="10"/>
                  <w:szCs w:val="10"/>
                  <w:color w:val="0000FF"/>
                  <w:w w:val="92"/>
                </w:rPr>
                <w:t>Certification of Principal Executive Officer pursuant to Exchange Act Rules 13a-14(a) and 15d-14(a), as adopted pursuant to Section 302 of the</w:t>
              </w:r>
            </w:hyperlink>
          </w:p>
        </w:tc>
        <w:tc>
          <w:tcPr>
            <w:tcW w:w="1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5560" w:type="dxa"/>
            <w:vAlign w:val="bottom"/>
            <w:tcBorders>
              <w:top w:val="single" w:sz="8" w:color="0000FF"/>
            </w:tcBorders>
            <w:gridSpan w:val="8"/>
          </w:tcPr>
          <w:p>
            <w:pPr>
              <w:spacing w:after="0" w:line="89" w:lineRule="exact"/>
              <w:rPr>
                <w:rFonts w:ascii="Arial" w:cs="Arial" w:eastAsia="Arial" w:hAnsi="Arial"/>
                <w:sz w:val="10"/>
                <w:szCs w:val="10"/>
                <w:color w:val="0000FF"/>
              </w:rPr>
            </w:pPr>
            <w:hyperlink w:anchor="page126">
              <w:r>
                <w:rPr>
                  <w:rFonts w:ascii="Arial" w:cs="Arial" w:eastAsia="Arial" w:hAnsi="Arial"/>
                  <w:sz w:val="10"/>
                  <w:szCs w:val="10"/>
                  <w:color w:val="0000FF"/>
                </w:rPr>
                <w:t>Sarbanes-Oxley Act of 2002.</w:t>
              </w:r>
            </w:hyperlink>
          </w:p>
        </w:tc>
        <w:tc>
          <w:tcPr>
            <w:tcW w:w="180" w:type="dxa"/>
            <w:vAlign w:val="bottom"/>
            <w:gridSpan w:val="3"/>
          </w:tcPr>
          <w:p>
            <w:pPr>
              <w:spacing w:after="0"/>
              <w:rPr>
                <w:sz w:val="7"/>
                <w:szCs w:val="7"/>
                <w:color w:val="auto"/>
              </w:rPr>
            </w:pPr>
          </w:p>
        </w:tc>
        <w:tc>
          <w:tcPr>
            <w:tcW w:w="120" w:type="dxa"/>
            <w:vAlign w:val="bottom"/>
            <w:gridSpan w:val="4"/>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6"/>
              </w:rPr>
              <w:t>+31.2</w:t>
            </w:r>
          </w:p>
        </w:tc>
        <w:tc>
          <w:tcPr>
            <w:tcW w:w="5860" w:type="dxa"/>
            <w:vAlign w:val="bottom"/>
            <w:gridSpan w:val="15"/>
          </w:tcPr>
          <w:p>
            <w:pPr>
              <w:spacing w:after="0"/>
              <w:rPr>
                <w:rFonts w:ascii="Arial" w:cs="Arial" w:eastAsia="Arial" w:hAnsi="Arial"/>
                <w:sz w:val="10"/>
                <w:szCs w:val="10"/>
                <w:color w:val="0000FF"/>
                <w:w w:val="92"/>
              </w:rPr>
            </w:pPr>
            <w:hyperlink w:anchor="page128">
              <w:r>
                <w:rPr>
                  <w:rFonts w:ascii="Arial" w:cs="Arial" w:eastAsia="Arial" w:hAnsi="Arial"/>
                  <w:sz w:val="10"/>
                  <w:szCs w:val="10"/>
                  <w:color w:val="0000FF"/>
                  <w:w w:val="92"/>
                </w:rPr>
                <w:t>Certification of Principal Financial Officer pursuant to Exchange Act Rules 13a-14(a) and 15d-14(a), as adopted pursuant to Section 302 of the</w:t>
              </w:r>
            </w:hyperlink>
          </w:p>
        </w:tc>
        <w:tc>
          <w:tcPr>
            <w:tcW w:w="1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5540" w:type="dxa"/>
            <w:vAlign w:val="bottom"/>
            <w:tcBorders>
              <w:top w:val="single" w:sz="8" w:color="0000FF"/>
            </w:tcBorders>
            <w:gridSpan w:val="7"/>
          </w:tcPr>
          <w:p>
            <w:pPr>
              <w:spacing w:after="0" w:line="89" w:lineRule="exact"/>
              <w:rPr>
                <w:rFonts w:ascii="Arial" w:cs="Arial" w:eastAsia="Arial" w:hAnsi="Arial"/>
                <w:sz w:val="10"/>
                <w:szCs w:val="10"/>
                <w:color w:val="0000FF"/>
              </w:rPr>
            </w:pPr>
            <w:hyperlink w:anchor="page128">
              <w:r>
                <w:rPr>
                  <w:rFonts w:ascii="Arial" w:cs="Arial" w:eastAsia="Arial" w:hAnsi="Arial"/>
                  <w:sz w:val="10"/>
                  <w:szCs w:val="10"/>
                  <w:color w:val="0000FF"/>
                </w:rPr>
                <w:t>Sarbanes-Oxley Act of 2002.</w:t>
              </w:r>
            </w:hyperlink>
          </w:p>
        </w:tc>
        <w:tc>
          <w:tcPr>
            <w:tcW w:w="200" w:type="dxa"/>
            <w:vAlign w:val="bottom"/>
            <w:gridSpan w:val="4"/>
          </w:tcPr>
          <w:p>
            <w:pPr>
              <w:spacing w:after="0"/>
              <w:rPr>
                <w:sz w:val="7"/>
                <w:szCs w:val="7"/>
                <w:color w:val="auto"/>
              </w:rPr>
            </w:pPr>
          </w:p>
        </w:tc>
        <w:tc>
          <w:tcPr>
            <w:tcW w:w="120" w:type="dxa"/>
            <w:vAlign w:val="bottom"/>
            <w:gridSpan w:val="4"/>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88"/>
              </w:rPr>
              <w:t>+32.1*</w:t>
            </w:r>
          </w:p>
        </w:tc>
        <w:tc>
          <w:tcPr>
            <w:tcW w:w="5860" w:type="dxa"/>
            <w:vAlign w:val="bottom"/>
            <w:gridSpan w:val="15"/>
          </w:tcPr>
          <w:p>
            <w:pPr>
              <w:spacing w:after="0"/>
              <w:rPr>
                <w:rFonts w:ascii="Arial" w:cs="Arial" w:eastAsia="Arial" w:hAnsi="Arial"/>
                <w:sz w:val="10"/>
                <w:szCs w:val="10"/>
                <w:color w:val="0000FF"/>
                <w:w w:val="90"/>
              </w:rPr>
            </w:pPr>
            <w:hyperlink w:anchor="page130">
              <w:r>
                <w:rPr>
                  <w:rFonts w:ascii="Arial" w:cs="Arial" w:eastAsia="Arial" w:hAnsi="Arial"/>
                  <w:sz w:val="10"/>
                  <w:szCs w:val="10"/>
                  <w:color w:val="0000FF"/>
                  <w:w w:val="90"/>
                </w:rPr>
                <w:t>Certifications of Principal Executive Officer and Principal Financial Officer pursuant to 18 U.S.C. Section 1350, as adopted pursuant to Section 906</w:t>
              </w:r>
            </w:hyperlink>
          </w:p>
        </w:tc>
        <w:tc>
          <w:tcPr>
            <w:tcW w:w="1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920" w:type="dxa"/>
            <w:vAlign w:val="bottom"/>
          </w:tcPr>
          <w:p>
            <w:pPr>
              <w:spacing w:after="0"/>
              <w:rPr>
                <w:sz w:val="7"/>
                <w:szCs w:val="7"/>
                <w:color w:val="auto"/>
              </w:rPr>
            </w:pPr>
          </w:p>
        </w:tc>
        <w:tc>
          <w:tcPr>
            <w:tcW w:w="1380" w:type="dxa"/>
            <w:vAlign w:val="bottom"/>
            <w:tcBorders>
              <w:top w:val="single" w:sz="8" w:color="0000FF"/>
              <w:bottom w:val="single" w:sz="8" w:color="0000FF"/>
            </w:tcBorders>
            <w:gridSpan w:val="6"/>
          </w:tcPr>
          <w:p>
            <w:pPr>
              <w:spacing w:after="0" w:line="89" w:lineRule="exact"/>
              <w:rPr>
                <w:rFonts w:ascii="Arial" w:cs="Arial" w:eastAsia="Arial" w:hAnsi="Arial"/>
                <w:sz w:val="10"/>
                <w:szCs w:val="10"/>
                <w:color w:val="0000FF"/>
                <w:w w:val="87"/>
              </w:rPr>
            </w:pPr>
            <w:hyperlink w:anchor="page130">
              <w:r>
                <w:rPr>
                  <w:rFonts w:ascii="Arial" w:cs="Arial" w:eastAsia="Arial" w:hAnsi="Arial"/>
                  <w:sz w:val="10"/>
                  <w:szCs w:val="10"/>
                  <w:color w:val="0000FF"/>
                  <w:w w:val="87"/>
                </w:rPr>
                <w:t>of the Sarbanes-Oxley Act of 2002.</w:t>
              </w:r>
            </w:hyperlink>
          </w:p>
        </w:tc>
        <w:tc>
          <w:tcPr>
            <w:tcW w:w="4360" w:type="dxa"/>
            <w:vAlign w:val="bottom"/>
            <w:tcBorders>
              <w:top w:val="single" w:sz="8" w:color="0000FF"/>
            </w:tcBorders>
            <w:gridSpan w:val="5"/>
          </w:tcPr>
          <w:p>
            <w:pPr>
              <w:spacing w:after="0"/>
              <w:rPr>
                <w:sz w:val="7"/>
                <w:szCs w:val="7"/>
                <w:color w:val="auto"/>
              </w:rPr>
            </w:pPr>
          </w:p>
        </w:tc>
        <w:tc>
          <w:tcPr>
            <w:tcW w:w="120" w:type="dxa"/>
            <w:vAlign w:val="bottom"/>
            <w:gridSpan w:val="4"/>
          </w:tcPr>
          <w:p>
            <w:pPr>
              <w:spacing w:after="0"/>
              <w:rPr>
                <w:sz w:val="7"/>
                <w:szCs w:val="7"/>
                <w:color w:val="auto"/>
              </w:rPr>
            </w:pPr>
          </w:p>
        </w:tc>
        <w:tc>
          <w:tcPr>
            <w:tcW w:w="19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0"/>
              </w:rPr>
              <w:t>+101.INS</w:t>
            </w:r>
          </w:p>
        </w:tc>
        <w:tc>
          <w:tcPr>
            <w:tcW w:w="5860" w:type="dxa"/>
            <w:vAlign w:val="bottom"/>
            <w:gridSpan w:val="15"/>
          </w:tcPr>
          <w:p>
            <w:pPr>
              <w:spacing w:after="0"/>
              <w:rPr>
                <w:sz w:val="20"/>
                <w:szCs w:val="20"/>
                <w:color w:val="auto"/>
              </w:rPr>
            </w:pPr>
            <w:r>
              <w:rPr>
                <w:rFonts w:ascii="Arial" w:cs="Arial" w:eastAsia="Arial" w:hAnsi="Arial"/>
                <w:sz w:val="10"/>
                <w:szCs w:val="10"/>
                <w:color w:val="auto"/>
              </w:rPr>
              <w:t>XBRL Instance Document</w:t>
            </w: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0"/>
              </w:rPr>
              <w:t>+101.SCH</w:t>
            </w:r>
          </w:p>
        </w:tc>
        <w:tc>
          <w:tcPr>
            <w:tcW w:w="5860" w:type="dxa"/>
            <w:vAlign w:val="bottom"/>
            <w:gridSpan w:val="15"/>
          </w:tcPr>
          <w:p>
            <w:pPr>
              <w:spacing w:after="0"/>
              <w:rPr>
                <w:sz w:val="20"/>
                <w:szCs w:val="20"/>
                <w:color w:val="auto"/>
              </w:rPr>
            </w:pPr>
            <w:r>
              <w:rPr>
                <w:rFonts w:ascii="Arial" w:cs="Arial" w:eastAsia="Arial" w:hAnsi="Arial"/>
                <w:sz w:val="10"/>
                <w:szCs w:val="10"/>
                <w:color w:val="auto"/>
              </w:rPr>
              <w:t>XBRL Taxonomy Extension Schema Document</w:t>
            </w: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3"/>
              </w:rPr>
              <w:t>+101.CAL</w:t>
            </w:r>
          </w:p>
        </w:tc>
        <w:tc>
          <w:tcPr>
            <w:tcW w:w="5860" w:type="dxa"/>
            <w:vAlign w:val="bottom"/>
            <w:gridSpan w:val="15"/>
          </w:tcPr>
          <w:p>
            <w:pPr>
              <w:spacing w:after="0"/>
              <w:rPr>
                <w:sz w:val="20"/>
                <w:szCs w:val="20"/>
                <w:color w:val="auto"/>
              </w:rPr>
            </w:pPr>
            <w:r>
              <w:rPr>
                <w:rFonts w:ascii="Arial" w:cs="Arial" w:eastAsia="Arial" w:hAnsi="Arial"/>
                <w:sz w:val="10"/>
                <w:szCs w:val="10"/>
                <w:color w:val="auto"/>
              </w:rPr>
              <w:t>XBRL Taxonomy Extension Calculation Linkbase Document</w:t>
            </w: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2"/>
              </w:rPr>
              <w:t>+101.DEF</w:t>
            </w:r>
          </w:p>
        </w:tc>
        <w:tc>
          <w:tcPr>
            <w:tcW w:w="5860" w:type="dxa"/>
            <w:vAlign w:val="bottom"/>
            <w:gridSpan w:val="15"/>
          </w:tcPr>
          <w:p>
            <w:pPr>
              <w:spacing w:after="0"/>
              <w:rPr>
                <w:sz w:val="20"/>
                <w:szCs w:val="20"/>
                <w:color w:val="auto"/>
              </w:rPr>
            </w:pPr>
            <w:r>
              <w:rPr>
                <w:rFonts w:ascii="Arial" w:cs="Arial" w:eastAsia="Arial" w:hAnsi="Arial"/>
                <w:sz w:val="10"/>
                <w:szCs w:val="10"/>
                <w:color w:val="auto"/>
              </w:rPr>
              <w:t>XBRL Taxonomy Extension Definition Linkbase Document</w:t>
            </w: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4"/>
              </w:rPr>
              <w:t>+101.LAB</w:t>
            </w:r>
          </w:p>
        </w:tc>
        <w:tc>
          <w:tcPr>
            <w:tcW w:w="5860" w:type="dxa"/>
            <w:vAlign w:val="bottom"/>
            <w:gridSpan w:val="15"/>
          </w:tcPr>
          <w:p>
            <w:pPr>
              <w:spacing w:after="0"/>
              <w:rPr>
                <w:sz w:val="20"/>
                <w:szCs w:val="20"/>
                <w:color w:val="auto"/>
              </w:rPr>
            </w:pPr>
            <w:r>
              <w:rPr>
                <w:rFonts w:ascii="Arial" w:cs="Arial" w:eastAsia="Arial" w:hAnsi="Arial"/>
                <w:sz w:val="10"/>
                <w:szCs w:val="10"/>
                <w:color w:val="auto"/>
              </w:rPr>
              <w:t>XBRL Taxonomy Extension Label Linkbase Document</w:t>
            </w: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20" w:type="dxa"/>
            <w:vAlign w:val="bottom"/>
          </w:tcPr>
          <w:p>
            <w:pPr>
              <w:jc w:val="center"/>
              <w:ind w:right="11"/>
              <w:spacing w:after="0"/>
              <w:rPr>
                <w:sz w:val="20"/>
                <w:szCs w:val="20"/>
                <w:color w:val="auto"/>
              </w:rPr>
            </w:pPr>
            <w:r>
              <w:rPr>
                <w:rFonts w:ascii="Arial" w:cs="Arial" w:eastAsia="Arial" w:hAnsi="Arial"/>
                <w:sz w:val="10"/>
                <w:szCs w:val="10"/>
                <w:color w:val="auto"/>
                <w:w w:val="91"/>
              </w:rPr>
              <w:t>+101.PRE</w:t>
            </w:r>
          </w:p>
        </w:tc>
        <w:tc>
          <w:tcPr>
            <w:tcW w:w="5860" w:type="dxa"/>
            <w:vAlign w:val="bottom"/>
            <w:gridSpan w:val="15"/>
          </w:tcPr>
          <w:p>
            <w:pPr>
              <w:spacing w:after="0"/>
              <w:rPr>
                <w:sz w:val="20"/>
                <w:szCs w:val="20"/>
                <w:color w:val="auto"/>
              </w:rPr>
            </w:pPr>
            <w:r>
              <w:rPr>
                <w:rFonts w:ascii="Arial" w:cs="Arial" w:eastAsia="Arial" w:hAnsi="Arial"/>
                <w:sz w:val="10"/>
                <w:szCs w:val="10"/>
                <w:color w:val="auto"/>
              </w:rPr>
              <w:t>XBRL Taxonomy Extension Presentation Linkbase Document</w:t>
            </w: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7"/>
        <w:spacing w:after="0"/>
        <w:rPr>
          <w:sz w:val="20"/>
          <w:szCs w:val="20"/>
          <w:color w:val="auto"/>
        </w:rPr>
      </w:pPr>
      <w:r>
        <w:rPr>
          <w:rFonts w:ascii="Arial" w:cs="Arial" w:eastAsia="Arial" w:hAnsi="Arial"/>
          <w:sz w:val="10"/>
          <w:szCs w:val="10"/>
          <w:color w:val="auto"/>
        </w:rPr>
        <w:t>† Management contract or compensatory plan or arrangement.</w:t>
      </w:r>
    </w:p>
    <w:p>
      <w:pPr>
        <w:spacing w:after="0" w:line="103" w:lineRule="exact"/>
        <w:rPr>
          <w:sz w:val="20"/>
          <w:szCs w:val="20"/>
          <w:color w:val="auto"/>
        </w:rPr>
      </w:pPr>
    </w:p>
    <w:p>
      <w:pPr>
        <w:ind w:left="7" w:hanging="7"/>
        <w:spacing w:after="0" w:line="242" w:lineRule="auto"/>
        <w:tabs>
          <w:tab w:leader="none" w:pos="82"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77405"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24" w:name="page125"/>
    <w:bookmarkEnd w:id="124"/>
    <w:p>
      <w:pPr>
        <w:spacing w:after="0"/>
        <w:rPr>
          <w:rFonts w:ascii="Arial" w:cs="Arial" w:eastAsia="Arial" w:hAnsi="Arial"/>
          <w:sz w:val="10"/>
          <w:szCs w:val="10"/>
          <w:u w:val="single" w:color="auto"/>
          <w:color w:val="0000FF"/>
        </w:rPr>
      </w:pPr>
      <w:hyperlink w:anchor="page2">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6940"/>
        <w:spacing w:after="0"/>
        <w:rPr>
          <w:sz w:val="20"/>
          <w:szCs w:val="20"/>
          <w:color w:val="auto"/>
        </w:rPr>
      </w:pPr>
      <w:r>
        <w:rPr>
          <w:rFonts w:ascii="Arial" w:cs="Arial" w:eastAsia="Arial" w:hAnsi="Arial"/>
          <w:sz w:val="12"/>
          <w:szCs w:val="12"/>
          <w:color w:val="auto"/>
        </w:rPr>
        <w:t>ZOOMINFO TECHNOLOGIES INC.</w:t>
      </w:r>
    </w:p>
    <w:p>
      <w:pPr>
        <w:spacing w:after="0" w:line="180" w:lineRule="exact"/>
        <w:rPr>
          <w:sz w:val="20"/>
          <w:szCs w:val="20"/>
          <w:color w:val="auto"/>
        </w:rPr>
      </w:pPr>
    </w:p>
    <w:p>
      <w:pPr>
        <w:ind w:left="6940"/>
        <w:spacing w:after="0"/>
        <w:tabs>
          <w:tab w:leader="none" w:pos="74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21590</wp:posOffset>
            </wp:positionV>
            <wp:extent cx="24441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2444115" cy="5715"/>
                    </a:xfrm>
                    <a:prstGeom prst="rect">
                      <a:avLst/>
                    </a:prstGeom>
                    <a:noFill/>
                  </pic:spPr>
                </pic:pic>
              </a:graphicData>
            </a:graphic>
          </wp:anchor>
        </w:drawing>
      </w:r>
    </w:p>
    <w:p>
      <w:pPr>
        <w:spacing w:after="0" w:line="33" w:lineRule="exact"/>
        <w:rPr>
          <w:sz w:val="20"/>
          <w:szCs w:val="20"/>
          <w:color w:val="auto"/>
        </w:rPr>
      </w:pPr>
    </w:p>
    <w:p>
      <w:pPr>
        <w:ind w:left="7460"/>
        <w:spacing w:after="0"/>
        <w:rPr>
          <w:sz w:val="20"/>
          <w:szCs w:val="20"/>
          <w:color w:val="auto"/>
        </w:rPr>
      </w:pPr>
      <w:r>
        <w:rPr>
          <w:rFonts w:ascii="Arial" w:cs="Arial" w:eastAsia="Arial" w:hAnsi="Arial"/>
          <w:sz w:val="12"/>
          <w:szCs w:val="12"/>
          <w:color w:val="auto"/>
        </w:rPr>
        <w:t>Name: P. Cameron Hyzer</w:t>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2"/>
          <w:szCs w:val="12"/>
          <w:color w:val="auto"/>
        </w:rPr>
        <w:t>Title: Chief Financial Officer</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Date: November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128"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2"/>
          <w:szCs w:val="12"/>
          <w:color w:val="auto"/>
        </w:rPr>
        <w:t>Exhibit 31.1</w:t>
      </w:r>
    </w:p>
    <w:p>
      <w:pPr>
        <w:spacing w:after="0" w:line="21"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Management Certification Pursuant to</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2"/>
          <w:szCs w:val="12"/>
          <w:color w:val="auto"/>
        </w:rPr>
        <w:t>I, Henry Schuck, certify that:</w:t>
      </w:r>
    </w:p>
    <w:p>
      <w:pPr>
        <w:spacing w:after="0" w:line="171" w:lineRule="exact"/>
        <w:rPr>
          <w:sz w:val="20"/>
          <w:szCs w:val="20"/>
          <w:color w:val="auto"/>
        </w:rPr>
      </w:pPr>
    </w:p>
    <w:p>
      <w:pPr>
        <w:ind w:left="127" w:hanging="127"/>
        <w:spacing w:after="0"/>
        <w:tabs>
          <w:tab w:leader="none" w:pos="127" w:val="left"/>
        </w:tabs>
        <w:numPr>
          <w:ilvl w:val="0"/>
          <w:numId w:val="50"/>
        </w:numPr>
        <w:rPr>
          <w:rFonts w:ascii="Arial" w:cs="Arial" w:eastAsia="Arial" w:hAnsi="Arial"/>
          <w:sz w:val="12"/>
          <w:szCs w:val="12"/>
          <w:color w:val="auto"/>
        </w:rPr>
      </w:pPr>
      <w:r>
        <w:rPr>
          <w:rFonts w:ascii="Arial" w:cs="Arial" w:eastAsia="Arial" w:hAnsi="Arial"/>
          <w:sz w:val="12"/>
          <w:szCs w:val="12"/>
          <w:color w:val="auto"/>
        </w:rPr>
        <w:t>I have reviewed this Amendment No. 1 to the quarterly report on Form 10-Q of ZoomInfo Technologies Inc. for the quarterly period ended June 30, 2020;</w:t>
      </w:r>
    </w:p>
    <w:p>
      <w:pPr>
        <w:spacing w:after="0" w:line="170" w:lineRule="exact"/>
        <w:rPr>
          <w:rFonts w:ascii="Arial" w:cs="Arial" w:eastAsia="Arial" w:hAnsi="Arial"/>
          <w:sz w:val="12"/>
          <w:szCs w:val="12"/>
          <w:color w:val="auto"/>
        </w:rPr>
      </w:pPr>
    </w:p>
    <w:p>
      <w:pPr>
        <w:ind w:left="7" w:right="200" w:hanging="7"/>
        <w:spacing w:after="0" w:line="280" w:lineRule="auto"/>
        <w:tabs>
          <w:tab w:leader="none" w:pos="1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7" w:right="100" w:hanging="7"/>
        <w:spacing w:after="0" w:line="280" w:lineRule="auto"/>
        <w:tabs>
          <w:tab w:leader="none" w:pos="1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127" w:hanging="127"/>
        <w:spacing w:after="0"/>
        <w:tabs>
          <w:tab w:leader="none" w:pos="127"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82" w:lineRule="exact"/>
        <w:rPr>
          <w:rFonts w:ascii="Arial" w:cs="Arial" w:eastAsia="Arial" w:hAnsi="Arial"/>
          <w:sz w:val="11"/>
          <w:szCs w:val="11"/>
          <w:color w:val="auto"/>
        </w:rPr>
      </w:pPr>
    </w:p>
    <w:p>
      <w:pPr>
        <w:ind w:left="427" w:right="400" w:firstLine="8"/>
        <w:spacing w:after="0" w:line="280" w:lineRule="auto"/>
        <w:tabs>
          <w:tab w:leader="none" w:pos="592"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607" w:hanging="172"/>
        <w:spacing w:after="0"/>
        <w:tabs>
          <w:tab w:leader="none" w:pos="607" w:val="left"/>
        </w:tabs>
        <w:numPr>
          <w:ilvl w:val="1"/>
          <w:numId w:val="50"/>
        </w:numPr>
        <w:rPr>
          <w:rFonts w:ascii="Arial" w:cs="Arial" w:eastAsia="Arial" w:hAnsi="Arial"/>
          <w:sz w:val="12"/>
          <w:szCs w:val="12"/>
          <w:color w:val="auto"/>
        </w:rPr>
      </w:pPr>
      <w:r>
        <w:rPr>
          <w:rFonts w:ascii="Arial" w:cs="Arial" w:eastAsia="Arial" w:hAnsi="Arial"/>
          <w:sz w:val="12"/>
          <w:szCs w:val="12"/>
          <w:color w:val="auto"/>
        </w:rPr>
        <w:t>[Paragraph omitted in accordance with Exchange Act Rule 13a-14(a)];</w:t>
      </w:r>
    </w:p>
    <w:p>
      <w:pPr>
        <w:spacing w:after="0" w:line="170" w:lineRule="exact"/>
        <w:rPr>
          <w:rFonts w:ascii="Arial" w:cs="Arial" w:eastAsia="Arial" w:hAnsi="Arial"/>
          <w:sz w:val="12"/>
          <w:szCs w:val="12"/>
          <w:color w:val="auto"/>
        </w:rPr>
      </w:pPr>
    </w:p>
    <w:p>
      <w:pPr>
        <w:ind w:left="427" w:right="180" w:firstLine="8"/>
        <w:spacing w:after="0" w:line="280" w:lineRule="auto"/>
        <w:tabs>
          <w:tab w:leader="none" w:pos="592" w:val="left"/>
        </w:tabs>
        <w:numPr>
          <w:ilvl w:val="1"/>
          <w:numId w:val="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427" w:right="220" w:firstLine="8"/>
        <w:spacing w:after="0" w:line="280" w:lineRule="auto"/>
        <w:tabs>
          <w:tab w:leader="none" w:pos="599" w:val="left"/>
        </w:tabs>
        <w:numPr>
          <w:ilvl w:val="1"/>
          <w:numId w:val="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7" w:right="120" w:hanging="7"/>
        <w:spacing w:after="0" w:line="280" w:lineRule="auto"/>
        <w:tabs>
          <w:tab w:leader="none" w:pos="1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647" w:right="500" w:hanging="212"/>
        <w:spacing w:after="0" w:line="280" w:lineRule="auto"/>
        <w:tabs>
          <w:tab w:leader="none" w:pos="645" w:val="left"/>
        </w:tabs>
        <w:numPr>
          <w:ilvl w:val="1"/>
          <w:numId w:val="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647" w:hanging="212"/>
        <w:spacing w:after="0"/>
        <w:tabs>
          <w:tab w:leader="none" w:pos="647"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7"/>
          </w:cols>
          <w:pgMar w:left="293" w:top="1002" w:right="299" w:bottom="1440" w:gutter="0" w:footer="0" w:header="0"/>
        </w:sectPr>
      </w:pPr>
    </w:p>
    <w:bookmarkStart w:id="126" w:name="page127"/>
    <w:bookmarkEnd w:id="126"/>
    <w:p>
      <w:pPr>
        <w:ind w:left="6220"/>
        <w:spacing w:after="0"/>
        <w:rPr>
          <w:sz w:val="20"/>
          <w:szCs w:val="20"/>
          <w:color w:val="auto"/>
        </w:rPr>
      </w:pPr>
      <w:r>
        <w:rPr>
          <w:rFonts w:ascii="Arial" w:cs="Arial" w:eastAsia="Arial" w:hAnsi="Arial"/>
          <w:sz w:val="12"/>
          <w:szCs w:val="12"/>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21590</wp:posOffset>
            </wp:positionV>
            <wp:extent cx="310705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3107055" cy="5715"/>
                    </a:xfrm>
                    <a:prstGeom prst="rect">
                      <a:avLst/>
                    </a:prstGeom>
                    <a:noFill/>
                  </pic:spPr>
                </pic:pic>
              </a:graphicData>
            </a:graphic>
          </wp:anchor>
        </w:drawing>
      </w:r>
    </w:p>
    <w:p>
      <w:pPr>
        <w:spacing w:after="0" w:line="24" w:lineRule="exact"/>
        <w:rPr>
          <w:sz w:val="20"/>
          <w:szCs w:val="20"/>
          <w:color w:val="auto"/>
        </w:rPr>
      </w:pPr>
    </w:p>
    <w:p>
      <w:pPr>
        <w:spacing w:after="0"/>
        <w:tabs>
          <w:tab w:leader="none" w:pos="6200" w:val="left"/>
        </w:tabs>
        <w:rPr>
          <w:sz w:val="20"/>
          <w:szCs w:val="20"/>
          <w:color w:val="auto"/>
        </w:rPr>
      </w:pPr>
      <w:r>
        <w:rPr>
          <w:rFonts w:ascii="Arial" w:cs="Arial" w:eastAsia="Arial" w:hAnsi="Arial"/>
          <w:sz w:val="12"/>
          <w:szCs w:val="12"/>
          <w:color w:val="auto"/>
        </w:rPr>
        <w:t>Date: November 13, 2020</w:t>
      </w:r>
      <w:r>
        <w:rPr>
          <w:sz w:val="20"/>
          <w:szCs w:val="20"/>
          <w:color w:val="auto"/>
        </w:rPr>
        <w:tab/>
      </w:r>
      <w:r>
        <w:rPr>
          <w:rFonts w:ascii="Arial" w:cs="Arial" w:eastAsia="Arial" w:hAnsi="Arial"/>
          <w:sz w:val="10"/>
          <w:szCs w:val="10"/>
          <w:color w:val="auto"/>
        </w:rPr>
        <w:t>Henry Schuck</w:t>
      </w:r>
    </w:p>
    <w:p>
      <w:pPr>
        <w:spacing w:after="0" w:line="53"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Chief Executive Officer</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11"/>
          <w:szCs w:val="11"/>
          <w:i w:val="1"/>
          <w:iCs w:val="1"/>
          <w:color w:val="auto"/>
        </w:rPr>
        <w:t>(Principal Executive Officer)</w:t>
      </w:r>
    </w:p>
    <w:p>
      <w:pPr>
        <w:sectPr>
          <w:pgSz w:w="11900" w:h="16838" w:orient="portrait"/>
          <w:cols w:equalWidth="0" w:num="1">
            <w:col w:w="10159"/>
          </w:cols>
          <w:pgMar w:left="300" w:top="1402"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color w:val="auto"/>
        </w:rPr>
        <w:t>Exhibit 31.2</w:t>
      </w:r>
    </w:p>
    <w:p>
      <w:pPr>
        <w:spacing w:after="0" w:line="185"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Management Certification Pursuant to</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2"/>
          <w:szCs w:val="12"/>
          <w:color w:val="auto"/>
        </w:rPr>
        <w:t>I, P. Cameron Hyzer, certify that:</w:t>
      </w:r>
    </w:p>
    <w:p>
      <w:pPr>
        <w:spacing w:after="0" w:line="171" w:lineRule="exact"/>
        <w:rPr>
          <w:sz w:val="20"/>
          <w:szCs w:val="20"/>
          <w:color w:val="auto"/>
        </w:rPr>
      </w:pPr>
    </w:p>
    <w:p>
      <w:pPr>
        <w:ind w:left="127" w:hanging="127"/>
        <w:spacing w:after="0"/>
        <w:tabs>
          <w:tab w:leader="none" w:pos="127"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have reviewed this Amendment No. 1 to the quarterly report on Form 10-Q of ZoomInfo Technologies Inc. for the quarterly period ended June 30, 2020;</w:t>
      </w:r>
    </w:p>
    <w:p>
      <w:pPr>
        <w:spacing w:after="0" w:line="170" w:lineRule="exact"/>
        <w:rPr>
          <w:rFonts w:ascii="Arial" w:cs="Arial" w:eastAsia="Arial" w:hAnsi="Arial"/>
          <w:sz w:val="12"/>
          <w:szCs w:val="12"/>
          <w:color w:val="auto"/>
        </w:rPr>
      </w:pPr>
    </w:p>
    <w:p>
      <w:pPr>
        <w:ind w:left="7" w:right="200" w:hanging="7"/>
        <w:spacing w:after="0" w:line="280" w:lineRule="auto"/>
        <w:tabs>
          <w:tab w:leader="none" w:pos="12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7" w:right="100" w:hanging="7"/>
        <w:spacing w:after="0" w:line="280" w:lineRule="auto"/>
        <w:tabs>
          <w:tab w:leader="none" w:pos="12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127" w:hanging="127"/>
        <w:spacing w:after="0"/>
        <w:tabs>
          <w:tab w:leader="none" w:pos="127"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82" w:lineRule="exact"/>
        <w:rPr>
          <w:rFonts w:ascii="Arial" w:cs="Arial" w:eastAsia="Arial" w:hAnsi="Arial"/>
          <w:sz w:val="11"/>
          <w:szCs w:val="11"/>
          <w:color w:val="auto"/>
        </w:rPr>
      </w:pPr>
    </w:p>
    <w:p>
      <w:pPr>
        <w:ind w:left="427" w:right="400" w:firstLine="8"/>
        <w:spacing w:after="0" w:line="280" w:lineRule="auto"/>
        <w:tabs>
          <w:tab w:leader="none" w:pos="592"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607" w:hanging="172"/>
        <w:spacing w:after="0"/>
        <w:tabs>
          <w:tab w:leader="none" w:pos="607" w:val="left"/>
        </w:tabs>
        <w:numPr>
          <w:ilvl w:val="1"/>
          <w:numId w:val="51"/>
        </w:numPr>
        <w:rPr>
          <w:rFonts w:ascii="Arial" w:cs="Arial" w:eastAsia="Arial" w:hAnsi="Arial"/>
          <w:sz w:val="12"/>
          <w:szCs w:val="12"/>
          <w:color w:val="auto"/>
        </w:rPr>
      </w:pPr>
      <w:r>
        <w:rPr>
          <w:rFonts w:ascii="Arial" w:cs="Arial" w:eastAsia="Arial" w:hAnsi="Arial"/>
          <w:sz w:val="12"/>
          <w:szCs w:val="12"/>
          <w:color w:val="auto"/>
        </w:rPr>
        <w:t>[Paragraph omitted in accordance with Exchange Act Rule 13a-14(a)];</w:t>
      </w:r>
    </w:p>
    <w:p>
      <w:pPr>
        <w:spacing w:after="0" w:line="170" w:lineRule="exact"/>
        <w:rPr>
          <w:rFonts w:ascii="Arial" w:cs="Arial" w:eastAsia="Arial" w:hAnsi="Arial"/>
          <w:sz w:val="12"/>
          <w:szCs w:val="12"/>
          <w:color w:val="auto"/>
        </w:rPr>
      </w:pPr>
    </w:p>
    <w:p>
      <w:pPr>
        <w:ind w:left="427" w:right="180" w:firstLine="8"/>
        <w:spacing w:after="0" w:line="280" w:lineRule="auto"/>
        <w:tabs>
          <w:tab w:leader="none" w:pos="592" w:val="left"/>
        </w:tabs>
        <w:numPr>
          <w:ilvl w:val="1"/>
          <w:numId w:val="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427" w:right="220" w:firstLine="8"/>
        <w:spacing w:after="0" w:line="280" w:lineRule="auto"/>
        <w:tabs>
          <w:tab w:leader="none" w:pos="599"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7" w:right="120" w:hanging="7"/>
        <w:spacing w:after="0" w:line="280" w:lineRule="auto"/>
        <w:tabs>
          <w:tab w:leader="none" w:pos="12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647" w:right="500" w:hanging="212"/>
        <w:spacing w:after="0" w:line="280" w:lineRule="auto"/>
        <w:tabs>
          <w:tab w:leader="none" w:pos="645"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607" w:hanging="172"/>
        <w:spacing w:after="0"/>
        <w:tabs>
          <w:tab w:leader="none" w:pos="607"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7"/>
          </w:cols>
          <w:pgMar w:left="293" w:top="1002" w:right="299" w:bottom="1440" w:gutter="0" w:footer="0" w:header="0"/>
        </w:sectPr>
      </w:pPr>
    </w:p>
    <w:bookmarkStart w:id="128" w:name="page129"/>
    <w:bookmarkEnd w:id="128"/>
    <w:p>
      <w:pPr>
        <w:spacing w:after="0"/>
        <w:tabs>
          <w:tab w:leader="none" w:pos="6200" w:val="left"/>
        </w:tabs>
        <w:rPr>
          <w:sz w:val="20"/>
          <w:szCs w:val="20"/>
          <w:color w:val="auto"/>
        </w:rPr>
      </w:pPr>
      <w:r>
        <w:rPr>
          <w:rFonts w:ascii="Arial" w:cs="Arial" w:eastAsia="Arial" w:hAnsi="Arial"/>
          <w:sz w:val="12"/>
          <w:szCs w:val="12"/>
          <w:color w:val="auto"/>
        </w:rPr>
        <w:t>Date: November 13, 2020</w:t>
      </w:r>
      <w:r>
        <w:rPr>
          <w:sz w:val="20"/>
          <w:szCs w:val="20"/>
          <w:color w:val="auto"/>
        </w:rPr>
        <w:tab/>
      </w:r>
      <w:r>
        <w:rPr>
          <w:rFonts w:ascii="Arial" w:cs="Arial" w:eastAsia="Arial" w:hAnsi="Arial"/>
          <w:sz w:val="10"/>
          <w:szCs w:val="10"/>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21590</wp:posOffset>
            </wp:positionV>
            <wp:extent cx="310705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3107055" cy="5715"/>
                    </a:xfrm>
                    <a:prstGeom prst="rect">
                      <a:avLst/>
                    </a:prstGeom>
                    <a:noFill/>
                  </pic:spPr>
                </pic:pic>
              </a:graphicData>
            </a:graphic>
          </wp:anchor>
        </w:drawing>
      </w:r>
    </w:p>
    <w:p>
      <w:pPr>
        <w:spacing w:after="0" w:line="33"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P. Cameron Hyzer</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Chief Financial Officer</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11"/>
          <w:szCs w:val="11"/>
          <w:i w:val="1"/>
          <w:iCs w:val="1"/>
          <w:color w:val="auto"/>
        </w:rPr>
        <w:t>(Principal Financial Officer)</w:t>
      </w:r>
    </w:p>
    <w:p>
      <w:pPr>
        <w:sectPr>
          <w:pgSz w:w="11900" w:h="16838" w:orient="portrait"/>
          <w:cols w:equalWidth="0" w:num="1">
            <w:col w:w="10159"/>
          </w:cols>
          <w:pgMar w:left="300" w:top="1401"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color w:val="auto"/>
        </w:rPr>
        <w:t>Exhibit 32.1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18 U.S.C. Section 1350,</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1" w:lineRule="exact"/>
        <w:rPr>
          <w:sz w:val="20"/>
          <w:szCs w:val="20"/>
          <w:color w:val="auto"/>
        </w:rPr>
      </w:pPr>
    </w:p>
    <w:p>
      <w:pPr>
        <w:ind w:right="200" w:firstLine="436"/>
        <w:spacing w:after="0" w:line="297" w:lineRule="auto"/>
        <w:rPr>
          <w:sz w:val="20"/>
          <w:szCs w:val="20"/>
          <w:color w:val="auto"/>
        </w:rPr>
      </w:pPr>
      <w:r>
        <w:rPr>
          <w:rFonts w:ascii="Arial" w:cs="Arial" w:eastAsia="Arial" w:hAnsi="Arial"/>
          <w:sz w:val="12"/>
          <w:szCs w:val="12"/>
          <w:color w:val="auto"/>
        </w:rPr>
        <w:t>In connection with Amendment No. 1 to the quarterly report on Form 10-Q of ZoomInfo Technologies Inc. (the “Company”) for the quarterly period ended June 30, 2020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(1)The Report fully complies with the requirements of Section 13(a) or 15(d) of the Securities Exchange Act of 1934; and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13, 2020</w:t>
      </w:r>
    </w:p>
    <w:p>
      <w:pPr>
        <w:spacing w:after="0" w:line="200" w:lineRule="exact"/>
        <w:rPr>
          <w:sz w:val="20"/>
          <w:szCs w:val="20"/>
          <w:color w:val="auto"/>
        </w:rPr>
      </w:pPr>
    </w:p>
    <w:p>
      <w:pPr>
        <w:spacing w:after="0" w:line="397"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21590</wp:posOffset>
            </wp:positionV>
            <wp:extent cx="311848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3118485" cy="5715"/>
                    </a:xfrm>
                    <a:prstGeom prst="rect">
                      <a:avLst/>
                    </a:prstGeom>
                    <a:noFill/>
                  </pic:spPr>
                </pic:pic>
              </a:graphicData>
            </a:graphic>
          </wp:anchor>
        </w:drawing>
      </w:r>
    </w:p>
    <w:p>
      <w:pPr>
        <w:spacing w:after="0" w:line="33"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Henry Schuck</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Chief Executive Officer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21590</wp:posOffset>
            </wp:positionV>
            <wp:extent cx="311848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3118485" cy="5715"/>
                    </a:xfrm>
                    <a:prstGeom prst="rect">
                      <a:avLst/>
                    </a:prstGeom>
                    <a:noFill/>
                  </pic:spPr>
                </pic:pic>
              </a:graphicData>
            </a:graphic>
          </wp:anchor>
        </w:drawing>
      </w:r>
    </w:p>
    <w:p>
      <w:pPr>
        <w:spacing w:after="0" w:line="33"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P. Cameron Hyzer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Chief Financial Officer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Financial Officer)</w:t>
      </w:r>
    </w:p>
    <w:sectPr>
      <w:pgSz w:w="11900" w:h="16838" w:orient="portrait"/>
      <w:cols w:equalWidth="0" w:num="1">
        <w:col w:w="11300"/>
      </w:cols>
      <w:pgMar w:left="300" w:top="100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upperLetter"/>
      <w:start w:val="1"/>
    </w:lvl>
  </w:abstractNum>
  <w:abstractNum w:abstractNumId="3">
    <w:nsid w:val="71F32454"/>
    <w:multiLevelType w:val="hybridMultilevel"/>
    <w:lvl w:ilvl="0">
      <w:lvlJc w:val="left"/>
      <w:lvlText w:val="(%1)"/>
      <w:numFmt w:val="decimal"/>
      <w:start w:val="1"/>
    </w:lvl>
    <w:lvl w:ilvl="1">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lowerRoman"/>
      <w:start w:val="3"/>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lowerRoman"/>
      <w:start w:val="4"/>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4"/>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4"/>
    </w:lvl>
  </w:abstractNum>
  <w:abstractNum w:abstractNumId="25">
    <w:nsid w:val="2463B9EA"/>
    <w:multiLevelType w:val="hybridMultilevel"/>
    <w:lvl w:ilvl="0">
      <w:lvlJc w:val="left"/>
      <w:lvlText w:val="(%1)"/>
      <w:numFmt w:val="lowerRoman"/>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64" Type="http://schemas.openxmlformats.org/officeDocument/2006/relationships/hyperlink" Target="http://www.sec.gov/Archives/edgar/data/1794515/000162828020009137/exhibit31-closing8xkxchart.htm" TargetMode="External"/><Relationship Id="rId165" Type="http://schemas.openxmlformats.org/officeDocument/2006/relationships/hyperlink" Target="http://www.sec.gov/Archives/edgar/data/1794515/000162828020009137/exhibit32-closing8xkxbylaws.htm" TargetMode="External"/><Relationship Id="rId166" Type="http://schemas.openxmlformats.org/officeDocument/2006/relationships/hyperlink" Target="http://www.sec.gov/Archives/edgar/data/1794515/000162828020009137/exhibit101-closing8xkxopco.htm" TargetMode="External"/><Relationship Id="rId167" Type="http://schemas.openxmlformats.org/officeDocument/2006/relationships/hyperlink" Target="http://www.sec.gov/Archives/edgar/data/1794515/000162828020009137/exhibit102-closing8xkxhold.htm" TargetMode="External"/><Relationship Id="rId168" Type="http://schemas.openxmlformats.org/officeDocument/2006/relationships/hyperlink" Target="http://www.sec.gov/Archives/edgar/data/1794515/000162828020009137/exhibit103-closing8xkxexch.htm" TargetMode="External"/><Relationship Id="rId169" Type="http://schemas.openxmlformats.org/officeDocument/2006/relationships/hyperlink" Target="http://www.sec.gov/Archives/edgar/data/1794515/000162828020009137/exhibit104-closing8xkxreor.htm" TargetMode="External"/><Relationship Id="rId170" Type="http://schemas.openxmlformats.org/officeDocument/2006/relationships/hyperlink" Target="https://www.sec.gov/Archives/edgar/data/1794515/000162828020009137/exhibit105-closing8xkxregi.htm" TargetMode="External"/><Relationship Id="rId171" Type="http://schemas.openxmlformats.org/officeDocument/2006/relationships/hyperlink" Target="http://www.sec.gov/Archives/edgar/data/1794515/000162828020009137/exhibit106-closing8xkxstoc.htm" TargetMode="External"/><Relationship Id="rId172" Type="http://schemas.openxmlformats.org/officeDocument/2006/relationships/hyperlink" Target="http://www.sec.gov/Archives/edgar/data/1794515/000162828020009137/exhibit107-closing8xkx2020.htm" TargetMode="External"/><Relationship Id="rId173" Type="http://schemas.openxmlformats.org/officeDocument/2006/relationships/hyperlink" Target="http://www.sec.gov/Archives/edgar/data/1794515/000162828020009137/exhibit108-closing8xkxempl.htm" TargetMode="External"/><Relationship Id="rId174" Type="http://schemas.openxmlformats.org/officeDocument/2006/relationships/hyperlink" Target="http://www.sec.gov/Archives/edgar/data/1794515/000162828020008444/exhibit109s-1aformofindemn.htm" TargetMode="External"/><Relationship Id="rId175" Type="http://schemas.openxmlformats.org/officeDocument/2006/relationships/hyperlink" Target="http://www.sec.gov/Archives/edgar/data/1794515/000162828020009137/exhibit109-closing8xkxform.htm" TargetMode="External"/><Relationship Id="rId176" Type="http://schemas.openxmlformats.org/officeDocument/2006/relationships/hyperlink" Target="http://www.sec.gov/Archives/edgar/data/1794515/000162828020008317/exhibit1028formofstandarde.htm" TargetMode="External"/><Relationship Id="rId177" Type="http://schemas.openxmlformats.org/officeDocument/2006/relationships/hyperlink" Target="http://www.sec.gov/Archives/edgar/data/1794515/000162828020008444/exhibit1029s-1aformofhenry.htm" TargetMode="External"/><Relationship Id="rId178" Type="http://schemas.openxmlformats.org/officeDocument/2006/relationships/hyperlink" Target="http://www.sec.gov/Archives/edgar/data/1794515/000162828020008317/exhibit1030formofleverager.htm" TargetMode="External"/><Relationship Id="rId179" Type="http://schemas.openxmlformats.org/officeDocument/2006/relationships/hyperlink" Target="http://www.sec.gov/Archives/edgar/data/1794515/000162828020008317/exhibit1031formofstandarde.htm" TargetMode="External"/><Relationship Id="rId180" Type="http://schemas.openxmlformats.org/officeDocument/2006/relationships/hyperlink" Target="http://www.sec.gov/Archives/edgar/data/1794515/000162828020008317/exhibit1032formofnon-emplo.htm" TargetMode="External"/><Relationship Id="rId181" Type="http://schemas.openxmlformats.org/officeDocument/2006/relationships/hyperlink" Target="http://www.sec.gov/Archives/edgar/data/1794515/000162828020008317/exhibit1033formofnon-emplo.htm" TargetMode="External"/><Relationship Id="rId182" Type="http://schemas.openxmlformats.org/officeDocument/2006/relationships/hyperlink" Target="http://www.sec.gov/Archives/edgar/data/1794515/000162828020008317/exhibit1034formofclasspuni.htm" TargetMode="External"/><Relationship Id="rId183" Type="http://schemas.openxmlformats.org/officeDocument/2006/relationships/hyperlink" Target="http://www.sec.gov/Archives/edgar/data/1794515/000162828020008317/exhibit1035formofltipunita.htm" TargetMode="External"/><Relationship Id="rId184" Type="http://schemas.openxmlformats.org/officeDocument/2006/relationships/hyperlink" Target="http://www.sec.gov/Archives/edgar/data/1794515/000162828020008317/exhibit1036formofrestricti.htm" TargetMode="External"/><Relationship Id="rId185" Type="http://schemas.openxmlformats.org/officeDocument/2006/relationships/hyperlink" Target="http://www.sec.gov/Archives/edgar/data/1794515/000179451520000019/zi-ex1020x202008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2020-11-13T16:41:37Z</dcterms:created>
  <dcterms:modified xsi:type="dcterms:W3CDTF">2020-11-13T16:41:37Z</dcterms:modified>
</cp:coreProperties>
</file>