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-594360</wp:posOffset>
            </wp:positionV>
            <wp:extent cx="8255"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99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-602615</wp:posOffset>
            </wp:positionV>
            <wp:extent cx="825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-578485</wp:posOffset>
            </wp:positionV>
            <wp:extent cx="1270000" cy="554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49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26035</wp:posOffset>
            </wp:positionV>
            <wp:extent cx="6970395" cy="171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2595"/>
                    </a:xfrm>
                    <a:prstGeom prst="rect">
                      <a:avLst/>
                    </a:prstGeom>
                    <a:noFill/>
                  </pic:spPr>
                </pic:pic>
              </a:graphicData>
            </a:graphic>
          </wp:anchor>
        </w:drawing>
      </w:r>
    </w:p>
    <w:p>
      <w:pPr>
        <w:spacing w:after="0" w:line="27"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660" w:type="dxa"/>
            <w:vAlign w:val="bottom"/>
            <w:gridSpan w:val="3"/>
          </w:tcPr>
          <w:p>
            <w:pPr>
              <w:ind w:left="60"/>
              <w:spacing w:after="0"/>
              <w:rPr>
                <w:sz w:val="20"/>
                <w:szCs w:val="20"/>
                <w:color w:val="auto"/>
              </w:rPr>
            </w:pPr>
            <w:r>
              <w:rPr>
                <w:rFonts w:ascii="Arial" w:cs="Arial" w:eastAsia="Arial" w:hAnsi="Arial"/>
                <w:sz w:val="13"/>
                <w:szCs w:val="13"/>
                <w:color w:val="auto"/>
                <w:w w:val="97"/>
              </w:rPr>
              <w:t xml:space="preserve">2. Issuer Name </w:t>
            </w:r>
            <w:r>
              <w:rPr>
                <w:rFonts w:ascii="Arial" w:cs="Arial" w:eastAsia="Arial" w:hAnsi="Arial"/>
                <w:sz w:val="13"/>
                <w:szCs w:val="13"/>
                <w:b w:val="1"/>
                <w:bCs w:val="1"/>
                <w:color w:val="auto"/>
                <w:w w:val="97"/>
              </w:rPr>
              <w:t>and</w:t>
            </w:r>
            <w:r>
              <w:rPr>
                <w:rFonts w:ascii="Arial" w:cs="Arial" w:eastAsia="Arial" w:hAnsi="Arial"/>
                <w:sz w:val="13"/>
                <w:szCs w:val="13"/>
                <w:color w:val="auto"/>
                <w:w w:val="97"/>
              </w:rPr>
              <w:t xml:space="preserve"> Ticker or Trading Symbol</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vMerge w:val="restart"/>
          </w:tcPr>
          <w:p>
            <w:pPr>
              <w:ind w:left="20"/>
              <w:spacing w:after="0"/>
              <w:rPr>
                <w:rFonts w:ascii="Arial" w:cs="Arial" w:eastAsia="Arial" w:hAnsi="Arial"/>
                <w:sz w:val="20"/>
                <w:szCs w:val="20"/>
                <w:u w:val="single" w:color="auto"/>
                <w:color w:val="0000EE"/>
                <w:w w:val="90"/>
              </w:rPr>
            </w:pPr>
            <w:hyperlink r:id="rId13">
              <w:r>
                <w:rPr>
                  <w:rFonts w:ascii="Arial" w:cs="Arial" w:eastAsia="Arial" w:hAnsi="Arial"/>
                  <w:sz w:val="20"/>
                  <w:szCs w:val="20"/>
                  <w:u w:val="single" w:color="auto"/>
                  <w:color w:val="0000EE"/>
                  <w:w w:val="90"/>
                </w:rPr>
                <w:t>Mironov Jason</w:t>
              </w:r>
            </w:hyperlink>
          </w:p>
        </w:tc>
        <w:tc>
          <w:tcPr>
            <w:tcW w:w="7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00" w:type="dxa"/>
            <w:vAlign w:val="bottom"/>
            <w:gridSpan w:val="4"/>
          </w:tcPr>
          <w:p>
            <w:pPr>
              <w:ind w:left="60"/>
              <w:spacing w:after="0" w:line="102"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ZoomInfo Technologies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ind w:left="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82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40" w:type="dxa"/>
            <w:vAlign w:val="bottom"/>
            <w:gridSpan w:val="2"/>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720" w:type="dxa"/>
            <w:vAlign w:val="bottom"/>
          </w:tcPr>
          <w:p>
            <w:pPr>
              <w:ind w:left="20"/>
              <w:spacing w:after="0"/>
              <w:rPr>
                <w:sz w:val="20"/>
                <w:szCs w:val="20"/>
                <w:color w:val="auto"/>
              </w:rPr>
            </w:pPr>
            <w:r>
              <w:rPr>
                <w:rFonts w:ascii="Arial" w:cs="Arial" w:eastAsia="Arial" w:hAnsi="Arial"/>
                <w:sz w:val="13"/>
                <w:szCs w:val="13"/>
                <w:color w:val="auto"/>
              </w:rPr>
              <w:t>(First)</w:t>
            </w:r>
          </w:p>
        </w:tc>
        <w:tc>
          <w:tcPr>
            <w:tcW w:w="1800" w:type="dxa"/>
            <w:vAlign w:val="bottom"/>
            <w:gridSpan w:val="2"/>
          </w:tcPr>
          <w:p>
            <w:pPr>
              <w:ind w:left="520"/>
              <w:spacing w:after="0"/>
              <w:rPr>
                <w:sz w:val="20"/>
                <w:szCs w:val="20"/>
                <w:color w:val="auto"/>
              </w:rPr>
            </w:pPr>
            <w:r>
              <w:rPr>
                <w:rFonts w:ascii="Arial" w:cs="Arial" w:eastAsia="Arial" w:hAnsi="Arial"/>
                <w:sz w:val="13"/>
                <w:szCs w:val="13"/>
                <w:color w:val="auto"/>
              </w:rPr>
              <w:t>(Middle)</w:t>
            </w:r>
          </w:p>
        </w:tc>
        <w:tc>
          <w:tcPr>
            <w:tcW w:w="3100" w:type="dxa"/>
            <w:vAlign w:val="bottom"/>
            <w:gridSpan w:val="4"/>
            <w:vMerge w:val="continue"/>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ind w:left="380"/>
              <w:spacing w:after="0"/>
              <w:rPr>
                <w:sz w:val="20"/>
                <w:szCs w:val="20"/>
                <w:color w:val="auto"/>
              </w:rPr>
            </w:pPr>
            <w:r>
              <w:rPr>
                <w:rFonts w:ascii="Arial" w:cs="Arial" w:eastAsia="Arial" w:hAnsi="Arial"/>
                <w:sz w:val="13"/>
                <w:szCs w:val="13"/>
                <w:color w:val="auto"/>
              </w:rPr>
              <w:t>below)</w:t>
            </w:r>
          </w:p>
        </w:tc>
        <w:tc>
          <w:tcPr>
            <w:tcW w:w="8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40" w:type="dxa"/>
            <w:vAlign w:val="bottom"/>
            <w:gridSpan w:val="4"/>
            <w:vMerge w:val="restart"/>
          </w:tcPr>
          <w:p>
            <w:pPr>
              <w:ind w:left="20"/>
              <w:spacing w:after="0"/>
              <w:rPr>
                <w:sz w:val="20"/>
                <w:szCs w:val="20"/>
                <w:color w:val="auto"/>
              </w:rPr>
            </w:pPr>
            <w:r>
              <w:rPr>
                <w:rFonts w:ascii="Arial" w:cs="Arial" w:eastAsia="Arial" w:hAnsi="Arial"/>
                <w:sz w:val="16"/>
                <w:szCs w:val="16"/>
                <w:color w:val="0000FF"/>
              </w:rPr>
              <w:t>C/O ZOOMINFO TECHNOLOGIES, INC.</w:t>
            </w:r>
          </w:p>
        </w:tc>
        <w:tc>
          <w:tcPr>
            <w:tcW w:w="1120" w:type="dxa"/>
            <w:vAlign w:val="bottom"/>
          </w:tcPr>
          <w:p>
            <w:pPr>
              <w:ind w:left="60"/>
              <w:spacing w:after="0"/>
              <w:rPr>
                <w:sz w:val="20"/>
                <w:szCs w:val="20"/>
                <w:color w:val="auto"/>
              </w:rPr>
            </w:pPr>
            <w:r>
              <w:rPr>
                <w:rFonts w:ascii="Arial" w:cs="Arial" w:eastAsia="Arial" w:hAnsi="Arial"/>
                <w:sz w:val="16"/>
                <w:szCs w:val="16"/>
                <w:color w:val="0000FF"/>
              </w:rPr>
              <w:t>02/12/2021</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4"/>
            <w:vMerge w:val="continue"/>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4"/>
            <w:vMerge w:val="restart"/>
          </w:tcPr>
          <w:p>
            <w:pPr>
              <w:ind w:left="20"/>
              <w:spacing w:after="0"/>
              <w:rPr>
                <w:sz w:val="20"/>
                <w:szCs w:val="20"/>
                <w:color w:val="auto"/>
              </w:rPr>
            </w:pPr>
            <w:r>
              <w:rPr>
                <w:rFonts w:ascii="Arial" w:cs="Arial" w:eastAsia="Arial" w:hAnsi="Arial"/>
                <w:sz w:val="16"/>
                <w:szCs w:val="16"/>
                <w:color w:val="0000FF"/>
              </w:rPr>
              <w:t>805 BROADWAY STREET, SUITE 900</w:t>
            </w:r>
          </w:p>
        </w:tc>
        <w:tc>
          <w:tcPr>
            <w:tcW w:w="11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4"/>
            <w:vMerge w:val="continue"/>
          </w:tcPr>
          <w:p>
            <w:pPr>
              <w:spacing w:after="0"/>
              <w:rPr>
                <w:sz w:val="8"/>
                <w:szCs w:val="8"/>
                <w:color w:val="auto"/>
              </w:rPr>
            </w:pPr>
          </w:p>
        </w:tc>
        <w:tc>
          <w:tcPr>
            <w:tcW w:w="3820" w:type="dxa"/>
            <w:vAlign w:val="bottom"/>
            <w:gridSpan w:val="5"/>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5"/>
            <w:vMerge w:val="continue"/>
          </w:tcPr>
          <w:p>
            <w:pPr>
              <w:spacing w:after="0"/>
              <w:rPr>
                <w:sz w:val="7"/>
                <w:szCs w:val="7"/>
                <w:color w:val="auto"/>
              </w:rPr>
            </w:pPr>
          </w:p>
        </w:tc>
        <w:tc>
          <w:tcPr>
            <w:tcW w:w="33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170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4"/>
          </w:tcPr>
          <w:p>
            <w:pPr>
              <w:ind w:left="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0000FF"/>
              </w:rPr>
              <w:t>VANCOUVER</w:t>
            </w:r>
          </w:p>
        </w:tc>
        <w:tc>
          <w:tcPr>
            <w:tcW w:w="720" w:type="dxa"/>
            <w:vAlign w:val="bottom"/>
          </w:tcPr>
          <w:p>
            <w:pPr>
              <w:ind w:left="20"/>
              <w:spacing w:after="0"/>
              <w:rPr>
                <w:sz w:val="20"/>
                <w:szCs w:val="20"/>
                <w:color w:val="auto"/>
              </w:rPr>
            </w:pPr>
            <w:r>
              <w:rPr>
                <w:rFonts w:ascii="Arial" w:cs="Arial" w:eastAsia="Arial" w:hAnsi="Arial"/>
                <w:sz w:val="16"/>
                <w:szCs w:val="16"/>
                <w:color w:val="0000FF"/>
              </w:rPr>
              <w:t>WA</w:t>
            </w:r>
          </w:p>
        </w:tc>
        <w:tc>
          <w:tcPr>
            <w:tcW w:w="1700" w:type="dxa"/>
            <w:vAlign w:val="bottom"/>
          </w:tcPr>
          <w:p>
            <w:pPr>
              <w:ind w:left="520"/>
              <w:spacing w:after="0"/>
              <w:rPr>
                <w:sz w:val="20"/>
                <w:szCs w:val="20"/>
                <w:color w:val="auto"/>
              </w:rPr>
            </w:pPr>
            <w:r>
              <w:rPr>
                <w:rFonts w:ascii="Arial" w:cs="Arial" w:eastAsia="Arial" w:hAnsi="Arial"/>
                <w:sz w:val="16"/>
                <w:szCs w:val="16"/>
                <w:color w:val="0000FF"/>
              </w:rPr>
              <w:t>98660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gridSpan w:val="4"/>
          </w:tcPr>
          <w:p>
            <w:pPr>
              <w:ind w:left="38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380"/>
              <w:spacing w:after="0" w:line="128" w:lineRule="exact"/>
              <w:rPr>
                <w:sz w:val="20"/>
                <w:szCs w:val="20"/>
                <w:color w:val="auto"/>
              </w:rPr>
            </w:pPr>
            <w:r>
              <w:rPr>
                <w:rFonts w:ascii="Arial" w:cs="Arial" w:eastAsia="Arial" w:hAnsi="Arial"/>
                <w:sz w:val="13"/>
                <w:szCs w:val="13"/>
                <w:color w:val="auto"/>
              </w:rPr>
              <w:t>Person</w:t>
            </w: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720" w:type="dxa"/>
            <w:vAlign w:val="bottom"/>
          </w:tcPr>
          <w:p>
            <w:pPr>
              <w:ind w:left="20"/>
              <w:spacing w:after="0"/>
              <w:rPr>
                <w:sz w:val="20"/>
                <w:szCs w:val="20"/>
                <w:color w:val="auto"/>
              </w:rPr>
            </w:pPr>
            <w:r>
              <w:rPr>
                <w:rFonts w:ascii="Arial" w:cs="Arial" w:eastAsia="Arial" w:hAnsi="Arial"/>
                <w:sz w:val="13"/>
                <w:szCs w:val="13"/>
                <w:color w:val="auto"/>
              </w:rPr>
              <w:t>(State)</w:t>
            </w:r>
          </w:p>
        </w:tc>
        <w:tc>
          <w:tcPr>
            <w:tcW w:w="180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gridSpan w:val="8"/>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2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960" w:type="dxa"/>
            <w:vAlign w:val="bottom"/>
            <w:tcBorders>
              <w:top w:val="single" w:sz="8" w:color="2C2C2C"/>
            </w:tcBorders>
            <w:gridSpan w:val="9"/>
          </w:tcPr>
          <w:p>
            <w:pPr>
              <w:ind w:left="3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20" w:type="dxa"/>
            <w:vAlign w:val="bottom"/>
          </w:tcPr>
          <w:p>
            <w:pPr>
              <w:spacing w:after="0"/>
              <w:rPr>
                <w:sz w:val="10"/>
                <w:szCs w:val="10"/>
                <w:color w:val="auto"/>
              </w:rPr>
            </w:pPr>
          </w:p>
        </w:tc>
        <w:tc>
          <w:tcPr>
            <w:tcW w:w="11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0" w:type="dxa"/>
            <w:vAlign w:val="bottom"/>
            <w:gridSpan w:val="2"/>
          </w:tcPr>
          <w:p>
            <w:pPr>
              <w:jc w:val="center"/>
              <w:ind w:left="742"/>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6"/>
                <w:szCs w:val="6"/>
                <w:color w:val="auto"/>
              </w:rPr>
            </w:pPr>
          </w:p>
        </w:tc>
        <w:tc>
          <w:tcPr>
            <w:tcW w:w="11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2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45,336</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45,336</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(2)(3)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1,171</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1,171</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7,830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7,830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1,684</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1,684</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(3)(6)</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56</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56</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(3)(7)</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2,965</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2,965</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(3)(8)</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2,660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2,660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(3)(9)</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224</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1"/>
              </w:rPr>
              <w:t>(10)</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224</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1"/>
                <w:szCs w:val="21"/>
                <w:color w:val="008000"/>
                <w:w w:val="86"/>
                <w:vertAlign w:val="superscript"/>
              </w:rPr>
              <w:t>(3)(11)</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11,859</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1"/>
              </w:rPr>
              <w:t>(10)</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11,859</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1"/>
                <w:szCs w:val="21"/>
                <w:color w:val="008000"/>
                <w:w w:val="86"/>
                <w:vertAlign w:val="superscript"/>
              </w:rPr>
              <w:t>(3)(12)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10,640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1"/>
              </w:rPr>
              <w:t>(10)</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10,640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1"/>
                <w:szCs w:val="21"/>
                <w:color w:val="008000"/>
                <w:w w:val="86"/>
                <w:vertAlign w:val="superscript"/>
              </w:rPr>
              <w:t>(3)(13)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45,336</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(2)(3)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1,171</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(3)(4)</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7,830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(3)(5)</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1,684</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(3)(6)</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56</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(3)(7)</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2,965</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(3)(8)</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2,660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(3)(9)</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224</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1"/>
                <w:szCs w:val="21"/>
                <w:color w:val="008000"/>
                <w:w w:val="86"/>
                <w:vertAlign w:val="superscript"/>
              </w:rPr>
              <w:t>(3)(11)</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11,859</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1"/>
                <w:szCs w:val="21"/>
                <w:color w:val="008000"/>
                <w:w w:val="86"/>
                <w:vertAlign w:val="superscript"/>
              </w:rPr>
              <w:t>(3)(12)</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10,640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(3)(13)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1220" w:type="dxa"/>
            <w:vAlign w:val="bottom"/>
            <w:shd w:val="clear" w:color="auto" w:fill="808080"/>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170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440" w:type="dxa"/>
            <w:vAlign w:val="bottom"/>
            <w:shd w:val="clear" w:color="auto" w:fill="808080"/>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-7621270</wp:posOffset>
            </wp:positionV>
            <wp:extent cx="7035165" cy="7694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769429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5692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569214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45,336</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40"/>
              <w:spacing w:after="0" w:line="139" w:lineRule="exact"/>
              <w:rPr>
                <w:sz w:val="20"/>
                <w:szCs w:val="20"/>
                <w:color w:val="auto"/>
              </w:rPr>
            </w:pPr>
            <w:r>
              <w:rPr>
                <w:rFonts w:ascii="Arial" w:cs="Arial" w:eastAsia="Arial" w:hAnsi="Arial"/>
                <w:sz w:val="13"/>
                <w:szCs w:val="13"/>
                <w:color w:val="0000FF"/>
                <w:w w:val="85"/>
              </w:rPr>
              <w:t>45,336</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55,849,419</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(2)(3)</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1,171</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5"/>
              </w:rPr>
              <w:t>1,171</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1,441,773</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(3)(4)</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7,830</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5"/>
              </w:rPr>
              <w:t>7,830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9,645,142</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(3)(5)</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1,684</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5"/>
              </w:rPr>
              <w:t>1,684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2,074,223</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(3)(6)</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56</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2"/>
              </w:rPr>
              <w:t>56</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68,871</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(3)(7)</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2,965</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5"/>
              </w:rPr>
              <w:t>2,965</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3,652,257</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(3)(8)</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2,660</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5"/>
              </w:rPr>
              <w:t>2,660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3,276,697</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(3)(9)</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224</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40"/>
              <w:spacing w:after="0"/>
              <w:rPr>
                <w:sz w:val="20"/>
                <w:szCs w:val="20"/>
                <w:color w:val="auto"/>
              </w:rPr>
            </w:pPr>
            <w:r>
              <w:rPr>
                <w:rFonts w:ascii="Arial" w:cs="Arial" w:eastAsia="Arial" w:hAnsi="Arial"/>
                <w:sz w:val="13"/>
                <w:szCs w:val="13"/>
                <w:color w:val="0000FF"/>
                <w:w w:val="82"/>
              </w:rPr>
              <w:t>224</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275,491</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(3)(11)</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9" w:lineRule="exact"/>
              <w:rPr>
                <w:sz w:val="20"/>
                <w:szCs w:val="20"/>
                <w:color w:val="auto"/>
              </w:rPr>
            </w:pPr>
            <w:r>
              <w:rPr>
                <w:rFonts w:ascii="Arial" w:cs="Arial" w:eastAsia="Arial" w:hAnsi="Arial"/>
                <w:sz w:val="13"/>
                <w:szCs w:val="13"/>
                <w:color w:val="0000FF"/>
                <w:w w:val="92"/>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11,859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40"/>
              <w:spacing w:after="0"/>
              <w:rPr>
                <w:sz w:val="20"/>
                <w:szCs w:val="20"/>
                <w:color w:val="auto"/>
              </w:rPr>
            </w:pPr>
            <w:r>
              <w:rPr>
                <w:rFonts w:ascii="Arial" w:cs="Arial" w:eastAsia="Arial" w:hAnsi="Arial"/>
                <w:sz w:val="13"/>
                <w:szCs w:val="13"/>
                <w:color w:val="0000FF"/>
                <w:w w:val="85"/>
              </w:rPr>
              <w:t>11,859</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14,609,029</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(3)(12)</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9" w:lineRule="exact"/>
              <w:rPr>
                <w:sz w:val="20"/>
                <w:szCs w:val="20"/>
                <w:color w:val="auto"/>
              </w:rPr>
            </w:pPr>
            <w:r>
              <w:rPr>
                <w:rFonts w:ascii="Arial" w:cs="Arial" w:eastAsia="Arial" w:hAnsi="Arial"/>
                <w:sz w:val="13"/>
                <w:szCs w:val="13"/>
                <w:color w:val="0000FF"/>
                <w:w w:val="92"/>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10,640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40"/>
              <w:spacing w:after="0"/>
              <w:rPr>
                <w:sz w:val="20"/>
                <w:szCs w:val="20"/>
                <w:color w:val="auto"/>
              </w:rPr>
            </w:pPr>
            <w:r>
              <w:rPr>
                <w:rFonts w:ascii="Arial" w:cs="Arial" w:eastAsia="Arial" w:hAnsi="Arial"/>
                <w:sz w:val="13"/>
                <w:szCs w:val="13"/>
                <w:color w:val="0000FF"/>
                <w:w w:val="85"/>
              </w:rPr>
              <w:t>10,640</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13,106,795</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(3)(13)</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20" w:right="200" w:hanging="1"/>
        <w:spacing w:after="0" w:line="241"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Units of ZoomInfo Holdings LLC ("Opco"), which represent limited liability company units of Opco and a corresponding number of shares of Class B Common Stock of the Issuer, were exchanged on a one-for-one basis for shares of Class A Common Stock of the Issuer pursuant to the amended and restated limited liability company agreement of Opco.</w:t>
      </w:r>
    </w:p>
    <w:p>
      <w:pPr>
        <w:spacing w:after="0" w:line="28"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40" w:lineRule="exact"/>
        <w:rPr>
          <w:rFonts w:ascii="Arial" w:cs="Arial" w:eastAsia="Arial" w:hAnsi="Arial"/>
          <w:sz w:val="13"/>
          <w:szCs w:val="13"/>
          <w:color w:val="008000"/>
        </w:rPr>
      </w:pPr>
    </w:p>
    <w:p>
      <w:pPr>
        <w:ind w:left="20" w:right="160" w:hanging="1"/>
        <w:spacing w:after="0" w:line="232"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The Reporting Person disclaims beneficial ownership of these securities, except to the extent of his pecuniary interest in such securities, and this report shall not be deemed an admission that the Reporting Person is the beneficial owner of such securities for Section 16 or any other purpose.</w:t>
      </w:r>
    </w:p>
    <w:p>
      <w:pPr>
        <w:spacing w:after="0" w:line="29"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4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4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4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4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4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40" w:lineRule="exact"/>
        <w:rPr>
          <w:rFonts w:ascii="Arial" w:cs="Arial" w:eastAsia="Arial" w:hAnsi="Arial"/>
          <w:sz w:val="13"/>
          <w:szCs w:val="13"/>
          <w:color w:val="008000"/>
        </w:rPr>
      </w:pPr>
    </w:p>
    <w:p>
      <w:pPr>
        <w:ind w:left="200" w:hanging="181"/>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of the Issuer's Class C Common Stock were converted on a one-for-one basis for shares of Class A Common Stock of the Issuer.</w:t>
      </w:r>
    </w:p>
    <w:p>
      <w:pPr>
        <w:spacing w:after="0" w:line="40" w:lineRule="exact"/>
        <w:rPr>
          <w:rFonts w:ascii="Arial" w:cs="Arial" w:eastAsia="Arial" w:hAnsi="Arial"/>
          <w:sz w:val="13"/>
          <w:szCs w:val="13"/>
          <w:color w:val="008000"/>
        </w:rPr>
      </w:pPr>
    </w:p>
    <w:p>
      <w:pPr>
        <w:ind w:left="200" w:hanging="181"/>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40" w:lineRule="exact"/>
        <w:rPr>
          <w:rFonts w:ascii="Arial" w:cs="Arial" w:eastAsia="Arial" w:hAnsi="Arial"/>
          <w:sz w:val="13"/>
          <w:szCs w:val="13"/>
          <w:color w:val="008000"/>
        </w:rPr>
      </w:pPr>
    </w:p>
    <w:p>
      <w:pPr>
        <w:ind w:left="200" w:hanging="181"/>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40" w:lineRule="exact"/>
        <w:rPr>
          <w:rFonts w:ascii="Arial" w:cs="Arial" w:eastAsia="Arial" w:hAnsi="Arial"/>
          <w:sz w:val="13"/>
          <w:szCs w:val="13"/>
          <w:color w:val="008000"/>
        </w:rPr>
      </w:pPr>
    </w:p>
    <w:p>
      <w:pPr>
        <w:ind w:left="200" w:hanging="181"/>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rFonts w:ascii="Arial" w:cs="Arial" w:eastAsia="Arial" w:hAnsi="Arial"/>
          <w:sz w:val="13"/>
          <w:szCs w:val="13"/>
          <w:color w:val="008000"/>
        </w:rPr>
      </w:pPr>
    </w:p>
    <w:p>
      <w:pPr>
        <w:ind w:left="200" w:hanging="181"/>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Rule 10b5-1 trading plans adopted on December 6, 2020.</w:t>
      </w:r>
    </w:p>
    <w:p>
      <w:pPr>
        <w:spacing w:after="0" w:line="40" w:lineRule="exact"/>
        <w:rPr>
          <w:rFonts w:ascii="Arial" w:cs="Arial" w:eastAsia="Arial" w:hAnsi="Arial"/>
          <w:sz w:val="13"/>
          <w:szCs w:val="13"/>
          <w:color w:val="008000"/>
        </w:rPr>
      </w:pPr>
    </w:p>
    <w:p>
      <w:pPr>
        <w:ind w:left="20" w:right="34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$58.00 to $58.36. The Reporting Persons will provide upon request to the Securities and Exchange Commission, the Company or security holder of the Company, full information regarding the number of shares sold at each separate price.</w:t>
      </w:r>
    </w:p>
    <w:p>
      <w:pPr>
        <w:spacing w:after="0" w:line="28" w:lineRule="exact"/>
        <w:rPr>
          <w:rFonts w:ascii="Arial" w:cs="Arial" w:eastAsia="Arial" w:hAnsi="Arial"/>
          <w:sz w:val="13"/>
          <w:szCs w:val="13"/>
          <w:color w:val="008000"/>
        </w:rPr>
      </w:pPr>
    </w:p>
    <w:p>
      <w:pPr>
        <w:ind w:left="20" w:right="24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Units of Opco represent limited liability company units of Opco and a corresponding number of shares of Class B Common Stock of the Issuer, which together are exchangeable at the option of the holder on a one-for-one basis for shares of Class A Common Stock of the Issuer, subject to customary conversion rate adjustments for stock splits, stock dividends, and reclassifications, pursuant to the amended and restated limited liability company agreement of Opco and have no expiration date. The shares of Class B Common Stock (i) confer no incidents of economic ownership on the holders thereof and (ii) only confer ten-to-one voting rights on the holders thereof.</w:t>
      </w:r>
    </w:p>
    <w:p>
      <w:pPr>
        <w:spacing w:after="0" w:line="29" w:lineRule="exact"/>
        <w:rPr>
          <w:rFonts w:ascii="Arial" w:cs="Arial" w:eastAsia="Arial" w:hAnsi="Arial"/>
          <w:sz w:val="13"/>
          <w:szCs w:val="13"/>
          <w:color w:val="008000"/>
        </w:rPr>
      </w:pPr>
    </w:p>
    <w:p>
      <w:pPr>
        <w:ind w:left="20" w:right="140" w:hanging="1"/>
        <w:spacing w:after="0" w:line="230"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Class C Common Stock is convertible at the option of the holder on a one-for-one basis for shares of Class A Common Stock of the Issuer and has no expiration date. Upon any transfer of shares of Class C Common Stock, whether or not for value, each such transferred share will automatically convert into one share of Class A Common Stock, except for certain transfers described in the Issuer's amended and restated certificate of incorporation. The shares of Class C Common Stock will convert automatically into Class A Common Stock, on a one-for-one basis, when the aggregate number of outstanding shares of the Company's Class B Common Stock and Class C Common Stock represents less than 5% of the aggregate number of the Company's outstanding shares of Common Stock. The shares of Class C Common Stock have ten votes per share.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2"/>
              </w:rPr>
              <w:t>/s/ Jason Mironov</w:t>
            </w:r>
          </w:p>
        </w:tc>
        <w:tc>
          <w:tcPr>
            <w:tcW w:w="1020" w:type="dxa"/>
            <w:vAlign w:val="bottom"/>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2"/>
              </w:rPr>
              <w:t>02/17/2021</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39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0831"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2021-02-17T17:41:31Z</dcterms:created>
  <dcterms:modified xsi:type="dcterms:W3CDTF">2021-02-17T17:41:31Z</dcterms:modified>
</cp:coreProperties>
</file>