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color w:val="auto"/>
        </w:rPr>
        <w:t>Simpson Thacher &amp; Bartlett LLP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425 LEXINGTON AVENUE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NEW YORK, NY 10017-3954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3133725</wp:posOffset>
            </wp:positionH>
            <wp:positionV relativeFrom="paragraph">
              <wp:posOffset>76835</wp:posOffset>
            </wp:positionV>
            <wp:extent cx="7112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TELEPHONE: +1-212-455-2000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FACSIMILE: +1-212-455-2502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5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 Dial Number</w:t>
            </w:r>
          </w:p>
        </w:tc>
        <w:tc>
          <w:tcPr>
            <w:tcW w:w="5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E-mail Address</w:t>
            </w:r>
          </w:p>
        </w:tc>
      </w:tr>
      <w:tr>
        <w:trPr>
          <w:trHeight w:val="174"/>
        </w:trPr>
        <w:tc>
          <w:tcPr>
            <w:tcW w:w="5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+1-212-455-2812</w:t>
            </w:r>
          </w:p>
        </w:tc>
        <w:tc>
          <w:tcPr>
            <w:tcW w:w="5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rfenyes@stblaw.com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VIA EDGAR</w:t>
            </w:r>
          </w:p>
        </w:tc>
        <w:tc>
          <w:tcPr>
            <w:tcW w:w="67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30, 2020</w:t>
            </w: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2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Re:</w:t>
            </w:r>
          </w:p>
        </w:tc>
        <w:tc>
          <w:tcPr>
            <w:tcW w:w="6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Acceleration Request for ZoomInfo Technologies Inc. Registration Statement</w:t>
            </w: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20" w:type="dxa"/>
            <w:vAlign w:val="bottom"/>
            <w:gridSpan w:val="2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on Form S-1 (File No. 333-251009)</w:t>
            </w: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39"/>
        </w:trPr>
        <w:tc>
          <w:tcPr>
            <w:tcW w:w="4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Division of Corporation Finance</w:t>
            </w:r>
          </w:p>
        </w:tc>
        <w:tc>
          <w:tcPr>
            <w:tcW w:w="3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4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Office of Technology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4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Securities and Exchange Commission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4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100 F Street, N.E.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4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Washington, D.C. 20549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4"/>
        </w:trPr>
        <w:tc>
          <w:tcPr>
            <w:tcW w:w="4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c/o Edwin Kim, Attorney-Advisor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73"/>
        </w:trPr>
        <w:tc>
          <w:tcPr>
            <w:tcW w:w="4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Ladies and Gentlemen: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Rule 461 under the Securities Act of 1933, as amended, we attach the requests of our client, ZoomInfo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Technologies Inc., and of the underwriters that effectiveness of the above-referenced Registration Statement be accelerated to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4:00 p.m., New York, NY time, on December 1, 2020, or as soon as practicable thereafter. 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We ask, however, that the Securities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and Exchange Commission staff not accelerate such effectiveness until we speak with you on that date.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Please call me at (212) 455-2812 with any questions.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6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6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/s/ Richard A. Fenyes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6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Richard A. Fenyes</w:t>
      </w:r>
    </w:p>
    <w:sectPr>
      <w:pgSz w:w="11900" w:h="16838" w:orient="portrait"/>
      <w:cols w:equalWidth="0" w:num="1">
        <w:col w:w="11160"/>
      </w:cols>
      <w:pgMar w:left="320" w:top="277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2020-12-30T23:06:31Z</dcterms:created>
  <dcterms:modified xsi:type="dcterms:W3CDTF">2020-12-30T23:06:31Z</dcterms:modified>
</cp:coreProperties>
</file>