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CG Subsidiary Holdings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00"/>
        <w:spacing w:after="0" w:line="395" w:lineRule="auto"/>
        <w:rPr>
          <w:sz w:val="20"/>
          <w:szCs w:val="20"/>
          <w:color w:val="auto"/>
        </w:rPr>
      </w:pPr>
      <w:r>
        <w:rPr>
          <w:rFonts w:ascii="Arial" w:cs="Arial" w:eastAsia="Arial" w:hAnsi="Arial"/>
          <w:sz w:val="16"/>
          <w:szCs w:val="16"/>
          <w:color w:val="0000FF"/>
        </w:rPr>
        <w:t>C/O THE CARLYLE GROUP, 1001 PENNSYLVANIA AVE. NW, SUITE 220 SOUTH</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WASHINGTON DC</w:t>
            </w:r>
          </w:p>
        </w:tc>
        <w:tc>
          <w:tcPr>
            <w:tcW w:w="1600" w:type="dxa"/>
            <w:vAlign w:val="bottom"/>
          </w:tcPr>
          <w:p>
            <w:pPr>
              <w:ind w:left="400"/>
              <w:spacing w:after="0"/>
              <w:rPr>
                <w:sz w:val="20"/>
                <w:szCs w:val="20"/>
                <w:color w:val="auto"/>
              </w:rPr>
            </w:pPr>
            <w:r>
              <w:rPr>
                <w:rFonts w:ascii="Arial" w:cs="Arial" w:eastAsia="Arial" w:hAnsi="Arial"/>
                <w:sz w:val="17"/>
                <w:szCs w:val="17"/>
                <w:color w:val="0000FF"/>
              </w:rPr>
              <w:t>20004-2505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ZoomInfo Technologies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ZI</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00" w:type="dxa"/>
            <w:vAlign w:val="bottom"/>
            <w:tcBorders>
              <w:bottom w:val="single" w:sz="8" w:color="0000EE"/>
            </w:tcBorders>
          </w:tcPr>
          <w:p>
            <w:pPr>
              <w:spacing w:after="0"/>
              <w:rPr>
                <w:sz w:val="3"/>
                <w:szCs w:val="3"/>
                <w:color w:val="auto"/>
              </w:rPr>
            </w:pPr>
          </w:p>
        </w:tc>
        <w:tc>
          <w:tcPr>
            <w:tcW w:w="1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300" w:type="dxa"/>
            <w:vAlign w:val="bottom"/>
            <w:tcBorders>
              <w:bottom w:val="single" w:sz="8" w:color="2C2C2C"/>
            </w:tcBorders>
          </w:tcPr>
          <w:p>
            <w:pPr>
              <w:spacing w:after="0"/>
              <w:rPr>
                <w:sz w:val="12"/>
                <w:szCs w:val="12"/>
                <w:color w:val="auto"/>
              </w:rPr>
            </w:pPr>
          </w:p>
        </w:tc>
        <w:tc>
          <w:tcPr>
            <w:tcW w:w="13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continue"/>
          </w:tcPr>
          <w:p>
            <w:pPr>
              <w:spacing w:after="0"/>
              <w:rPr>
                <w:sz w:val="3"/>
                <w:szCs w:val="3"/>
                <w:color w:val="auto"/>
              </w:rPr>
            </w:pPr>
          </w:p>
        </w:tc>
        <w:tc>
          <w:tcPr>
            <w:tcW w:w="16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500" w:type="dxa"/>
            <w:vAlign w:val="bottom"/>
            <w:gridSpan w:val="3"/>
          </w:tcPr>
          <w:p>
            <w:pPr>
              <w:ind w:left="80"/>
              <w:spacing w:after="0"/>
              <w:rPr>
                <w:sz w:val="20"/>
                <w:szCs w:val="20"/>
                <w:color w:val="auto"/>
              </w:rPr>
            </w:pPr>
            <w:r>
              <w:rPr>
                <w:rFonts w:ascii="Arial" w:cs="Arial" w:eastAsia="Arial" w:hAnsi="Arial"/>
                <w:sz w:val="17"/>
                <w:szCs w:val="17"/>
                <w:color w:val="0000FF"/>
              </w:rPr>
              <w:t>11/03/2021</w:t>
            </w: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0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4"/>
          <w:szCs w:val="24"/>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1" w:lineRule="exact"/>
        <w:rPr>
          <w:sz w:val="24"/>
          <w:szCs w:val="24"/>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gridSpan w:val="2"/>
          </w:tcPr>
          <w:p>
            <w:pPr>
              <w:ind w:left="2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22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2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72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gridSpan w:val="2"/>
          </w:tcPr>
          <w:p>
            <w:pPr>
              <w:jc w:val="center"/>
              <w:ind w:right="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6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0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96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4"/>
                <w:szCs w:val="14"/>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96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ind w:left="40"/>
              <w:spacing w:after="0" w:line="84"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8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380" w:type="dxa"/>
            <w:vAlign w:val="bottom"/>
            <w:vMerge w:val="continue"/>
          </w:tcPr>
          <w:p>
            <w:pPr>
              <w:spacing w:after="0"/>
              <w:rPr>
                <w:sz w:val="10"/>
                <w:szCs w:val="10"/>
                <w:color w:val="auto"/>
              </w:rPr>
            </w:pPr>
          </w:p>
        </w:tc>
        <w:tc>
          <w:tcPr>
            <w:tcW w:w="104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gridSpan w:val="2"/>
          </w:tcPr>
          <w:p>
            <w:pPr>
              <w:ind w:left="40"/>
              <w:spacing w:after="0" w:line="12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3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1040" w:type="dxa"/>
            <w:vAlign w:val="bottom"/>
            <w:gridSpan w:val="3"/>
            <w:vMerge w:val="continue"/>
          </w:tcPr>
          <w:p>
            <w:pPr>
              <w:spacing w:after="0"/>
              <w:rPr>
                <w:sz w:val="6"/>
                <w:szCs w:val="6"/>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00" w:type="dxa"/>
            <w:vAlign w:val="bottom"/>
            <w:gridSpan w:val="2"/>
            <w:vMerge w:val="restart"/>
          </w:tcPr>
          <w:p>
            <w:pPr>
              <w:jc w:val="center"/>
              <w:ind w:right="7"/>
              <w:spacing w:after="0"/>
              <w:rPr>
                <w:sz w:val="20"/>
                <w:szCs w:val="20"/>
                <w:color w:val="auto"/>
              </w:rPr>
            </w:pPr>
            <w:r>
              <w:rPr>
                <w:rFonts w:ascii="Arial" w:cs="Arial" w:eastAsia="Arial" w:hAnsi="Arial"/>
                <w:sz w:val="17"/>
                <w:szCs w:val="17"/>
                <w:color w:val="0000FF"/>
                <w:w w:val="91"/>
              </w:rPr>
              <w:t>11/03/2021</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Pr>
          <w:p>
            <w:pPr>
              <w:spacing w:after="0"/>
              <w:rPr>
                <w:sz w:val="22"/>
                <w:szCs w:val="22"/>
                <w:color w:val="auto"/>
              </w:rPr>
            </w:pPr>
          </w:p>
        </w:tc>
        <w:tc>
          <w:tcPr>
            <w:tcW w:w="820" w:type="dxa"/>
            <w:vAlign w:val="bottom"/>
            <w:vMerge w:val="restart"/>
          </w:tcPr>
          <w:p>
            <w:pPr>
              <w:jc w:val="center"/>
              <w:spacing w:after="0"/>
              <w:rPr>
                <w:sz w:val="20"/>
                <w:szCs w:val="20"/>
                <w:color w:val="auto"/>
              </w:rPr>
            </w:pPr>
            <w:r>
              <w:rPr>
                <w:rFonts w:ascii="Arial" w:cs="Arial" w:eastAsia="Arial" w:hAnsi="Arial"/>
                <w:sz w:val="17"/>
                <w:szCs w:val="17"/>
                <w:color w:val="0000FF"/>
                <w:w w:val="92"/>
              </w:rPr>
              <w:t>50,666</w:t>
            </w:r>
          </w:p>
        </w:tc>
        <w:tc>
          <w:tcPr>
            <w:tcW w:w="38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960" w:type="dxa"/>
            <w:vAlign w:val="bottom"/>
            <w:vMerge w:val="restart"/>
          </w:tcPr>
          <w:p>
            <w:pPr>
              <w:jc w:val="center"/>
              <w:ind w:left="31"/>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67.6883</w:t>
            </w:r>
            <w:r>
              <w:rPr>
                <w:rFonts w:ascii="Arial" w:cs="Arial" w:eastAsia="Arial" w:hAnsi="Arial"/>
                <w:sz w:val="22"/>
                <w:szCs w:val="22"/>
                <w:color w:val="008000"/>
                <w:w w:val="87"/>
                <w:vertAlign w:val="superscript"/>
              </w:rPr>
              <w:t>(2)</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7"/>
                <w:szCs w:val="17"/>
                <w:color w:val="0000FF"/>
              </w:rPr>
              <w:t>54,685,982</w:t>
            </w:r>
          </w:p>
        </w:tc>
        <w:tc>
          <w:tcPr>
            <w:tcW w:w="34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20"/>
                <w:szCs w:val="20"/>
                <w:color w:val="auto"/>
              </w:rPr>
            </w:pPr>
            <w:r>
              <w:rPr>
                <w:rFonts w:ascii="Arial" w:cs="Arial" w:eastAsia="Arial" w:hAnsi="Arial"/>
                <w:sz w:val="17"/>
                <w:szCs w:val="17"/>
                <w:color w:val="0000FF"/>
                <w:w w:val="99"/>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60" w:type="dxa"/>
            <w:vAlign w:val="bottom"/>
            <w:gridSpan w:val="4"/>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00" w:type="dxa"/>
            <w:vAlign w:val="bottom"/>
            <w:tcBorders>
              <w:top w:val="single" w:sz="8" w:color="2C2C2C"/>
            </w:tcBorders>
            <w:gridSpan w:val="2"/>
            <w:vMerge w:val="restart"/>
          </w:tcPr>
          <w:p>
            <w:pPr>
              <w:jc w:val="center"/>
              <w:ind w:right="7"/>
              <w:spacing w:after="0"/>
              <w:rPr>
                <w:sz w:val="20"/>
                <w:szCs w:val="20"/>
                <w:color w:val="auto"/>
              </w:rPr>
            </w:pPr>
            <w:r>
              <w:rPr>
                <w:rFonts w:ascii="Arial" w:cs="Arial" w:eastAsia="Arial" w:hAnsi="Arial"/>
                <w:sz w:val="17"/>
                <w:szCs w:val="17"/>
                <w:color w:val="0000FF"/>
                <w:w w:val="91"/>
              </w:rPr>
              <w:t>11/03/2021</w:t>
            </w:r>
          </w:p>
        </w:tc>
        <w:tc>
          <w:tcPr>
            <w:tcW w:w="5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107,936</w:t>
            </w: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60" w:type="dxa"/>
            <w:vAlign w:val="bottom"/>
            <w:tcBorders>
              <w:top w:val="single" w:sz="8" w:color="2C2C2C"/>
            </w:tcBorders>
            <w:vMerge w:val="restart"/>
          </w:tcPr>
          <w:p>
            <w:pPr>
              <w:jc w:val="center"/>
              <w:ind w:left="31"/>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68.8168</w:t>
            </w:r>
            <w:r>
              <w:rPr>
                <w:rFonts w:ascii="Arial" w:cs="Arial" w:eastAsia="Arial" w:hAnsi="Arial"/>
                <w:sz w:val="22"/>
                <w:szCs w:val="22"/>
                <w:color w:val="008000"/>
                <w:w w:val="87"/>
                <w:vertAlign w:val="superscript"/>
              </w:rPr>
              <w:t>(5)</w:t>
            </w:r>
          </w:p>
        </w:tc>
        <w:tc>
          <w:tcPr>
            <w:tcW w:w="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ind w:left="140"/>
              <w:spacing w:after="0"/>
              <w:rPr>
                <w:sz w:val="20"/>
                <w:szCs w:val="20"/>
                <w:color w:val="auto"/>
              </w:rPr>
            </w:pPr>
            <w:r>
              <w:rPr>
                <w:rFonts w:ascii="Arial" w:cs="Arial" w:eastAsia="Arial" w:hAnsi="Arial"/>
                <w:sz w:val="17"/>
                <w:szCs w:val="17"/>
                <w:color w:val="0000FF"/>
              </w:rPr>
              <w:t>54,578,046</w:t>
            </w:r>
          </w:p>
        </w:tc>
        <w:tc>
          <w:tcPr>
            <w:tcW w:w="34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60" w:type="dxa"/>
            <w:vAlign w:val="bottom"/>
            <w:gridSpan w:val="4"/>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00" w:type="dxa"/>
            <w:vAlign w:val="bottom"/>
            <w:tcBorders>
              <w:top w:val="single" w:sz="8" w:color="2C2C2C"/>
            </w:tcBorders>
            <w:gridSpan w:val="2"/>
            <w:vMerge w:val="restart"/>
          </w:tcPr>
          <w:p>
            <w:pPr>
              <w:jc w:val="center"/>
              <w:ind w:right="7"/>
              <w:spacing w:after="0"/>
              <w:rPr>
                <w:sz w:val="20"/>
                <w:szCs w:val="20"/>
                <w:color w:val="auto"/>
              </w:rPr>
            </w:pPr>
            <w:r>
              <w:rPr>
                <w:rFonts w:ascii="Arial" w:cs="Arial" w:eastAsia="Arial" w:hAnsi="Arial"/>
                <w:sz w:val="17"/>
                <w:szCs w:val="17"/>
                <w:color w:val="0000FF"/>
                <w:w w:val="91"/>
              </w:rPr>
              <w:t>11/03/2021</w:t>
            </w:r>
          </w:p>
        </w:tc>
        <w:tc>
          <w:tcPr>
            <w:tcW w:w="5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260,371</w:t>
            </w: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60" w:type="dxa"/>
            <w:vAlign w:val="bottom"/>
            <w:tcBorders>
              <w:top w:val="single" w:sz="8" w:color="2C2C2C"/>
            </w:tcBorders>
            <w:vMerge w:val="restart"/>
          </w:tcPr>
          <w:p>
            <w:pPr>
              <w:jc w:val="center"/>
              <w:ind w:left="31"/>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69.5941</w:t>
            </w:r>
            <w:r>
              <w:rPr>
                <w:rFonts w:ascii="Arial" w:cs="Arial" w:eastAsia="Arial" w:hAnsi="Arial"/>
                <w:sz w:val="22"/>
                <w:szCs w:val="22"/>
                <w:color w:val="008000"/>
                <w:w w:val="87"/>
                <w:vertAlign w:val="superscript"/>
              </w:rPr>
              <w:t>(6)</w:t>
            </w:r>
          </w:p>
        </w:tc>
        <w:tc>
          <w:tcPr>
            <w:tcW w:w="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ind w:left="140"/>
              <w:spacing w:after="0"/>
              <w:rPr>
                <w:sz w:val="20"/>
                <w:szCs w:val="20"/>
                <w:color w:val="auto"/>
              </w:rPr>
            </w:pPr>
            <w:r>
              <w:rPr>
                <w:rFonts w:ascii="Arial" w:cs="Arial" w:eastAsia="Arial" w:hAnsi="Arial"/>
                <w:sz w:val="17"/>
                <w:szCs w:val="17"/>
                <w:color w:val="0000FF"/>
              </w:rPr>
              <w:t>54,317,675</w:t>
            </w:r>
          </w:p>
        </w:tc>
        <w:tc>
          <w:tcPr>
            <w:tcW w:w="34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60" w:type="dxa"/>
            <w:vAlign w:val="bottom"/>
            <w:gridSpan w:val="4"/>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00" w:type="dxa"/>
            <w:vAlign w:val="bottom"/>
            <w:tcBorders>
              <w:top w:val="single" w:sz="8" w:color="2C2C2C"/>
            </w:tcBorders>
            <w:gridSpan w:val="2"/>
            <w:vMerge w:val="restart"/>
          </w:tcPr>
          <w:p>
            <w:pPr>
              <w:jc w:val="center"/>
              <w:ind w:right="7"/>
              <w:spacing w:after="0"/>
              <w:rPr>
                <w:sz w:val="20"/>
                <w:szCs w:val="20"/>
                <w:color w:val="auto"/>
              </w:rPr>
            </w:pPr>
            <w:r>
              <w:rPr>
                <w:rFonts w:ascii="Arial" w:cs="Arial" w:eastAsia="Arial" w:hAnsi="Arial"/>
                <w:sz w:val="17"/>
                <w:szCs w:val="17"/>
                <w:color w:val="0000FF"/>
                <w:w w:val="91"/>
              </w:rPr>
              <w:t>11/04/2021</w:t>
            </w:r>
          </w:p>
        </w:tc>
        <w:tc>
          <w:tcPr>
            <w:tcW w:w="5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51,997</w:t>
            </w: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60" w:type="dxa"/>
            <w:vAlign w:val="bottom"/>
            <w:tcBorders>
              <w:top w:val="single" w:sz="8" w:color="2C2C2C"/>
            </w:tcBorders>
            <w:vMerge w:val="restart"/>
          </w:tcPr>
          <w:p>
            <w:pPr>
              <w:jc w:val="center"/>
              <w:ind w:left="31"/>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70.1735</w:t>
            </w:r>
            <w:r>
              <w:rPr>
                <w:rFonts w:ascii="Arial" w:cs="Arial" w:eastAsia="Arial" w:hAnsi="Arial"/>
                <w:sz w:val="22"/>
                <w:szCs w:val="22"/>
                <w:color w:val="008000"/>
                <w:w w:val="87"/>
                <w:vertAlign w:val="superscript"/>
              </w:rPr>
              <w:t>(7)</w:t>
            </w:r>
          </w:p>
        </w:tc>
        <w:tc>
          <w:tcPr>
            <w:tcW w:w="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ind w:left="140"/>
              <w:spacing w:after="0"/>
              <w:rPr>
                <w:sz w:val="20"/>
                <w:szCs w:val="20"/>
                <w:color w:val="auto"/>
              </w:rPr>
            </w:pPr>
            <w:r>
              <w:rPr>
                <w:rFonts w:ascii="Arial" w:cs="Arial" w:eastAsia="Arial" w:hAnsi="Arial"/>
                <w:sz w:val="17"/>
                <w:szCs w:val="17"/>
                <w:color w:val="0000FF"/>
              </w:rPr>
              <w:t>54,265,678</w:t>
            </w:r>
          </w:p>
        </w:tc>
        <w:tc>
          <w:tcPr>
            <w:tcW w:w="34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60" w:type="dxa"/>
            <w:vAlign w:val="bottom"/>
            <w:gridSpan w:val="4"/>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00" w:type="dxa"/>
            <w:vAlign w:val="bottom"/>
            <w:tcBorders>
              <w:top w:val="single" w:sz="8" w:color="2C2C2C"/>
            </w:tcBorders>
            <w:gridSpan w:val="2"/>
            <w:vMerge w:val="restart"/>
          </w:tcPr>
          <w:p>
            <w:pPr>
              <w:jc w:val="center"/>
              <w:ind w:right="7"/>
              <w:spacing w:after="0"/>
              <w:rPr>
                <w:sz w:val="20"/>
                <w:szCs w:val="20"/>
                <w:color w:val="auto"/>
              </w:rPr>
            </w:pPr>
            <w:r>
              <w:rPr>
                <w:rFonts w:ascii="Arial" w:cs="Arial" w:eastAsia="Arial" w:hAnsi="Arial"/>
                <w:sz w:val="17"/>
                <w:szCs w:val="17"/>
                <w:color w:val="0000FF"/>
                <w:w w:val="91"/>
              </w:rPr>
              <w:t>11/04/2021</w:t>
            </w:r>
          </w:p>
        </w:tc>
        <w:tc>
          <w:tcPr>
            <w:tcW w:w="5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283,505</w:t>
            </w: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60" w:type="dxa"/>
            <w:vAlign w:val="bottom"/>
            <w:tcBorders>
              <w:top w:val="single" w:sz="8" w:color="2C2C2C"/>
            </w:tcBorders>
            <w:vMerge w:val="restart"/>
          </w:tcPr>
          <w:p>
            <w:pPr>
              <w:jc w:val="center"/>
              <w:ind w:left="31"/>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71.1792</w:t>
            </w:r>
            <w:r>
              <w:rPr>
                <w:rFonts w:ascii="Arial" w:cs="Arial" w:eastAsia="Arial" w:hAnsi="Arial"/>
                <w:sz w:val="22"/>
                <w:szCs w:val="22"/>
                <w:color w:val="008000"/>
                <w:w w:val="87"/>
                <w:vertAlign w:val="superscript"/>
              </w:rPr>
              <w:t>(8)</w:t>
            </w:r>
          </w:p>
        </w:tc>
        <w:tc>
          <w:tcPr>
            <w:tcW w:w="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ind w:left="140"/>
              <w:spacing w:after="0"/>
              <w:rPr>
                <w:sz w:val="20"/>
                <w:szCs w:val="20"/>
                <w:color w:val="auto"/>
              </w:rPr>
            </w:pPr>
            <w:r>
              <w:rPr>
                <w:rFonts w:ascii="Arial" w:cs="Arial" w:eastAsia="Arial" w:hAnsi="Arial"/>
                <w:sz w:val="17"/>
                <w:szCs w:val="17"/>
                <w:color w:val="0000FF"/>
              </w:rPr>
              <w:t>53,982,173</w:t>
            </w:r>
          </w:p>
        </w:tc>
        <w:tc>
          <w:tcPr>
            <w:tcW w:w="34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60" w:type="dxa"/>
            <w:vAlign w:val="bottom"/>
            <w:gridSpan w:val="4"/>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00" w:type="dxa"/>
            <w:vAlign w:val="bottom"/>
            <w:tcBorders>
              <w:top w:val="single" w:sz="8" w:color="2C2C2C"/>
            </w:tcBorders>
            <w:gridSpan w:val="2"/>
            <w:vMerge w:val="restart"/>
          </w:tcPr>
          <w:p>
            <w:pPr>
              <w:jc w:val="center"/>
              <w:ind w:right="7"/>
              <w:spacing w:after="0"/>
              <w:rPr>
                <w:sz w:val="20"/>
                <w:szCs w:val="20"/>
                <w:color w:val="auto"/>
              </w:rPr>
            </w:pPr>
            <w:r>
              <w:rPr>
                <w:rFonts w:ascii="Arial" w:cs="Arial" w:eastAsia="Arial" w:hAnsi="Arial"/>
                <w:sz w:val="17"/>
                <w:szCs w:val="17"/>
                <w:color w:val="0000FF"/>
                <w:w w:val="91"/>
              </w:rPr>
              <w:t>11/04/2021</w:t>
            </w:r>
          </w:p>
        </w:tc>
        <w:tc>
          <w:tcPr>
            <w:tcW w:w="5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311,256</w:t>
            </w: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60" w:type="dxa"/>
            <w:vAlign w:val="bottom"/>
            <w:tcBorders>
              <w:top w:val="single" w:sz="8" w:color="2C2C2C"/>
            </w:tcBorders>
            <w:vMerge w:val="restart"/>
          </w:tcPr>
          <w:p>
            <w:pPr>
              <w:jc w:val="center"/>
              <w:ind w:left="31"/>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71.9423</w:t>
            </w:r>
            <w:r>
              <w:rPr>
                <w:rFonts w:ascii="Arial" w:cs="Arial" w:eastAsia="Arial" w:hAnsi="Arial"/>
                <w:sz w:val="22"/>
                <w:szCs w:val="22"/>
                <w:color w:val="008000"/>
                <w:w w:val="87"/>
                <w:vertAlign w:val="superscript"/>
              </w:rPr>
              <w:t>(9)</w:t>
            </w:r>
          </w:p>
        </w:tc>
        <w:tc>
          <w:tcPr>
            <w:tcW w:w="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ind w:left="140"/>
              <w:spacing w:after="0"/>
              <w:rPr>
                <w:sz w:val="20"/>
                <w:szCs w:val="20"/>
                <w:color w:val="auto"/>
              </w:rPr>
            </w:pPr>
            <w:r>
              <w:rPr>
                <w:rFonts w:ascii="Arial" w:cs="Arial" w:eastAsia="Arial" w:hAnsi="Arial"/>
                <w:sz w:val="17"/>
                <w:szCs w:val="17"/>
                <w:color w:val="0000FF"/>
              </w:rPr>
              <w:t>53,670,917</w:t>
            </w:r>
          </w:p>
        </w:tc>
        <w:tc>
          <w:tcPr>
            <w:tcW w:w="34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60" w:type="dxa"/>
            <w:vAlign w:val="bottom"/>
            <w:gridSpan w:val="4"/>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00" w:type="dxa"/>
            <w:vAlign w:val="bottom"/>
            <w:tcBorders>
              <w:top w:val="single" w:sz="8" w:color="2C2C2C"/>
            </w:tcBorders>
            <w:gridSpan w:val="2"/>
            <w:vMerge w:val="restart"/>
          </w:tcPr>
          <w:p>
            <w:pPr>
              <w:jc w:val="center"/>
              <w:ind w:right="7"/>
              <w:spacing w:after="0"/>
              <w:rPr>
                <w:sz w:val="20"/>
                <w:szCs w:val="20"/>
                <w:color w:val="auto"/>
              </w:rPr>
            </w:pPr>
            <w:r>
              <w:rPr>
                <w:rFonts w:ascii="Arial" w:cs="Arial" w:eastAsia="Arial" w:hAnsi="Arial"/>
                <w:sz w:val="17"/>
                <w:szCs w:val="17"/>
                <w:color w:val="0000FF"/>
                <w:w w:val="91"/>
              </w:rPr>
              <w:t>11/04/2021</w:t>
            </w:r>
          </w:p>
        </w:tc>
        <w:tc>
          <w:tcPr>
            <w:tcW w:w="5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35,453</w:t>
            </w: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60" w:type="dxa"/>
            <w:vAlign w:val="bottom"/>
            <w:tcBorders>
              <w:top w:val="single" w:sz="8" w:color="2C2C2C"/>
            </w:tcBorders>
            <w:vMerge w:val="restart"/>
          </w:tcPr>
          <w:p>
            <w:pPr>
              <w:jc w:val="center"/>
              <w:ind w:left="31"/>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72.7878</w:t>
            </w:r>
            <w:r>
              <w:rPr>
                <w:rFonts w:ascii="Arial" w:cs="Arial" w:eastAsia="Arial" w:hAnsi="Arial"/>
                <w:sz w:val="22"/>
                <w:szCs w:val="22"/>
                <w:color w:val="008000"/>
                <w:w w:val="88"/>
                <w:vertAlign w:val="superscript"/>
              </w:rPr>
              <w:t>(10)</w:t>
            </w:r>
          </w:p>
        </w:tc>
        <w:tc>
          <w:tcPr>
            <w:tcW w:w="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ind w:left="140"/>
              <w:spacing w:after="0"/>
              <w:rPr>
                <w:sz w:val="20"/>
                <w:szCs w:val="20"/>
                <w:color w:val="auto"/>
              </w:rPr>
            </w:pPr>
            <w:r>
              <w:rPr>
                <w:rFonts w:ascii="Arial" w:cs="Arial" w:eastAsia="Arial" w:hAnsi="Arial"/>
                <w:sz w:val="17"/>
                <w:szCs w:val="17"/>
                <w:color w:val="0000FF"/>
              </w:rPr>
              <w:t>53,635,464</w:t>
            </w:r>
          </w:p>
        </w:tc>
        <w:tc>
          <w:tcPr>
            <w:tcW w:w="34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60" w:type="dxa"/>
            <w:vAlign w:val="bottom"/>
            <w:gridSpan w:val="4"/>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(3)(4)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18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580" w:type="dxa"/>
            <w:vAlign w:val="bottom"/>
            <w:gridSpan w:val="17"/>
          </w:tcPr>
          <w:p>
            <w:pPr>
              <w:jc w:val="center"/>
              <w:ind w:left="431"/>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100" w:type="dxa"/>
            <w:vAlign w:val="bottom"/>
            <w:gridSpan w:val="13"/>
          </w:tcPr>
          <w:p>
            <w:pPr>
              <w:jc w:val="center"/>
              <w:ind w:left="24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jc w:val="center"/>
              <w:ind w:right="47"/>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6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3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Owned</w:t>
            </w:r>
          </w:p>
        </w:tc>
        <w:tc>
          <w:tcPr>
            <w:tcW w:w="34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 w:type="dxa"/>
            <w:vAlign w:val="bottom"/>
            <w:gridSpan w:val="2"/>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gridSpan w:val="3"/>
          </w:tcPr>
          <w:p>
            <w:pPr>
              <w:ind w:left="4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gridSpan w:val="3"/>
          </w:tcPr>
          <w:p>
            <w:pPr>
              <w:ind w:left="44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gridSpan w:val="3"/>
          </w:tcPr>
          <w:p>
            <w:pPr>
              <w:ind w:left="44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Expiration</w:t>
            </w:r>
          </w:p>
        </w:tc>
        <w:tc>
          <w:tcPr>
            <w:tcW w:w="1040" w:type="dxa"/>
            <w:vAlign w:val="bottom"/>
            <w:gridSpan w:val="3"/>
          </w:tcPr>
          <w:p>
            <w:pPr>
              <w:ind w:left="44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2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160"/>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380" w:type="dxa"/>
            <w:vAlign w:val="bottom"/>
          </w:tcPr>
          <w:p>
            <w:pPr>
              <w:spacing w:after="0"/>
              <w:rPr>
                <w:sz w:val="13"/>
                <w:szCs w:val="13"/>
                <w:color w:val="auto"/>
              </w:rPr>
            </w:pP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0" w:type="dxa"/>
            <w:vAlign w:val="bottom"/>
            <w:tcBorders>
              <w:top w:val="single" w:sz="8" w:color="2C2C2C"/>
            </w:tcBorders>
          </w:tcPr>
          <w:p>
            <w:pPr>
              <w:spacing w:after="0"/>
              <w:rPr>
                <w:sz w:val="21"/>
                <w:szCs w:val="21"/>
                <w:color w:val="auto"/>
              </w:rPr>
            </w:pPr>
          </w:p>
        </w:tc>
        <w:tc>
          <w:tcPr>
            <w:tcW w:w="9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CG Subsidiary Holdings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60" w:type="dxa"/>
            <w:vAlign w:val="bottom"/>
          </w:tcPr>
          <w:p>
            <w:pPr>
              <w:spacing w:after="0"/>
              <w:rPr>
                <w:sz w:val="24"/>
                <w:szCs w:val="24"/>
                <w:color w:val="auto"/>
              </w:rPr>
            </w:pPr>
          </w:p>
        </w:tc>
        <w:tc>
          <w:tcPr>
            <w:tcW w:w="940" w:type="dxa"/>
            <w:vAlign w:val="bottom"/>
          </w:tcPr>
          <w:p>
            <w:pPr>
              <w:ind w:left="8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w w:val="95"/>
              </w:rPr>
              <w:t>C/O THE CARLYLE GROUP, 1001</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5"/>
          </w:tcPr>
          <w:p>
            <w:pPr>
              <w:spacing w:after="0"/>
              <w:rPr>
                <w:sz w:val="20"/>
                <w:szCs w:val="20"/>
                <w:color w:val="auto"/>
              </w:rPr>
            </w:pPr>
            <w:r>
              <w:rPr>
                <w:rFonts w:ascii="Arial" w:cs="Arial" w:eastAsia="Arial" w:hAnsi="Arial"/>
                <w:sz w:val="17"/>
                <w:szCs w:val="17"/>
                <w:color w:val="0000FF"/>
              </w:rPr>
              <w:t>PENNSYLVANIA AVE. NW, SUITE 220 SOUTH</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WASHINGTON</w:t>
            </w:r>
          </w:p>
        </w:tc>
        <w:tc>
          <w:tcPr>
            <w:tcW w:w="1180" w:type="dxa"/>
            <w:vAlign w:val="bottom"/>
          </w:tcPr>
          <w:p>
            <w:pPr>
              <w:ind w:left="20"/>
              <w:spacing w:after="0"/>
              <w:rPr>
                <w:sz w:val="20"/>
                <w:szCs w:val="20"/>
                <w:color w:val="auto"/>
              </w:rPr>
            </w:pPr>
            <w:r>
              <w:rPr>
                <w:rFonts w:ascii="Arial" w:cs="Arial" w:eastAsia="Arial" w:hAnsi="Arial"/>
                <w:sz w:val="17"/>
                <w:szCs w:val="17"/>
                <w:color w:val="0000FF"/>
              </w:rPr>
              <w:t>DC</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w w:val="92"/>
              </w:rPr>
              <w:t>20004-2505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60" w:type="dxa"/>
            <w:vAlign w:val="bottom"/>
          </w:tcPr>
          <w:p>
            <w:pPr>
              <w:spacing w:after="0"/>
              <w:rPr>
                <w:sz w:val="24"/>
                <w:szCs w:val="24"/>
                <w:color w:val="auto"/>
              </w:rPr>
            </w:pPr>
          </w:p>
        </w:tc>
        <w:tc>
          <w:tcPr>
            <w:tcW w:w="940" w:type="dxa"/>
            <w:vAlign w:val="bottom"/>
          </w:tcPr>
          <w:p>
            <w:pPr>
              <w:ind w:left="8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-3531870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p>
      <w:pPr>
        <w:ind w:left="120"/>
        <w:spacing w:after="0"/>
        <w:rPr>
          <w:rFonts w:ascii="Arial" w:cs="Arial" w:eastAsia="Arial" w:hAnsi="Arial"/>
          <w:sz w:val="20"/>
          <w:szCs w:val="20"/>
          <w:u w:val="single" w:color="auto"/>
          <w:color w:val="0000EE"/>
        </w:rPr>
      </w:pPr>
      <w:hyperlink r:id="rId15">
        <w:r>
          <w:rPr>
            <w:rFonts w:ascii="Arial" w:cs="Arial" w:eastAsia="Arial" w:hAnsi="Arial"/>
            <w:sz w:val="20"/>
            <w:szCs w:val="20"/>
            <w:u w:val="single" w:color="auto"/>
            <w:color w:val="0000EE"/>
          </w:rPr>
          <w:t>TC Group, LLC</w:t>
        </w:r>
      </w:hyperlink>
    </w:p>
    <w:p>
      <w:pPr>
        <w:sectPr>
          <w:pgSz w:w="11900" w:h="16838" w:orient="portrait"/>
          <w:cols w:equalWidth="0" w:num="1">
            <w:col w:w="11080"/>
          </w:cols>
          <w:pgMar w:left="460" w:top="225" w:right="359" w:bottom="0" w:gutter="0" w:footer="0" w:header="0"/>
          <w:type w:val="continuous"/>
        </w:sectPr>
      </w:pPr>
    </w:p>
    <w:bookmarkStart w:id="1" w:name="page2"/>
    <w:bookmarkEnd w:id="1"/>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2171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10217150"/>
                    </a:xfrm>
                    <a:prstGeom prst="rect">
                      <a:avLst/>
                    </a:prstGeom>
                    <a:noFill/>
                  </pic:spPr>
                </pic:pic>
              </a:graphicData>
            </a:graphic>
          </wp:anchor>
        </w:drawing>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THE CARLYLE GROUP, 1001</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PENNSYLVANIA AVE., N.W., SUITE 220 SOUTH</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WASHINGTON</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DC</w:t>
            </w:r>
          </w:p>
        </w:tc>
        <w:tc>
          <w:tcPr>
            <w:tcW w:w="1500" w:type="dxa"/>
            <w:vAlign w:val="bottom"/>
          </w:tcPr>
          <w:p>
            <w:pPr>
              <w:ind w:left="140"/>
              <w:spacing w:after="0"/>
              <w:rPr>
                <w:sz w:val="20"/>
                <w:szCs w:val="20"/>
                <w:color w:val="auto"/>
              </w:rPr>
            </w:pPr>
            <w:r>
              <w:rPr>
                <w:rFonts w:ascii="Arial" w:cs="Arial" w:eastAsia="Arial" w:hAnsi="Arial"/>
                <w:sz w:val="17"/>
                <w:szCs w:val="17"/>
                <w:color w:val="0000FF"/>
              </w:rPr>
              <w:t>20004-2505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gridSpan w:val="2"/>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7">
              <w:r>
                <w:rPr>
                  <w:rFonts w:ascii="Arial" w:cs="Arial" w:eastAsia="Arial" w:hAnsi="Arial"/>
                  <w:sz w:val="21"/>
                  <w:szCs w:val="21"/>
                  <w:color w:val="0000EE"/>
                </w:rPr>
                <w:t>TC Group Sub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THE CARLYLE GROUP, 1001</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PENNSYLVANIA AVE., N.W. SUITE 220 SOUTH</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WASHINGTON</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DC</w:t>
            </w:r>
          </w:p>
        </w:tc>
        <w:tc>
          <w:tcPr>
            <w:tcW w:w="1500" w:type="dxa"/>
            <w:vAlign w:val="bottom"/>
          </w:tcPr>
          <w:p>
            <w:pPr>
              <w:ind w:left="140"/>
              <w:spacing w:after="0"/>
              <w:rPr>
                <w:sz w:val="20"/>
                <w:szCs w:val="20"/>
                <w:color w:val="auto"/>
              </w:rPr>
            </w:pPr>
            <w:r>
              <w:rPr>
                <w:rFonts w:ascii="Arial" w:cs="Arial" w:eastAsia="Arial" w:hAnsi="Arial"/>
                <w:sz w:val="17"/>
                <w:szCs w:val="17"/>
                <w:color w:val="0000FF"/>
              </w:rPr>
              <w:t>20004-2505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TC Group VI S1,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THE CARLYLE GROUP, 1001</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PENNSYLVANIA AVE., N.W., SUITE 220 SOUTH</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WASHINGTON</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DC</w:t>
            </w:r>
          </w:p>
        </w:tc>
        <w:tc>
          <w:tcPr>
            <w:tcW w:w="1500" w:type="dxa"/>
            <w:vAlign w:val="bottom"/>
          </w:tcPr>
          <w:p>
            <w:pPr>
              <w:ind w:left="140"/>
              <w:spacing w:after="0"/>
              <w:rPr>
                <w:sz w:val="20"/>
                <w:szCs w:val="20"/>
                <w:color w:val="auto"/>
              </w:rPr>
            </w:pPr>
            <w:r>
              <w:rPr>
                <w:rFonts w:ascii="Arial" w:cs="Arial" w:eastAsia="Arial" w:hAnsi="Arial"/>
                <w:sz w:val="17"/>
                <w:szCs w:val="17"/>
                <w:color w:val="0000FF"/>
              </w:rPr>
              <w:t>20004-2505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gridSpan w:val="2"/>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TC Group VI S1,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THE CARLYLE GROUP, 1001</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PENNSYLVANIA AVE., N.W., SUITE 220 SOUTH</w:t>
      </w:r>
    </w:p>
    <w:p>
      <w:pPr>
        <w:spacing w:after="0" w:line="30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WASHINGTON</w:t>
            </w:r>
          </w:p>
        </w:tc>
        <w:tc>
          <w:tcPr>
            <w:tcW w:w="1020" w:type="dxa"/>
            <w:vAlign w:val="bottom"/>
          </w:tcPr>
          <w:p>
            <w:pPr>
              <w:ind w:left="120"/>
              <w:spacing w:after="0"/>
              <w:rPr>
                <w:sz w:val="20"/>
                <w:szCs w:val="20"/>
                <w:color w:val="auto"/>
              </w:rPr>
            </w:pPr>
            <w:r>
              <w:rPr>
                <w:rFonts w:ascii="Arial" w:cs="Arial" w:eastAsia="Arial" w:hAnsi="Arial"/>
                <w:sz w:val="17"/>
                <w:szCs w:val="17"/>
                <w:color w:val="0000FF"/>
              </w:rPr>
              <w:t>DC</w:t>
            </w:r>
          </w:p>
        </w:tc>
        <w:tc>
          <w:tcPr>
            <w:tcW w:w="1860" w:type="dxa"/>
            <w:vAlign w:val="bottom"/>
          </w:tcPr>
          <w:p>
            <w:pPr>
              <w:ind w:left="500"/>
              <w:spacing w:after="0"/>
              <w:rPr>
                <w:sz w:val="20"/>
                <w:szCs w:val="20"/>
                <w:color w:val="auto"/>
              </w:rPr>
            </w:pPr>
            <w:r>
              <w:rPr>
                <w:rFonts w:ascii="Arial" w:cs="Arial" w:eastAsia="Arial" w:hAnsi="Arial"/>
                <w:sz w:val="17"/>
                <w:szCs w:val="17"/>
                <w:color w:val="0000FF"/>
              </w:rPr>
              <w:t>20004-2505</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20">
        <w:r>
          <w:rPr>
            <w:rFonts w:ascii="Arial" w:cs="Arial" w:eastAsia="Arial" w:hAnsi="Arial"/>
            <w:sz w:val="21"/>
            <w:szCs w:val="21"/>
            <w:u w:val="single" w:color="auto"/>
            <w:color w:val="0000EE"/>
          </w:rPr>
          <w:t>Carlyle Partners VI Evergreen Holdings, L.P.</w:t>
        </w:r>
      </w:hyperlink>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tcPr>
          <w:p>
            <w:pPr>
              <w:ind w:left="1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Arial" w:cs="Arial" w:eastAsia="Arial" w:hAnsi="Arial"/>
                <w:sz w:val="17"/>
                <w:szCs w:val="17"/>
                <w:color w:val="0000FF"/>
              </w:rPr>
              <w:t>C/O THE CARLYLE GROUP, 1001</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4260" w:type="dxa"/>
            <w:vAlign w:val="bottom"/>
            <w:gridSpan w:val="4"/>
          </w:tcPr>
          <w:p>
            <w:pPr>
              <w:spacing w:after="0"/>
              <w:rPr>
                <w:sz w:val="20"/>
                <w:szCs w:val="20"/>
                <w:color w:val="auto"/>
              </w:rPr>
            </w:pPr>
            <w:r>
              <w:rPr>
                <w:rFonts w:ascii="Arial" w:cs="Arial" w:eastAsia="Arial" w:hAnsi="Arial"/>
                <w:sz w:val="17"/>
                <w:szCs w:val="17"/>
                <w:color w:val="0000FF"/>
              </w:rPr>
              <w:t>PENNSYLVANIA AVE., N.W., SUITE 220 SOUTH</w:t>
            </w: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WASHINGTON</w:t>
            </w:r>
          </w:p>
        </w:tc>
        <w:tc>
          <w:tcPr>
            <w:tcW w:w="1460" w:type="dxa"/>
            <w:vAlign w:val="bottom"/>
          </w:tcPr>
          <w:p>
            <w:pPr>
              <w:ind w:left="120"/>
              <w:spacing w:after="0"/>
              <w:rPr>
                <w:sz w:val="20"/>
                <w:szCs w:val="20"/>
                <w:color w:val="auto"/>
              </w:rPr>
            </w:pPr>
            <w:r>
              <w:rPr>
                <w:rFonts w:ascii="Arial" w:cs="Arial" w:eastAsia="Arial" w:hAnsi="Arial"/>
                <w:sz w:val="17"/>
                <w:szCs w:val="17"/>
                <w:color w:val="0000FF"/>
              </w:rPr>
              <w:t>DC</w:t>
            </w:r>
          </w:p>
        </w:tc>
        <w:tc>
          <w:tcPr>
            <w:tcW w:w="1420" w:type="dxa"/>
            <w:vAlign w:val="bottom"/>
          </w:tcPr>
          <w:p>
            <w:pPr>
              <w:ind w:left="60"/>
              <w:spacing w:after="0"/>
              <w:rPr>
                <w:sz w:val="20"/>
                <w:szCs w:val="20"/>
                <w:color w:val="auto"/>
              </w:rPr>
            </w:pPr>
            <w:r>
              <w:rPr>
                <w:rFonts w:ascii="Arial" w:cs="Arial" w:eastAsia="Arial" w:hAnsi="Arial"/>
                <w:sz w:val="17"/>
                <w:szCs w:val="17"/>
                <w:color w:val="0000FF"/>
              </w:rPr>
              <w:t>20004-2505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tcPr>
          <w:p>
            <w:pPr>
              <w:ind w:left="1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740" w:type="dxa"/>
            <w:vAlign w:val="bottom"/>
            <w:tcBorders>
              <w:bottom w:val="single" w:sz="8" w:color="2C2C2C"/>
            </w:tcBorders>
            <w:gridSpan w:val="2"/>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4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40" w:type="dxa"/>
            <w:vAlign w:val="bottom"/>
            <w:tcBorders>
              <w:bottom w:val="single" w:sz="8" w:color="0000EE"/>
            </w:tcBorders>
            <w:gridSpan w:val="2"/>
          </w:tcPr>
          <w:p>
            <w:pPr>
              <w:spacing w:after="0" w:line="221" w:lineRule="exact"/>
              <w:rPr>
                <w:rFonts w:ascii="Arial" w:cs="Arial" w:eastAsia="Arial" w:hAnsi="Arial"/>
                <w:sz w:val="21"/>
                <w:szCs w:val="21"/>
                <w:color w:val="0000EE"/>
                <w:w w:val="92"/>
              </w:rPr>
            </w:pPr>
            <w:hyperlink r:id="rId21">
              <w:r>
                <w:rPr>
                  <w:rFonts w:ascii="Arial" w:cs="Arial" w:eastAsia="Arial" w:hAnsi="Arial"/>
                  <w:sz w:val="21"/>
                  <w:szCs w:val="21"/>
                  <w:color w:val="0000EE"/>
                  <w:w w:val="92"/>
                </w:rPr>
                <w:t>CP VI Evergreen Holdings, L.P.</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tcPr>
          <w:p>
            <w:pPr>
              <w:ind w:left="1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Arial" w:cs="Arial" w:eastAsia="Arial" w:hAnsi="Arial"/>
                <w:sz w:val="17"/>
                <w:szCs w:val="17"/>
                <w:color w:val="0000FF"/>
              </w:rPr>
              <w:t>C/O THE CARLYLE GROUP, 1001</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4260" w:type="dxa"/>
            <w:vAlign w:val="bottom"/>
            <w:gridSpan w:val="4"/>
          </w:tcPr>
          <w:p>
            <w:pPr>
              <w:spacing w:after="0"/>
              <w:rPr>
                <w:sz w:val="20"/>
                <w:szCs w:val="20"/>
                <w:color w:val="auto"/>
              </w:rPr>
            </w:pPr>
            <w:r>
              <w:rPr>
                <w:rFonts w:ascii="Arial" w:cs="Arial" w:eastAsia="Arial" w:hAnsi="Arial"/>
                <w:sz w:val="17"/>
                <w:szCs w:val="17"/>
                <w:color w:val="0000FF"/>
              </w:rPr>
              <w:t>PENNSYLVANIA AVE., N.W., SUITE 220 SOUTH</w:t>
            </w: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WASHINGTON</w:t>
            </w:r>
          </w:p>
        </w:tc>
        <w:tc>
          <w:tcPr>
            <w:tcW w:w="1460" w:type="dxa"/>
            <w:vAlign w:val="bottom"/>
          </w:tcPr>
          <w:p>
            <w:pPr>
              <w:ind w:left="120"/>
              <w:spacing w:after="0"/>
              <w:rPr>
                <w:sz w:val="20"/>
                <w:szCs w:val="20"/>
                <w:color w:val="auto"/>
              </w:rPr>
            </w:pPr>
            <w:r>
              <w:rPr>
                <w:rFonts w:ascii="Arial" w:cs="Arial" w:eastAsia="Arial" w:hAnsi="Arial"/>
                <w:sz w:val="17"/>
                <w:szCs w:val="17"/>
                <w:color w:val="0000FF"/>
              </w:rPr>
              <w:t>DC</w:t>
            </w:r>
          </w:p>
        </w:tc>
        <w:tc>
          <w:tcPr>
            <w:tcW w:w="1420" w:type="dxa"/>
            <w:vAlign w:val="bottom"/>
          </w:tcPr>
          <w:p>
            <w:pPr>
              <w:ind w:left="60"/>
              <w:spacing w:after="0"/>
              <w:rPr>
                <w:sz w:val="20"/>
                <w:szCs w:val="20"/>
                <w:color w:val="auto"/>
              </w:rPr>
            </w:pPr>
            <w:r>
              <w:rPr>
                <w:rFonts w:ascii="Arial" w:cs="Arial" w:eastAsia="Arial" w:hAnsi="Arial"/>
                <w:sz w:val="17"/>
                <w:szCs w:val="17"/>
                <w:color w:val="0000FF"/>
              </w:rPr>
              <w:t>20004-2505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tcPr>
          <w:p>
            <w:pPr>
              <w:ind w:left="1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2"/>
          <w:szCs w:val="12"/>
          <w:color w:val="008000"/>
        </w:rPr>
        <w:t>1. The sales reported in this Form 4 were effected pursuant to a Rule 10b5-1 trading plan.</w:t>
      </w:r>
    </w:p>
    <w:p>
      <w:pPr>
        <w:sectPr>
          <w:pgSz w:w="11900" w:h="16838" w:orient="portrait"/>
          <w:cols w:equalWidth="0" w:num="1">
            <w:col w:w="9979"/>
          </w:cols>
          <w:pgMar w:left="480" w:top="179" w:right="1440" w:bottom="0" w:gutter="0" w:footer="0" w:header="0"/>
        </w:sectPr>
      </w:pPr>
    </w:p>
    <w:bookmarkStart w:id="2" w:name="page3"/>
    <w:bookmarkEnd w:id="2"/>
    <w:p>
      <w:pPr>
        <w:ind w:right="40" w:firstLine="7"/>
        <w:spacing w:after="0" w:line="250"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$67.20 to $68.195.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right="80" w:firstLine="7"/>
        <w:spacing w:after="0" w:line="266"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Following the transactions reported herein, includes (i) 26,892,134 shares of Class A Common Stock held of record by CP VI Evergreen Holdings, L.P. ("CP VI Evergreen") and (ii) 26,743,330 shares of Class A Common Stock held of record by Carlyle Partners VI Evergreen Holdings, L.P. ("Carlyle Evergreen").</w:t>
      </w:r>
    </w:p>
    <w:p>
      <w:pPr>
        <w:spacing w:after="0" w:line="15" w:lineRule="exact"/>
        <w:rPr>
          <w:rFonts w:ascii="Arial" w:cs="Arial" w:eastAsia="Arial" w:hAnsi="Arial"/>
          <w:sz w:val="13"/>
          <w:szCs w:val="13"/>
          <w:color w:val="008000"/>
        </w:rPr>
      </w:pPr>
    </w:p>
    <w:p>
      <w:pPr>
        <w:ind w:firstLine="7"/>
        <w:spacing w:after="0" w:line="245"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Carlyle Group Inc., which is a publicly traded entity listed on the Nasdaq, is the sole shareholder of Carlyle Holdings I GP Inc., which is the sole member of Carlyle Holdings I GP Sub L.L.C., which is the general partner of Carlyle Holdings I L.P., which, with respect to the securities held of record by Carlyle Evergreen and CP VI Evergreen, is the managing member of CG Subsidiary Holdings L.L.C., which is the managing member of TC Group, L.L.C., which is the general partner of TC Group Sub L.P., which is the managing member of TC Group VI S1, L.L.C., which is the general partner of TC Group VI S1, L.P., which is the general partner of Carlyle Evergreen and CP VI Evergreen.</w:t>
      </w:r>
    </w:p>
    <w:p>
      <w:pPr>
        <w:spacing w:after="0" w:line="29" w:lineRule="exact"/>
        <w:rPr>
          <w:rFonts w:ascii="Arial" w:cs="Arial" w:eastAsia="Arial" w:hAnsi="Arial"/>
          <w:sz w:val="13"/>
          <w:szCs w:val="13"/>
          <w:color w:val="008000"/>
        </w:rPr>
      </w:pPr>
    </w:p>
    <w:p>
      <w:pPr>
        <w:ind w:right="40" w:firstLine="7"/>
        <w:spacing w:after="0" w:line="250"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$68.20 to $69.195.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right="40" w:firstLine="7"/>
        <w:spacing w:after="0" w:line="250"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$69.20 to $70.00.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right="40" w:firstLine="7"/>
        <w:spacing w:after="0" w:line="250"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$69.70 to $70.69.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right="40" w:firstLine="7"/>
        <w:spacing w:after="0" w:line="250"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$70.70 to $71.695.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right="40" w:firstLine="7"/>
        <w:spacing w:after="0" w:line="250"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$71.70 to $72.69.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right="40" w:firstLine="7"/>
        <w:spacing w:after="0" w:line="250" w:lineRule="auto"/>
        <w:tabs>
          <w:tab w:leader="none" w:pos="20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$72.70 to $72.98.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right="20"/>
        <w:spacing w:after="0" w:line="266" w:lineRule="auto"/>
        <w:rPr>
          <w:sz w:val="20"/>
          <w:szCs w:val="20"/>
          <w:color w:val="auto"/>
        </w:rPr>
      </w:pPr>
      <w:r>
        <w:rPr>
          <w:rFonts w:ascii="Arial" w:cs="Arial" w:eastAsia="Arial" w:hAnsi="Arial"/>
          <w:sz w:val="13"/>
          <w:szCs w:val="13"/>
          <w:color w:val="008000"/>
        </w:rPr>
        <w:t>Due to the limitations of the electronic filing system, each of The Carlyle Group Inc., Carlyle Holdings I GP Inc., Carlyle Holdings I GP Sub L.L.C., and Carlyle Holdings I L.P. are filing a separate Form 4.</w:t>
      </w:r>
    </w:p>
    <w:p>
      <w:pPr>
        <w:sectPr>
          <w:pgSz w:w="11900" w:h="16838" w:orient="portrait"/>
          <w:cols w:equalWidth="0" w:num="1">
            <w:col w:w="10860"/>
          </w:cols>
          <w:pgMar w:left="500" w:top="131" w:right="539" w:bottom="1440" w:gutter="0" w:footer="0" w:header="0"/>
        </w:sectPr>
      </w:pPr>
    </w:p>
    <w:p>
      <w:pPr>
        <w:spacing w:after="0" w:line="42"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CG Subsidiary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14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108140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L.L.C., By: /s/ Anne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010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90106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Frederick,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468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Curtis L. Buser,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15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11715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63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TC Group,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98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Anne Frederick,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22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fact for Curtis L. Buser,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64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0464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01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TC Group Sub L.P., By: 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280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Group,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66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1366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By: /s/ Anne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182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Frederick,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468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Curtis L. Buser,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15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11715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63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TC Group VI S1,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954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Jeremy W.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01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216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8216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TC Group VI S1, L.P.,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3081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130810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Jeremy W.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3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216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8216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Carlyle Partners VI Evergreen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3328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1332865"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Holdings, L.P., By: TC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201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VI S1,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582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/s/ Jeremy W.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668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216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8216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5"/>
          <w:szCs w:val="15"/>
          <w:color w:val="0000FF"/>
        </w:rPr>
        <w:t>11/05/2021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11/05/2021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11/05/2021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11/05/2021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11/05/2021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11/05/2021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520" w:lineRule="exact"/>
        <w:rPr>
          <w:sz w:val="20"/>
          <w:szCs w:val="20"/>
          <w:color w:val="auto"/>
        </w:rPr>
      </w:pPr>
    </w:p>
    <w:p>
      <w:pPr>
        <w:sectPr>
          <w:pgSz w:w="11900" w:h="16838" w:orient="portrait"/>
          <w:cols w:equalWidth="0" w:num="2">
            <w:col w:w="8680" w:space="60"/>
            <w:col w:w="2120"/>
          </w:cols>
          <w:pgMar w:left="500" w:top="131" w:right="539" w:bottom="1440" w:gutter="0" w:footer="0" w:header="0"/>
          <w:type w:val="continuous"/>
        </w:sectPr>
      </w:pPr>
    </w:p>
    <w:p>
      <w:pPr>
        <w:ind w:left="6540"/>
        <w:spacing w:after="0"/>
        <w:rPr>
          <w:sz w:val="20"/>
          <w:szCs w:val="20"/>
          <w:color w:val="auto"/>
        </w:rPr>
      </w:pPr>
      <w:r>
        <w:rPr>
          <w:rFonts w:ascii="Arial" w:cs="Arial" w:eastAsia="Arial" w:hAnsi="Arial"/>
          <w:sz w:val="17"/>
          <w:szCs w:val="17"/>
          <w:color w:val="0000FF"/>
        </w:rPr>
        <w:t>CP VI Evergreen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141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12141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TC Group VI 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66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117665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L.P., its general partner, By: /s/ 11/05/2021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29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Jeremy W.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3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216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821690" cy="8255"/>
                    </a:xfrm>
                    <a:prstGeom prst="rect">
                      <a:avLst/>
                    </a:prstGeom>
                    <a:noFill/>
                  </pic:spPr>
                </pic:pic>
              </a:graphicData>
            </a:graphic>
          </wp:anchor>
        </w:drawing>
      </w:r>
    </w:p>
    <w:p>
      <w:pPr>
        <w:spacing w:after="0" w:line="52"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31"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12" Type="http://schemas.openxmlformats.org/officeDocument/2006/relationships/hyperlink" Target="http://www.sec.gov/cgi-bin/browse-edgar?action=getcompany&amp;CIK=0001790577" TargetMode="External"/><Relationship Id="rId13" Type="http://schemas.openxmlformats.org/officeDocument/2006/relationships/hyperlink" Target="http://www.sec.gov/cgi-bin/browse-edgar?action=getcompany&amp;CIK=0001794515" TargetMode="External"/><Relationship Id="rId15" Type="http://schemas.openxmlformats.org/officeDocument/2006/relationships/hyperlink" Target="http://www.sec.gov/cgi-bin/browse-edgar?action=getcompany&amp;CIK=0000933790" TargetMode="External"/><Relationship Id="rId17" Type="http://schemas.openxmlformats.org/officeDocument/2006/relationships/hyperlink" Target="http://www.sec.gov/cgi-bin/browse-edgar?action=getcompany&amp;CIK=0001548639" TargetMode="External"/><Relationship Id="rId18" Type="http://schemas.openxmlformats.org/officeDocument/2006/relationships/hyperlink" Target="http://www.sec.gov/cgi-bin/browse-edgar?action=getcompany&amp;CIK=0001766541" TargetMode="External"/><Relationship Id="rId19" Type="http://schemas.openxmlformats.org/officeDocument/2006/relationships/hyperlink" Target="http://www.sec.gov/cgi-bin/browse-edgar?action=getcompany&amp;CIK=0001766496" TargetMode="External"/><Relationship Id="rId20" Type="http://schemas.openxmlformats.org/officeDocument/2006/relationships/hyperlink" Target="http://www.sec.gov/cgi-bin/browse-edgar?action=getcompany&amp;CIK=0001802267" TargetMode="External"/><Relationship Id="rId21" Type="http://schemas.openxmlformats.org/officeDocument/2006/relationships/hyperlink" Target="http://www.sec.gov/cgi-bin/browse-edgar?action=getcompany&amp;CIK=00018139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2021-11-05T15:43:36Z</dcterms:created>
  <dcterms:modified xsi:type="dcterms:W3CDTF">2021-11-05T15:43:36Z</dcterms:modified>
</cp:coreProperties>
</file>