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6993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699325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Roth James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120"/>
        <w:spacing w:after="0" w:line="328" w:lineRule="auto"/>
        <w:rPr>
          <w:sz w:val="20"/>
          <w:szCs w:val="20"/>
          <w:color w:val="auto"/>
        </w:rPr>
      </w:pPr>
      <w:r>
        <w:rPr>
          <w:rFonts w:ascii="Times New Roman" w:cs="Times New Roman" w:eastAsia="Times New Roman" w:hAnsi="Times New Roman"/>
          <w:sz w:val="16"/>
          <w:szCs w:val="16"/>
          <w:color w:val="0000FF"/>
        </w:rPr>
        <w:t>C/O ZOOMINFO TECHNOLOGIES INC., 330 W COLUMBIA WAY, FLOOR 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83"/>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ZoomInfo Technologies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GTM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17"/>
        <w:spacing w:after="0"/>
        <w:rPr>
          <w:sz w:val="20"/>
          <w:szCs w:val="20"/>
          <w:color w:val="auto"/>
        </w:rPr>
      </w:pPr>
      <w:r>
        <w:rPr>
          <w:rFonts w:ascii="Times New Roman" w:cs="Times New Roman" w:eastAsia="Times New Roman" w:hAnsi="Times New Roman"/>
          <w:sz w:val="17"/>
          <w:szCs w:val="17"/>
          <w:color w:val="0000FF"/>
        </w:rPr>
        <w:t>Chief Revenue Officer</w:t>
      </w:r>
    </w:p>
    <w:p>
      <w:pPr>
        <w:spacing w:after="0" w:line="437" w:lineRule="exact"/>
        <w:rPr>
          <w:sz w:val="24"/>
          <w:szCs w:val="24"/>
          <w:color w:val="auto"/>
        </w:rPr>
      </w:pPr>
    </w:p>
    <w:p>
      <w:pPr>
        <w:sectPr>
          <w:pgSz w:w="11900" w:h="16838" w:orient="portrait"/>
          <w:cols w:equalWidth="0" w:num="3">
            <w:col w:w="3180" w:space="720"/>
            <w:col w:w="3103" w:space="720"/>
            <w:col w:w="3357"/>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0" w:type="dxa"/>
            <w:vAlign w:val="bottom"/>
            <w:gridSpan w:val="6"/>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740" w:type="dxa"/>
            <w:vAlign w:val="bottom"/>
            <w:gridSpan w:val="10"/>
          </w:tcPr>
          <w:p>
            <w:pPr>
              <w:ind w:left="38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VANCOUVER  WA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98660</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jc w:val="center"/>
              <w:ind w:left="715"/>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jc w:val="center"/>
              <w:ind w:left="448"/>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48"/>
              <w:spacing w:after="0"/>
              <w:rPr>
                <w:sz w:val="20"/>
                <w:szCs w:val="20"/>
                <w:color w:val="auto"/>
              </w:rPr>
            </w:pPr>
            <w:r>
              <w:rPr>
                <w:rFonts w:ascii="Times New Roman" w:cs="Times New Roman" w:eastAsia="Times New Roman" w:hAnsi="Times New Roman"/>
                <w:sz w:val="17"/>
                <w:szCs w:val="17"/>
                <w:color w:val="0000FF"/>
                <w:w w:val="98"/>
              </w:rPr>
              <w:t>04/01/2026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53"/>
              <w:spacing w:after="0"/>
              <w:rPr>
                <w:sz w:val="20"/>
                <w:szCs w:val="20"/>
                <w:color w:val="auto"/>
              </w:rPr>
            </w:pPr>
            <w:r>
              <w:rPr>
                <w:rFonts w:ascii="Times New Roman" w:cs="Times New Roman" w:eastAsia="Times New Roman" w:hAnsi="Times New Roman"/>
                <w:sz w:val="17"/>
                <w:szCs w:val="17"/>
                <w:color w:val="0000FF"/>
                <w:w w:val="99"/>
              </w:rPr>
              <w:t>4,464</w:t>
            </w:r>
          </w:p>
        </w:tc>
        <w:tc>
          <w:tcPr>
            <w:tcW w:w="600" w:type="dxa"/>
            <w:vAlign w:val="bottom"/>
            <w:tcBorders>
              <w:bottom w:val="single" w:sz="8" w:color="2C2C2C"/>
            </w:tcBorders>
          </w:tcPr>
          <w:p>
            <w:pPr>
              <w:jc w:val="center"/>
              <w:ind w:left="13"/>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ind w:left="94"/>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108,536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48"/>
              <w:spacing w:after="0"/>
              <w:rPr>
                <w:sz w:val="20"/>
                <w:szCs w:val="20"/>
                <w:color w:val="auto"/>
              </w:rPr>
            </w:pPr>
            <w:r>
              <w:rPr>
                <w:rFonts w:ascii="Times New Roman" w:cs="Times New Roman" w:eastAsia="Times New Roman" w:hAnsi="Times New Roman"/>
                <w:sz w:val="17"/>
                <w:szCs w:val="17"/>
                <w:color w:val="0000FF"/>
                <w:w w:val="98"/>
              </w:rPr>
              <w:t>04/01/2026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53"/>
              <w:spacing w:after="0"/>
              <w:rPr>
                <w:sz w:val="20"/>
                <w:szCs w:val="20"/>
                <w:color w:val="auto"/>
              </w:rPr>
            </w:pPr>
            <w:r>
              <w:rPr>
                <w:rFonts w:ascii="Times New Roman" w:cs="Times New Roman" w:eastAsia="Times New Roman" w:hAnsi="Times New Roman"/>
                <w:sz w:val="17"/>
                <w:szCs w:val="17"/>
                <w:color w:val="0000FF"/>
                <w:w w:val="98"/>
              </w:rPr>
              <w:t>30,639</w:t>
            </w:r>
          </w:p>
        </w:tc>
        <w:tc>
          <w:tcPr>
            <w:tcW w:w="600" w:type="dxa"/>
            <w:vAlign w:val="bottom"/>
            <w:tcBorders>
              <w:bottom w:val="single" w:sz="8" w:color="2C2C2C"/>
            </w:tcBorders>
          </w:tcPr>
          <w:p>
            <w:pPr>
              <w:jc w:val="center"/>
              <w:ind w:left="13"/>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ind w:left="94"/>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139,175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48"/>
              <w:spacing w:after="0"/>
              <w:rPr>
                <w:sz w:val="20"/>
                <w:szCs w:val="20"/>
                <w:color w:val="auto"/>
              </w:rPr>
            </w:pPr>
            <w:r>
              <w:rPr>
                <w:rFonts w:ascii="Times New Roman" w:cs="Times New Roman" w:eastAsia="Times New Roman" w:hAnsi="Times New Roman"/>
                <w:sz w:val="17"/>
                <w:szCs w:val="17"/>
                <w:color w:val="0000FF"/>
                <w:w w:val="98"/>
              </w:rPr>
              <w:t>04/01/2026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53"/>
              <w:spacing w:after="0"/>
              <w:rPr>
                <w:sz w:val="20"/>
                <w:szCs w:val="20"/>
                <w:color w:val="auto"/>
              </w:rPr>
            </w:pPr>
            <w:r>
              <w:rPr>
                <w:rFonts w:ascii="Times New Roman" w:cs="Times New Roman" w:eastAsia="Times New Roman" w:hAnsi="Times New Roman"/>
                <w:sz w:val="17"/>
                <w:szCs w:val="17"/>
                <w:color w:val="0000FF"/>
                <w:w w:val="98"/>
              </w:rPr>
              <w:t>22,059</w:t>
            </w:r>
          </w:p>
        </w:tc>
        <w:tc>
          <w:tcPr>
            <w:tcW w:w="600" w:type="dxa"/>
            <w:vAlign w:val="bottom"/>
            <w:tcBorders>
              <w:bottom w:val="single" w:sz="8" w:color="2C2C2C"/>
            </w:tcBorders>
          </w:tcPr>
          <w:p>
            <w:pPr>
              <w:jc w:val="center"/>
              <w:ind w:left="13"/>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ind w:left="94"/>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161,234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48"/>
              <w:spacing w:after="0"/>
              <w:rPr>
                <w:sz w:val="20"/>
                <w:szCs w:val="20"/>
                <w:color w:val="auto"/>
              </w:rPr>
            </w:pPr>
            <w:r>
              <w:rPr>
                <w:rFonts w:ascii="Times New Roman" w:cs="Times New Roman" w:eastAsia="Times New Roman" w:hAnsi="Times New Roman"/>
                <w:sz w:val="17"/>
                <w:szCs w:val="17"/>
                <w:color w:val="0000FF"/>
                <w:w w:val="98"/>
              </w:rPr>
              <w:t>04/01/2026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53"/>
              <w:spacing w:after="0"/>
              <w:rPr>
                <w:sz w:val="20"/>
                <w:szCs w:val="20"/>
                <w:color w:val="auto"/>
              </w:rPr>
            </w:pPr>
            <w:r>
              <w:rPr>
                <w:rFonts w:ascii="Times New Roman" w:cs="Times New Roman" w:eastAsia="Times New Roman" w:hAnsi="Times New Roman"/>
                <w:sz w:val="17"/>
                <w:szCs w:val="17"/>
                <w:color w:val="0000FF"/>
                <w:w w:val="98"/>
              </w:rPr>
              <w:t>72,980</w:t>
            </w:r>
          </w:p>
        </w:tc>
        <w:tc>
          <w:tcPr>
            <w:tcW w:w="600" w:type="dxa"/>
            <w:vAlign w:val="bottom"/>
            <w:tcBorders>
              <w:bottom w:val="single" w:sz="8" w:color="2C2C2C"/>
            </w:tcBorders>
          </w:tcPr>
          <w:p>
            <w:pPr>
              <w:jc w:val="center"/>
              <w:ind w:left="13"/>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ind w:left="94"/>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234,214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48"/>
              <w:spacing w:after="0"/>
              <w:rPr>
                <w:sz w:val="20"/>
                <w:szCs w:val="20"/>
                <w:color w:val="auto"/>
              </w:rPr>
            </w:pPr>
            <w:r>
              <w:rPr>
                <w:rFonts w:ascii="Times New Roman" w:cs="Times New Roman" w:eastAsia="Times New Roman" w:hAnsi="Times New Roman"/>
                <w:sz w:val="17"/>
                <w:szCs w:val="17"/>
                <w:color w:val="0000FF"/>
                <w:w w:val="98"/>
              </w:rPr>
              <w:t>04/01/2026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1"/>
                <w:vertAlign w:val="subscript"/>
              </w:rPr>
              <w:t>F</w:t>
            </w:r>
            <w:r>
              <w:rPr>
                <w:rFonts w:ascii="Times New Roman" w:cs="Times New Roman" w:eastAsia="Times New Roman" w:hAnsi="Times New Roman"/>
                <w:sz w:val="11"/>
                <w:szCs w:val="11"/>
                <w:color w:val="008000"/>
                <w:w w:val="81"/>
              </w:rPr>
              <w:t>(2)</w:t>
            </w:r>
          </w:p>
        </w:tc>
        <w:tc>
          <w:tcPr>
            <w:tcW w:w="700" w:type="dxa"/>
            <w:vAlign w:val="bottom"/>
            <w:tcBorders>
              <w:bottom w:val="single" w:sz="8" w:color="2C2C2C"/>
            </w:tcBorders>
          </w:tcPr>
          <w:p>
            <w:pPr>
              <w:jc w:val="center"/>
              <w:ind w:left="53"/>
              <w:spacing w:after="0"/>
              <w:rPr>
                <w:sz w:val="20"/>
                <w:szCs w:val="20"/>
                <w:color w:val="auto"/>
              </w:rPr>
            </w:pPr>
            <w:r>
              <w:rPr>
                <w:rFonts w:ascii="Times New Roman" w:cs="Times New Roman" w:eastAsia="Times New Roman" w:hAnsi="Times New Roman"/>
                <w:sz w:val="17"/>
                <w:szCs w:val="17"/>
                <w:color w:val="0000FF"/>
                <w:w w:val="98"/>
              </w:rPr>
              <w:t>58,696</w:t>
            </w:r>
          </w:p>
        </w:tc>
        <w:tc>
          <w:tcPr>
            <w:tcW w:w="600" w:type="dxa"/>
            <w:vAlign w:val="bottom"/>
            <w:tcBorders>
              <w:bottom w:val="single" w:sz="8" w:color="2C2C2C"/>
            </w:tcBorders>
          </w:tcPr>
          <w:p>
            <w:pPr>
              <w:jc w:val="center"/>
              <w:ind w:left="13"/>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bottom w:val="single" w:sz="8" w:color="2C2C2C"/>
            </w:tcBorders>
          </w:tcPr>
          <w:p>
            <w:pPr>
              <w:jc w:val="center"/>
              <w:ind w:left="94"/>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5.98</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175,518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48"/>
              <w:spacing w:after="0"/>
              <w:rPr>
                <w:sz w:val="20"/>
                <w:szCs w:val="20"/>
                <w:color w:val="auto"/>
              </w:rPr>
            </w:pPr>
            <w:r>
              <w:rPr>
                <w:rFonts w:ascii="Times New Roman" w:cs="Times New Roman" w:eastAsia="Times New Roman" w:hAnsi="Times New Roman"/>
                <w:sz w:val="17"/>
                <w:szCs w:val="17"/>
                <w:color w:val="0000FF"/>
                <w:w w:val="98"/>
              </w:rPr>
              <w:t>04/02/2026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(3)</w:t>
            </w:r>
          </w:p>
        </w:tc>
        <w:tc>
          <w:tcPr>
            <w:tcW w:w="700" w:type="dxa"/>
            <w:vAlign w:val="bottom"/>
            <w:tcBorders>
              <w:bottom w:val="single" w:sz="8" w:color="2C2C2C"/>
            </w:tcBorders>
          </w:tcPr>
          <w:p>
            <w:pPr>
              <w:jc w:val="center"/>
              <w:ind w:left="53"/>
              <w:spacing w:after="0"/>
              <w:rPr>
                <w:sz w:val="20"/>
                <w:szCs w:val="20"/>
                <w:color w:val="auto"/>
              </w:rPr>
            </w:pPr>
            <w:r>
              <w:rPr>
                <w:rFonts w:ascii="Times New Roman" w:cs="Times New Roman" w:eastAsia="Times New Roman" w:hAnsi="Times New Roman"/>
                <w:sz w:val="17"/>
                <w:szCs w:val="17"/>
                <w:color w:val="0000FF"/>
                <w:w w:val="98"/>
              </w:rPr>
              <w:t>35,723</w:t>
            </w:r>
          </w:p>
        </w:tc>
        <w:tc>
          <w:tcPr>
            <w:tcW w:w="600" w:type="dxa"/>
            <w:vAlign w:val="bottom"/>
            <w:tcBorders>
              <w:bottom w:val="single" w:sz="8" w:color="2C2C2C"/>
            </w:tcBorders>
          </w:tcPr>
          <w:p>
            <w:pPr>
              <w:jc w:val="center"/>
              <w:ind w:left="13"/>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5.8726</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139,795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68"/>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4,464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04/01/2026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restart"/>
          </w:tcPr>
          <w:p>
            <w:pPr>
              <w:jc w:val="center"/>
              <w:ind w:left="220"/>
              <w:spacing w:after="0" w:line="142" w:lineRule="exact"/>
              <w:rPr>
                <w:sz w:val="20"/>
                <w:szCs w:val="20"/>
                <w:color w:val="auto"/>
              </w:rPr>
            </w:pPr>
            <w:r>
              <w:rPr>
                <w:rFonts w:ascii="Times New Roman" w:cs="Times New Roman" w:eastAsia="Times New Roman" w:hAnsi="Times New Roman"/>
                <w:sz w:val="13"/>
                <w:szCs w:val="13"/>
                <w:color w:val="0000FF"/>
              </w:rPr>
              <w:t>4,464</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w w:val="94"/>
              </w:rPr>
              <w:t>17,858</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30,639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04/01/2026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220"/>
              <w:spacing w:after="0" w:line="129" w:lineRule="exact"/>
              <w:rPr>
                <w:sz w:val="20"/>
                <w:szCs w:val="20"/>
                <w:color w:val="auto"/>
              </w:rPr>
            </w:pPr>
            <w:r>
              <w:rPr>
                <w:rFonts w:ascii="Times New Roman" w:cs="Times New Roman" w:eastAsia="Times New Roman" w:hAnsi="Times New Roman"/>
                <w:sz w:val="13"/>
                <w:szCs w:val="13"/>
                <w:color w:val="0000FF"/>
                <w:w w:val="94"/>
              </w:rPr>
              <w:t>30,639</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60"/>
              <w:spacing w:after="0" w:line="129" w:lineRule="exact"/>
              <w:rPr>
                <w:sz w:val="20"/>
                <w:szCs w:val="20"/>
                <w:color w:val="auto"/>
              </w:rPr>
            </w:pPr>
            <w:r>
              <w:rPr>
                <w:rFonts w:ascii="Times New Roman" w:cs="Times New Roman" w:eastAsia="Times New Roman" w:hAnsi="Times New Roman"/>
                <w:sz w:val="13"/>
                <w:szCs w:val="13"/>
                <w:color w:val="0000FF"/>
                <w:w w:val="94"/>
              </w:rPr>
              <w:t>61,277</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(7)</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22,059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04/01/2026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220"/>
              <w:spacing w:after="0" w:line="129" w:lineRule="exact"/>
              <w:rPr>
                <w:sz w:val="20"/>
                <w:szCs w:val="20"/>
                <w:color w:val="auto"/>
              </w:rPr>
            </w:pPr>
            <w:r>
              <w:rPr>
                <w:rFonts w:ascii="Times New Roman" w:cs="Times New Roman" w:eastAsia="Times New Roman" w:hAnsi="Times New Roman"/>
                <w:sz w:val="13"/>
                <w:szCs w:val="13"/>
                <w:color w:val="0000FF"/>
                <w:w w:val="94"/>
              </w:rPr>
              <w:t>22,059</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60"/>
              <w:spacing w:after="0" w:line="129" w:lineRule="exact"/>
              <w:rPr>
                <w:sz w:val="20"/>
                <w:szCs w:val="20"/>
                <w:color w:val="auto"/>
              </w:rPr>
            </w:pPr>
            <w:r>
              <w:rPr>
                <w:rFonts w:ascii="Times New Roman" w:cs="Times New Roman" w:eastAsia="Times New Roman" w:hAnsi="Times New Roman"/>
                <w:sz w:val="13"/>
                <w:szCs w:val="13"/>
                <w:color w:val="0000FF"/>
                <w:w w:val="94"/>
              </w:rPr>
              <w:t>88,235</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72,980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04/01/2026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220"/>
              <w:spacing w:after="0" w:line="129" w:lineRule="exact"/>
              <w:rPr>
                <w:sz w:val="20"/>
                <w:szCs w:val="20"/>
                <w:color w:val="auto"/>
              </w:rPr>
            </w:pPr>
            <w:r>
              <w:rPr>
                <w:rFonts w:ascii="Times New Roman" w:cs="Times New Roman" w:eastAsia="Times New Roman" w:hAnsi="Times New Roman"/>
                <w:sz w:val="13"/>
                <w:szCs w:val="13"/>
                <w:color w:val="0000FF"/>
                <w:w w:val="94"/>
              </w:rPr>
              <w:t>72,980</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ind w:right="2"/>
              <w:spacing w:after="0" w:line="129" w:lineRule="exact"/>
              <w:rPr>
                <w:sz w:val="20"/>
                <w:szCs w:val="20"/>
                <w:color w:val="auto"/>
              </w:rPr>
            </w:pPr>
            <w:r>
              <w:rPr>
                <w:rFonts w:ascii="Times New Roman" w:cs="Times New Roman" w:eastAsia="Times New Roman" w:hAnsi="Times New Roman"/>
                <w:sz w:val="13"/>
                <w:szCs w:val="13"/>
                <w:color w:val="0000FF"/>
                <w:w w:val="99"/>
              </w:rPr>
              <w:t>148,174</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-3069590</wp:posOffset>
            </wp:positionV>
            <wp:extent cx="29210" cy="3074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0746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withheld to cover the Reporting Person's tax liability in connection with the vesting of the restricted stock units reported herein.</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pursuant to a Rule 10b5-1 trading plan.</w:t>
      </w:r>
    </w:p>
    <w:p>
      <w:pPr>
        <w:spacing w:after="0" w:line="44" w:lineRule="exact"/>
        <w:rPr>
          <w:rFonts w:ascii="Times New Roman" w:cs="Times New Roman" w:eastAsia="Times New Roman" w:hAnsi="Times New Roman"/>
          <w:sz w:val="13"/>
          <w:szCs w:val="13"/>
          <w:color w:val="008000"/>
        </w:rPr>
      </w:pPr>
    </w:p>
    <w:p>
      <w:pPr>
        <w:ind w:left="40" w:right="2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$5.79 to $6.13,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original grant of restricted stock units on March 23, 2023, which vest in equal quarterly installments during the 27 months following January 1, 2025.</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original grant of restricted stock units on October 25, 2023, which vest in equal quarterly installments during the 21 months following January 1, 2025.</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original grant of restricted stock units on March 26, 2024, which vest in equal quarterly installments during the 27 months following January 1, 2025.</w:t>
      </w:r>
    </w:p>
    <w:p>
      <w:pPr>
        <w:spacing w:after="0" w:line="44" w:lineRule="exact"/>
        <w:rPr>
          <w:rFonts w:ascii="Times New Roman" w:cs="Times New Roman" w:eastAsia="Times New Roman" w:hAnsi="Times New Roman"/>
          <w:sz w:val="13"/>
          <w:szCs w:val="13"/>
          <w:color w:val="008000"/>
        </w:rPr>
      </w:pPr>
    </w:p>
    <w:p>
      <w:pPr>
        <w:ind w:left="40" w:right="2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original grant of restricted stock units on May 15, 2025, which vest as follows: (a) 33% on April 1, 2026; and (b) the remainder of the award in equal quarterly installments during the 24 months following April 1, 2026.</w:t>
      </w:r>
    </w:p>
    <w:p>
      <w:pPr>
        <w:sectPr>
          <w:pgSz w:w="11900" w:h="16838" w:orient="portrait"/>
          <w:cols w:equalWidth="0" w:num="1">
            <w:col w:w="11080"/>
          </w:cols>
          <w:pgMar w:left="460" w:top="217" w:right="359" w:bottom="0" w:gutter="0" w:footer="0" w:header="0"/>
          <w:type w:val="continuous"/>
        </w:sectPr>
      </w:pPr>
    </w:p>
    <w:p>
      <w:pPr>
        <w:spacing w:after="0" w:line="1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080"/>
          </w:cols>
          <w:pgMar w:left="460" w:top="217"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Meredith Weisshaar, as</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04/03/2026</w:t>
            </w:r>
          </w:p>
        </w:tc>
      </w:tr>
      <w:tr>
        <w:trPr>
          <w:trHeight w:val="187"/>
        </w:trPr>
        <w:tc>
          <w:tcPr>
            <w:tcW w:w="1760" w:type="dxa"/>
            <w:vAlign w:val="bottom"/>
            <w:tcBorders>
              <w:top w:val="single" w:sz="8" w:color="auto"/>
            </w:tcBorders>
            <w:gridSpan w:val="2"/>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7761" TargetMode="External"/><Relationship Id="rId14" Type="http://schemas.openxmlformats.org/officeDocument/2006/relationships/hyperlink" Target="http://www.sec.gov/cgi-bin/browse-edgar?action=getcompany&amp;CIK=0001794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2026-04-03T15:27:09Z</dcterms:created>
  <dcterms:modified xsi:type="dcterms:W3CDTF">2026-04-03T15:27:09Z</dcterms:modified>
</cp:coreProperties>
</file>