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7, 2024</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ZoomInfo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483" w:type="dxa"/>
        <w:jc w:val="center"/>
        <w:tblInd w:w="0" w:type="dxa"/>
        <w:tblLayout w:type="fixed"/>
        <w:tblCellMar>
          <w:top w:w="28" w:type="dxa"/>
          <w:left w:w="28" w:type="dxa"/>
          <w:bottom w:w="28" w:type="dxa"/>
          <w:right w:w="28" w:type="dxa"/>
        </w:tblCellMar>
      </w:tblPr>
      <w:tblGrid>
        <w:gridCol w:w="829"/>
        <w:gridCol w:w="729"/>
        <w:gridCol w:w="736"/>
        <w:gridCol w:w="762"/>
        <w:gridCol w:w="762"/>
        <w:gridCol w:w="770"/>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001-39310</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87-3037521</w:t>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805 Broadway Street, Suite 900, Vancouver, Washington 98660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(800) 914-1220</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36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0" w:after="100"/>
        <w:ind w:left="0" w:right="0" w:hanging="360"/>
        <w:jc w:val="left"/>
        <w:rPr>
          <w:color w:val="000000"/>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0" w:after="100"/>
        <w:ind w:left="0" w:right="0" w:hanging="36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0" w:after="100"/>
        <w:ind w:left="0" w:right="0" w:hanging="36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240.13e− 4(c))</w:t>
      </w:r>
    </w:p>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2.02    Results of Operations and Financial Condition.</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On May 7, 2024, ZoomInfo Technologies Inc. (the “Company”) issued a press release announcing its financial results for the first quarter ended March 31, 2024. A copy of the press release is furnished as Exhibit 99.1 to this current report and is incorporated herein by reference. The information contained in Item 2.02 of this current report, including the press release furnished as Exhibit 99.1 hereto, is being furnished and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lineRule="auto" w:line="288" w:before="240" w:after="240"/>
        <w:jc w:val="left"/>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bidi w:val="0"/>
        <w:spacing w:lineRule="auto" w:line="288" w:before="240" w:after="24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Exhibit 99.1 is furnished pursuant to Item 2.02 of this report.</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(d)     Exhibits.</w:t>
      </w:r>
    </w:p>
    <w:tbl>
      <w:tblPr>
        <w:tblW w:w="10048" w:type="dxa"/>
        <w:jc w:val="left"/>
        <w:tblInd w:w="0" w:type="dxa"/>
        <w:tblLayout w:type="fixed"/>
        <w:tblCellMar>
          <w:top w:w="28" w:type="dxa"/>
          <w:left w:w="28" w:type="dxa"/>
          <w:bottom w:w="28" w:type="dxa"/>
          <w:right w:w="28" w:type="dxa"/>
        </w:tblCellMar>
      </w:tblPr>
      <w:tblGrid>
        <w:gridCol w:w="385"/>
        <w:gridCol w:w="338"/>
        <w:gridCol w:w="341"/>
        <w:gridCol w:w="2629"/>
        <w:gridCol w:w="2629"/>
        <w:gridCol w:w="372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89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i-8kex991x20240507.htm">
              <w:r>
                <w:rPr>
                  <w:rStyle w:val="InternetLink"/>
                  <w:rFonts w:ascii="Times New Roman;sans-serif" w:hAnsi="Times New Roman;sans-serif"/>
                  <w:b w:val="false"/>
                  <w:color w:val="0000FF"/>
                  <w:sz w:val="20"/>
                  <w:u w:val="single"/>
                </w:rPr>
                <w:t>Press release dated May 7, 2024 announcing ZoomInfo Technologies Inc.'s first quarter 2024 financial results</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8984"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8984"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8984"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8984"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898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60" w:before="0" w:after="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ZoomInfo Technologies Inc.</w:t>
      </w:r>
    </w:p>
    <w:p>
      <w:pPr>
        <w:pStyle w:val="TextBody"/>
        <w:bidi w:val="0"/>
        <w:spacing w:lineRule="auto" w:line="46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7, 2024</w:t>
      </w:r>
    </w:p>
    <w:p>
      <w:pPr>
        <w:pStyle w:val="TextBody"/>
        <w:bidi w:val="0"/>
        <w:spacing w:lineRule="auto" w:line="460" w:before="0" w:after="0"/>
        <w:ind w:left="0" w:right="0" w:firstLine="504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P. Cameron Hyzer    </w:t>
      </w:r>
    </w:p>
    <w:p>
      <w:pPr>
        <w:pStyle w:val="TextBody"/>
        <w:bidi w:val="0"/>
        <w:spacing w:lineRule="auto" w:line="460" w:before="0" w:after="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Name:  P. Cameron Hyzer</w:t>
      </w:r>
    </w:p>
    <w:p>
      <w:pPr>
        <w:pStyle w:val="TextBody"/>
        <w:bidi w:val="0"/>
        <w:spacing w:lineRule="auto" w:line="46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304925"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04925" cy="476250"/>
                    </a:xfrm>
                    <a:prstGeom prst="rect">
                      <a:avLst/>
                    </a:prstGeom>
                  </pic:spPr>
                </pic:pic>
              </a:graphicData>
            </a:graphic>
          </wp:inline>
        </w:drawing>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ZoomInfo Announces First Quarter 2024 Financial Results</w:t>
      </w:r>
    </w:p>
    <w:p>
      <w:pPr>
        <w:pStyle w:val="TextBody"/>
        <w:bidi w:val="0"/>
        <w:spacing w:before="0" w:after="0"/>
        <w:jc w:val="center"/>
        <w:rPr/>
      </w:pPr>
      <w:r>
        <w:rPr/>
      </w:r>
    </w:p>
    <w:p>
      <w:pPr>
        <w:pStyle w:val="TextBody"/>
        <w:bidi w:val="0"/>
        <w:spacing w:lineRule="auto" w:line="2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GAAP Revenue of $310.1 million Grows 3% year-over-year</w:t>
      </w:r>
    </w:p>
    <w:p>
      <w:pPr>
        <w:pStyle w:val="TextBody"/>
        <w:bidi w:val="0"/>
        <w:spacing w:lineRule="auto" w:line="2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GAAP Operating Margin of 14% and Adjusted Operating Income Margin of 39%</w:t>
      </w:r>
    </w:p>
    <w:p>
      <w:pPr>
        <w:pStyle w:val="TextBody"/>
        <w:bidi w:val="0"/>
        <w:spacing w:lineRule="auto" w:line="256"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GAAP Cash Flow from Operations of $115.9 million and Unlevered Free Cash Flow of $122.7 million</w:t>
      </w:r>
    </w:p>
    <w:p>
      <w:pPr>
        <w:pStyle w:val="TextBody"/>
        <w:bidi w:val="0"/>
        <w:spacing w:lineRule="auto" w:line="256" w:before="0" w:after="240"/>
        <w:jc w:val="both"/>
        <w:rPr/>
      </w:pPr>
      <w:r>
        <w:rPr>
          <w:rFonts w:ascii="Times New Roman;sans-serif" w:hAnsi="Times New Roman;sans-serif"/>
          <w:b/>
          <w:color w:val="000000"/>
          <w:sz w:val="22"/>
        </w:rPr>
        <w:t>Vancouver, WA</w:t>
      </w:r>
      <w:r>
        <w:rPr>
          <w:rFonts w:ascii="Times New Roman;sans-serif" w:hAnsi="Times New Roman;sans-serif"/>
          <w:b w:val="false"/>
          <w:color w:val="000000"/>
          <w:sz w:val="22"/>
        </w:rPr>
        <w:t>, May 7, 2024 - ZoomInfo, (NASDAQ: ZI) the go-to-market platform to find, acquire, and grow customers, today announced its financial results for the first quarter ended March 31, 2024.</w:t>
      </w:r>
    </w:p>
    <w:p>
      <w:pPr>
        <w:pStyle w:val="TextBody"/>
        <w:bidi w:val="0"/>
        <w:spacing w:lineRule="auto" w:line="256" w:before="0" w:after="240"/>
        <w:jc w:val="both"/>
        <w:rPr>
          <w:color w:val="000000"/>
        </w:rPr>
      </w:pPr>
      <w:r>
        <w:rPr>
          <w:color w:val="000000"/>
        </w:rPr>
        <w:t>“</w:t>
      </w:r>
      <w:r>
        <w:rPr>
          <w:rFonts w:ascii="Times New Roman;sans-serif" w:hAnsi="Times New Roman;sans-serif"/>
          <w:b w:val="false"/>
          <w:color w:val="000000"/>
          <w:sz w:val="22"/>
        </w:rPr>
        <w:t>We delivered another quarter of revenue growth, with better-than-expected profitability, and stabilizing net revenue retention,” said Henry Schuck, ZoomInfo Founder and CEO. “Our team is innovating on the future of how companies will go-to-market with ZoomInfo Copilot, and we look forward to bringing this GenAI-powered solution to market shortly.”</w:t>
      </w:r>
    </w:p>
    <w:p>
      <w:pPr>
        <w:pStyle w:val="TextBody"/>
        <w:bidi w:val="0"/>
        <w:spacing w:lineRule="auto" w:line="256" w:before="300" w:after="283"/>
        <w:jc w:val="left"/>
        <w:rPr>
          <w:rFonts w:ascii="Times New Roman;sans-serif" w:hAnsi="Times New Roman;sans-serif"/>
          <w:b/>
          <w:color w:val="000000"/>
          <w:sz w:val="22"/>
        </w:rPr>
      </w:pPr>
      <w:r>
        <w:rPr>
          <w:rFonts w:ascii="Times New Roman;sans-serif" w:hAnsi="Times New Roman;sans-serif"/>
          <w:b/>
          <w:color w:val="000000"/>
          <w:sz w:val="22"/>
        </w:rPr>
        <w:t>First Quarter 2024 Financial Highlights: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Revenue of $310.1 million, an increase of 3% year-over-year.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GAAP Operating income of $43.0 million and Adjusted operating income of $119.4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GAAP Operating income margin of 14% and Adjusted operating income margin of 39%.</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GAAP Cash flow from operations of $115.9 million and Unlevered free cash flow of $122.7 million.</w:t>
      </w:r>
    </w:p>
    <w:p>
      <w:pPr>
        <w:pStyle w:val="TextBody"/>
        <w:bidi w:val="0"/>
        <w:spacing w:lineRule="auto" w:line="288" w:before="300" w:after="283"/>
        <w:jc w:val="left"/>
        <w:rPr/>
      </w:pPr>
      <w:r>
        <w:rPr>
          <w:rFonts w:ascii="Times New Roman;sans-serif" w:hAnsi="Times New Roman;sans-serif"/>
          <w:b/>
          <w:color w:val="000000"/>
          <w:sz w:val="22"/>
        </w:rPr>
        <w:t>Recent Business and Operating Highlights</w:t>
      </w:r>
      <w:r>
        <w:rPr>
          <w:rFonts w:ascii="Times New Roman;sans-serif" w:hAnsi="Times New Roman;sans-serif"/>
          <w:b w:val="false"/>
          <w:color w:val="000000"/>
          <w:sz w:val="22"/>
        </w:rPr>
        <w:t>:</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Was named a leader in The Forrester Wave™: Marketing And Sales Data Providers for B2B, Q1 2024 report by Forrester Research, Inc. ZoomInfo received the top scores in the Current Offering and Strategy categories, and the highest possible score in the Market Presence category.</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Published the Company’s 2023 sustainability report, highlighting notable achievements in Environmental, Social, and Governance matters. The full 2023 sustainability report is available here: https://ir.zoominfo.com/sustainability/.</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Closed the quarter with 1,760 customers with $100,000 or greater in annual contract value.</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 xml:space="preserve">The Board of Directors of ZoomInfo approved an additional $500 million under the share repurchase program, bringing the total aggregate authorization to $1.1 billion, of which $546.8 million remained outstanding as of quarter-end.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During the three months ended March 31, 2024, the Company repurchased 9,623,255 shares of Common Stock at an average price of $15.90, for an aggregate $153.1 million.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54940"/>
                <wp:effectExtent l="0" t="0" r="0" b="0"/>
                <wp:wrapNone/>
                <wp:docPr id="5" name="Frame4"/>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79"/>
        <w:gridCol w:w="599"/>
        <w:gridCol w:w="605"/>
        <w:gridCol w:w="500"/>
        <w:gridCol w:w="500"/>
        <w:gridCol w:w="501"/>
        <w:gridCol w:w="128"/>
        <w:gridCol w:w="128"/>
        <w:gridCol w:w="128"/>
        <w:gridCol w:w="311"/>
        <w:gridCol w:w="311"/>
        <w:gridCol w:w="312"/>
        <w:gridCol w:w="128"/>
        <w:gridCol w:w="128"/>
        <w:gridCol w:w="128"/>
        <w:gridCol w:w="680"/>
        <w:gridCol w:w="664"/>
        <w:gridCol w:w="666"/>
        <w:gridCol w:w="576"/>
        <w:gridCol w:w="576"/>
        <w:gridCol w:w="578"/>
        <w:gridCol w:w="128"/>
        <w:gridCol w:w="128"/>
        <w:gridCol w:w="128"/>
        <w:gridCol w:w="286"/>
        <w:gridCol w:w="286"/>
        <w:gridCol w:w="423"/>
      </w:tblGrid>
      <w:tr>
        <w:trPr/>
        <w:tc>
          <w:tcPr>
            <w:tcW w:w="67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Q1 2024 Financial Highlights (Unaudited)</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in millions, except per share amounts)</w:t>
            </w:r>
          </w:p>
        </w:tc>
      </w:tr>
      <w:tr>
        <w:trPr/>
        <w:tc>
          <w:tcPr>
            <w:tcW w:w="1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 Quarterly Results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YoY</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 Quarterly Results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YoY</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5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Margin</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Margin</w:t>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 (Diluted)</w:t>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Unlevered Free Cash Flow</w:t>
            </w:r>
          </w:p>
        </w:tc>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lineRule="auto" w:line="288" w:before="18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uses a variety of operational and financial metrics, including non-GAAP financial measures, to evaluate its performance and financial condition. The accompanying financial data includes additional information regarding these metrics and a reconciliation of non-GAAP financial information for historical periods to the most directly comparable GAAP financial measure. The presentation of non-GAAP financial information should not be considered in isolation or as a substitute for, or superior to, the financial information prepared and presented in accordance with GAAP.</w:t>
      </w:r>
    </w:p>
    <w:p>
      <w:pPr>
        <w:pStyle w:val="TextBody"/>
        <w:bidi w:val="0"/>
        <w:spacing w:lineRule="auto" w:line="256" w:before="300" w:after="180"/>
        <w:jc w:val="left"/>
        <w:rPr>
          <w:rFonts w:ascii="Times New Roman;sans-serif" w:hAnsi="Times New Roman;sans-serif"/>
          <w:b/>
          <w:color w:val="000000"/>
          <w:sz w:val="22"/>
        </w:rPr>
      </w:pPr>
      <w:r>
        <w:rPr>
          <w:rFonts w:ascii="Times New Roman;sans-serif" w:hAnsi="Times New Roman;sans-serif"/>
          <w:b/>
          <w:color w:val="000000"/>
          <w:sz w:val="22"/>
        </w:rPr>
        <w:t>Business Outlook:</w:t>
      </w:r>
    </w:p>
    <w:p>
      <w:pPr>
        <w:pStyle w:val="TextBody"/>
        <w:bidi w:val="0"/>
        <w:spacing w:lineRule="auto" w:line="256"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Based on information available as of May 7, 2024, ZoomInfo is providing guidance for the second quarter and full year 2024 as follows:</w:t>
      </w:r>
    </w:p>
    <w:tbl>
      <w:tblPr>
        <w:tblW w:w="9667" w:type="dxa"/>
        <w:jc w:val="left"/>
        <w:tblInd w:w="0" w:type="dxa"/>
        <w:tblLayout w:type="fixed"/>
        <w:tblCellMar>
          <w:top w:w="28" w:type="dxa"/>
          <w:left w:w="28" w:type="dxa"/>
          <w:bottom w:w="28" w:type="dxa"/>
          <w:right w:w="28" w:type="dxa"/>
        </w:tblCellMar>
      </w:tblPr>
      <w:tblGrid>
        <w:gridCol w:w="1285"/>
        <w:gridCol w:w="1133"/>
        <w:gridCol w:w="1137"/>
        <w:gridCol w:w="578"/>
        <w:gridCol w:w="578"/>
        <w:gridCol w:w="583"/>
        <w:gridCol w:w="109"/>
        <w:gridCol w:w="109"/>
        <w:gridCol w:w="109"/>
        <w:gridCol w:w="594"/>
        <w:gridCol w:w="594"/>
        <w:gridCol w:w="597"/>
        <w:gridCol w:w="109"/>
        <w:gridCol w:w="109"/>
        <w:gridCol w:w="109"/>
        <w:gridCol w:w="565"/>
        <w:gridCol w:w="565"/>
        <w:gridCol w:w="80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Prior FY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FY 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Revenue</w:t>
            </w:r>
          </w:p>
        </w:tc>
        <w:tc>
          <w:tcPr>
            <w:tcW w:w="17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$306 - $309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$1.26 - $1.28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$1.255 - $1.27 billion</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Adjusted Operating Income</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$114 - $116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$492 - $502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$488 - $495 million</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Adjusted Net Income per share</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$0.23 - $0.24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$0.99 -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 $1.02</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Unlevered Free Cash Flow</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Not Guided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$445 - $465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$440 - $455 million</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392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399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394 million</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4940"/>
                <wp:effectExtent l="0" t="0" r="0" b="0"/>
                <wp:wrapNone/>
                <wp:docPr id="6" name="Frame5"/>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2</w:t>
                      </w:r>
                    </w:p>
                  </w:txbxContent>
                </v:textbox>
                <w10:wrap type="none"/>
              </v:rect>
            </w:pict>
          </mc:Fallback>
        </mc:AlternateContent>
      </w:r>
    </w:p>
    <w:p>
      <w:pPr>
        <w:pStyle w:val="TextBody"/>
        <w:bidi w:val="0"/>
        <w:spacing w:lineRule="auto" w:line="256" w:before="300" w:after="180"/>
        <w:jc w:val="left"/>
        <w:rPr>
          <w:rFonts w:ascii="Times New Roman;sans-serif" w:hAnsi="Times New Roman;sans-serif"/>
          <w:b/>
          <w:color w:val="000000"/>
          <w:sz w:val="22"/>
        </w:rPr>
      </w:pPr>
      <w:r>
        <w:rPr>
          <w:rFonts w:ascii="Times New Roman;sans-serif" w:hAnsi="Times New Roman;sans-serif"/>
          <w:b/>
          <w:color w:val="000000"/>
          <w:sz w:val="22"/>
        </w:rPr>
        <w:t>Conference Call and Webcast Information:</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ZoomInfo will host a conference call today, May 7, 2024, to review its results at 4:30 p.m. Eastern Time, 1:30 p.m. Pacific Time. To participate in the live conference call via telephone, please register here. Upon registering, a dial-in number and unique PIN will be provided to join the conference call.</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call will also be webcast live on the Company’s investor relations website at https://ir.zoominfo.com/, where related presentation materials will be posted prior to the conference call. Following the conference call, an archived webcast of the call will be available for one year on ZoomInfo’s Investor Relations website.</w:t>
      </w:r>
    </w:p>
    <w:p>
      <w:pPr>
        <w:pStyle w:val="TextBody"/>
        <w:bidi w:val="0"/>
        <w:spacing w:lineRule="auto" w:line="288" w:before="300" w:after="180"/>
        <w:jc w:val="left"/>
        <w:rPr>
          <w:rFonts w:ascii="Times New Roman;sans-serif" w:hAnsi="Times New Roman;sans-serif"/>
          <w:b/>
          <w:color w:val="000000"/>
          <w:sz w:val="22"/>
        </w:rPr>
      </w:pPr>
      <w:r>
        <w:rPr>
          <w:rFonts w:ascii="Times New Roman;sans-serif" w:hAnsi="Times New Roman;sans-serif"/>
          <w:b/>
          <w:color w:val="000000"/>
          <w:sz w:val="22"/>
        </w:rPr>
        <w:t>Non-GAAP Financial Measures and Other Metrics: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To supplement our consolidated financial statements presented in accordance with GAAP, this press release contains non-GAAP financial measures, including Adjusted Operating Income, Adjusted Operating Income Margin, Adjusted Net Income, Adjusted Net Income Per Share,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at the end of this press release for each historical non-GAAP financial measure to the most directly comparable financial measure stated in accordance with GAAP. 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exchange tax receivable agreement, deferred tax assets and deferred tax liabilities, and restructuring and transaction expenses. We expect the variability of these excluded items may have a significant, and potentially unpredictable, impact on our future GAAP financial results.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We define Adjusted Operating Income as income (loss) from operations adjusted for, as applicable, (i) the impact of fair value adjustments to acquired unearned revenue, (ii) amortization of acquired technology and other acquired intangibles, (iii) equity-based compensation expense, (iv) restructuring and transaction-related expenses, (v) integration costs and acquisition-related expenses, and (vi) legal settlement. We define Adjusted Operating Income Margin as Adjusted Operating Income divided by the sum of revenue and the impact of fair value adjustments to acquired unearned revenue.</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4940"/>
                <wp:effectExtent l="0" t="0" r="0" b="0"/>
                <wp:wrapNone/>
                <wp:docPr id="7" name="Frame6"/>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We define Adjusted Net Income as net income (loss) adjusted for, as applicable, (i) the impact of fair value adjustments to acquired unearned revenue, (ii) loss on debt modification and extinguishment, (iii) amortization of acquired technology and other acquired intangibles, (iv) equity-based compensation expense, (v) restructuring and transaction-related expenses, (vi) integration costs and acquisition-related expenses, (vii) legal settlement, (viii) TRA liability remeasurement (benefit) expense and (ix) tax impacts of adjustments to net income (loss). We define Adjusted Net Income (Loss) Per Share as Adjusted Net Income (Loss) divided by diluted weighted average shares outstanding used for adjusted net income (loss) per share.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We define Unlevered Free Cash Flow as net cash provided by (used in) operating activities less (i) purchases of property and equipment and other assets, plus (ii) cash interest expense, (iii) cash payments related to restructuring and transaction-related expenses, (iv) cash payments related to integration costs and acquisition-related compensation, and (v) legal settlement payments. Unlevered Free Cash Flow does not represent residual cash flow available for discretionary expenditures since, among other things, we have mandatory debt service requirements.</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w:t>
      </w:r>
    </w:p>
    <w:p>
      <w:pPr>
        <w:pStyle w:val="TextBody"/>
        <w:bidi w:val="0"/>
        <w:spacing w:lineRule="auto" w:line="288" w:before="300" w:after="180"/>
        <w:jc w:val="left"/>
        <w:rPr>
          <w:rFonts w:ascii="Times New Roman;sans-serif" w:hAnsi="Times New Roman;sans-serif"/>
          <w:b/>
          <w:color w:val="000000"/>
          <w:sz w:val="22"/>
        </w:rPr>
      </w:pPr>
      <w:r>
        <w:rPr>
          <w:rFonts w:ascii="Times New Roman;sans-serif" w:hAnsi="Times New Roman;sans-serif"/>
          <w:b/>
          <w:color w:val="000000"/>
          <w:sz w:val="22"/>
        </w:rPr>
        <w:t>Cautionary Statement Regarding Forward-Looking Information</w:t>
      </w:r>
    </w:p>
    <w:p>
      <w:pPr>
        <w:pStyle w:val="TextBody"/>
        <w:bidi w:val="0"/>
        <w:spacing w:lineRule="auto" w:line="30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This press release contains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 Any statements in this press release regarding future revenue, earnings, margins, financial performance, cash flow, liquidity, or results of operations (including, but not limited to, the guidance provided under “Business Outlook”), and any other statements that are not historical facts are forward-looking statements. 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4940"/>
                <wp:effectExtent l="0" t="0" r="0" b="0"/>
                <wp:wrapNone/>
                <wp:docPr id="8" name="Frame7"/>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4</w:t>
                      </w:r>
                    </w:p>
                  </w:txbxContent>
                </v:textbox>
                <w10:wrap type="none"/>
              </v:rect>
            </w:pict>
          </mc:Fallback>
        </mc:AlternateContent>
      </w:r>
    </w:p>
    <w:p>
      <w:pPr>
        <w:pStyle w:val="TextBody"/>
        <w:bidi w:val="0"/>
        <w:spacing w:lineRule="auto" w:line="30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Factors that could cause actual results to differ from those expressed or implied by our forward-looking statements include, among other things: future economic, competitive, and regulatory conditions, potential future uses of cash, the successful integration of acquired businesses, and future decisions made by us and our competitors. All of these factors are difficult or impossible to predict accurately and many of them are beyond our control. For a further list and description of these and other important risks and uncertainties that may affect our future operations, see Part I, Item 1A - Risk Factors in our most recent Annual Report on Form 10-K filed with the Securities and Exchange Commission, which we may update in Part II, Item 1A - Risk Factors in Quarterly Reports on Form 10-Q we have filed or will file hereafter. Our forward-looking statements do not reflect the potential impact of any future acquisitions, mergers, dispositions, joint ventures, investments, or other strategic transactions we may make. Each forward-looking statement contained in this presentation speaks only as of the date of this press release, and we undertake no obligation to update or revise any forward-looking statements whether as a result of new information, future developments or otherwise, except as required by law.</w:t>
      </w:r>
    </w:p>
    <w:p>
      <w:pPr>
        <w:pStyle w:val="TextBody"/>
        <w:bidi w:val="0"/>
        <w:spacing w:lineRule="auto" w:line="300" w:before="300" w:after="160"/>
        <w:jc w:val="left"/>
        <w:rPr>
          <w:rFonts w:ascii="Times New Roman;sans-serif" w:hAnsi="Times New Roman;sans-serif"/>
          <w:b/>
          <w:color w:val="000000"/>
          <w:sz w:val="22"/>
        </w:rPr>
      </w:pPr>
      <w:r>
        <w:rPr>
          <w:rFonts w:ascii="Times New Roman;sans-serif" w:hAnsi="Times New Roman;sans-serif"/>
          <w:b/>
          <w:color w:val="000000"/>
          <w:sz w:val="22"/>
        </w:rPr>
        <w:t>About ZoomInfo</w:t>
      </w:r>
    </w:p>
    <w:p>
      <w:pPr>
        <w:pStyle w:val="TextBody"/>
        <w:bidi w:val="0"/>
        <w:spacing w:lineRule="auto" w:line="300"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ZoomInfo (NASDAQ: ZI) is the trusted go-to-market platform for businesses to find, acquire, and grow their customers. It delivers accurate, real-time data, insights, and technology to more than 35,000 companies worldwide. Businesses use ZoomInfo to increase efficiency, consolidate, technology stacks, and align their sales and marketing teams - all in one platform. ZoomInfo is a recognized leader in data privacy, with industry-leading GDPR and CCPA compliance measures and numerous data security and privacy certifications. For more information about how ZoomInfo can help businesses grow their revenue at scale, please visit www.zoominfo.com.</w:t>
      </w:r>
    </w:p>
    <w:p>
      <w:pPr>
        <w:pStyle w:val="TextBody"/>
        <w:bidi w:val="0"/>
        <w:spacing w:lineRule="auto" w:line="288" w:before="300" w:after="160"/>
        <w:jc w:val="left"/>
        <w:rPr>
          <w:rFonts w:ascii="Times New Roman;sans-serif" w:hAnsi="Times New Roman;sans-serif"/>
          <w:b/>
          <w:color w:val="000000"/>
          <w:sz w:val="22"/>
        </w:rPr>
      </w:pPr>
      <w:r>
        <w:rPr>
          <w:rFonts w:ascii="Times New Roman;sans-serif" w:hAnsi="Times New Roman;sans-serif"/>
          <w:b/>
          <w:color w:val="000000"/>
          <w:sz w:val="22"/>
        </w:rPr>
        <w:t>Website Disclosure</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ZoomInfo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In addition, you may automatically receive email alerts and other information about ZoomInfo when you enroll your email address by visiting the “Email Alerts” section of our investor relations page at https://ir.zoominfo.com/.</w:t>
      </w:r>
    </w:p>
    <w:p>
      <w:pPr>
        <w:pStyle w:val="TextBody"/>
        <w:bidi w:val="0"/>
        <w:spacing w:lineRule="auto" w:line="288" w:before="480" w:after="480"/>
        <w:jc w:val="center"/>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56" w:before="0" w:after="0"/>
        <w:jc w:val="left"/>
        <w:rPr>
          <w:rFonts w:ascii="Times New Roman;sans-serif" w:hAnsi="Times New Roman;sans-serif"/>
          <w:b/>
          <w:color w:val="000000"/>
          <w:sz w:val="22"/>
        </w:rPr>
      </w:pPr>
      <w:r>
        <w:rPr>
          <w:rFonts w:ascii="Times New Roman;sans-serif" w:hAnsi="Times New Roman;sans-serif"/>
          <w:b/>
          <w:color w:val="000000"/>
          <w:sz w:val="22"/>
        </w:rPr>
        <w:t>Investor Contact:</w:t>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Jeremiah Sisitsky</w:t>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VP of Investor Relations</w:t>
      </w:r>
    </w:p>
    <w:p>
      <w:pPr>
        <w:pStyle w:val="TextBody"/>
        <w:bidi w:val="0"/>
        <w:spacing w:lineRule="auto" w:line="256"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IR@zoominfo.com</w:t>
      </w:r>
    </w:p>
    <w:p>
      <w:pPr>
        <w:pStyle w:val="TextBody"/>
        <w:bidi w:val="0"/>
        <w:spacing w:lineRule="auto" w:line="256" w:before="300" w:after="283"/>
        <w:jc w:val="left"/>
        <w:rPr>
          <w:rFonts w:ascii="Times New Roman;sans-serif" w:hAnsi="Times New Roman;sans-serif"/>
          <w:b/>
          <w:color w:val="000000"/>
          <w:sz w:val="22"/>
        </w:rPr>
      </w:pPr>
      <w:r>
        <w:rPr>
          <w:rFonts w:ascii="Times New Roman;sans-serif" w:hAnsi="Times New Roman;sans-serif"/>
          <w:b/>
          <w:color w:val="000000"/>
          <w:sz w:val="22"/>
        </w:rPr>
        <w:t>Media Contact:</w:t>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Erin Hendrick</w:t>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Senior Director, Communications</w:t>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PR@zoominfo.com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4940"/>
                <wp:effectExtent l="0" t="0" r="0" b="0"/>
                <wp:wrapNone/>
                <wp:docPr id="9" name="Frame8"/>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99" w:type="dxa"/>
        <w:jc w:val="left"/>
        <w:tblInd w:w="0" w:type="dxa"/>
        <w:tblLayout w:type="fixed"/>
        <w:tblCellMar>
          <w:top w:w="28" w:type="dxa"/>
          <w:left w:w="28" w:type="dxa"/>
          <w:bottom w:w="28" w:type="dxa"/>
          <w:right w:w="28" w:type="dxa"/>
        </w:tblCellMar>
      </w:tblPr>
      <w:tblGrid>
        <w:gridCol w:w="1729"/>
        <w:gridCol w:w="1526"/>
        <w:gridCol w:w="1545"/>
        <w:gridCol w:w="295"/>
        <w:gridCol w:w="1093"/>
        <w:gridCol w:w="152"/>
        <w:gridCol w:w="152"/>
        <w:gridCol w:w="152"/>
        <w:gridCol w:w="152"/>
        <w:gridCol w:w="295"/>
        <w:gridCol w:w="1093"/>
        <w:gridCol w:w="215"/>
      </w:tblGrid>
      <w:tr>
        <w:trPr/>
        <w:tc>
          <w:tcPr>
            <w:tcW w:w="172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3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ZoomInfo Technologies Inc.</w:t>
            </w:r>
          </w:p>
        </w:tc>
      </w:tr>
      <w:tr>
        <w:trPr/>
        <w:tc>
          <w:tcPr>
            <w:tcW w:w="83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Condensed Consolidated Balance Sheets</w:t>
            </w:r>
          </w:p>
        </w:tc>
      </w:tr>
      <w:tr>
        <w:trPr/>
        <w:tc>
          <w:tcPr>
            <w:tcW w:w="8399"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data)</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and other assets, net of current portion</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6,753.9</w:t>
            </w:r>
            <w:r>
              <w:rPr>
                <w:color w:val="000000"/>
              </w:rPr>
              <w:t> </w:t>
            </w:r>
          </w:p>
        </w:tc>
        <w:tc>
          <w:tcPr>
            <w:tcW w:w="1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6,868.3</w:t>
            </w:r>
            <w:r>
              <w:rPr>
                <w:color w:val="000000"/>
              </w:rPr>
              <w:t> </w:t>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current portion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tax receivable agreements liability</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638.4 </w:t>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net of current portion</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agreements liability, net of current portion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4,748.0</w:t>
            </w:r>
            <w:r>
              <w:rPr>
                <w:color w:val="000000"/>
              </w:rPr>
              <w:t>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4,749.0</w:t>
            </w:r>
            <w:r>
              <w:rPr>
                <w:color w:val="000000"/>
              </w:rPr>
              <w:t> </w:t>
            </w:r>
          </w:p>
        </w:tc>
        <w:tc>
          <w:tcPr>
            <w:tcW w:w="2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2,005.9</w:t>
            </w:r>
            <w:r>
              <w:rPr>
                <w:color w:val="000000"/>
              </w:rPr>
              <w:t> </w:t>
            </w:r>
          </w:p>
        </w:tc>
        <w:tc>
          <w:tcPr>
            <w:tcW w:w="15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2,119.3</w:t>
            </w:r>
            <w:r>
              <w:rPr>
                <w:color w:val="000000"/>
              </w:rPr>
              <w:t> </w:t>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6,753.9</w:t>
            </w:r>
            <w:r>
              <w:rPr>
                <w:color w:val="000000"/>
              </w:rPr>
              <w:t> </w:t>
            </w:r>
          </w:p>
        </w:tc>
        <w:tc>
          <w:tcPr>
            <w:tcW w:w="1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6,868.3</w:t>
            </w:r>
            <w:r>
              <w:rPr>
                <w:color w:val="000000"/>
              </w:rPr>
              <w:t> </w:t>
            </w:r>
          </w:p>
        </w:tc>
        <w:tc>
          <w:tcPr>
            <w:tcW w:w="2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4940"/>
                <wp:effectExtent l="0" t="0" r="0" b="0"/>
                <wp:wrapNone/>
                <wp:docPr id="10" name="Frame9"/>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6</w:t>
                      </w:r>
                    </w:p>
                  </w:txbxContent>
                </v:textbox>
                <w10:wrap type="none"/>
              </v:rect>
            </w:pict>
          </mc:Fallback>
        </mc:AlternateContent>
      </w:r>
    </w:p>
    <w:tbl>
      <w:tblPr>
        <w:tblW w:w="7847" w:type="dxa"/>
        <w:jc w:val="left"/>
        <w:tblInd w:w="0" w:type="dxa"/>
        <w:tblLayout w:type="fixed"/>
        <w:tblCellMar>
          <w:top w:w="28" w:type="dxa"/>
          <w:left w:w="28" w:type="dxa"/>
          <w:bottom w:w="28" w:type="dxa"/>
          <w:right w:w="28" w:type="dxa"/>
        </w:tblCellMar>
      </w:tblPr>
      <w:tblGrid>
        <w:gridCol w:w="1416"/>
        <w:gridCol w:w="1248"/>
        <w:gridCol w:w="1250"/>
        <w:gridCol w:w="331"/>
        <w:gridCol w:w="970"/>
        <w:gridCol w:w="170"/>
        <w:gridCol w:w="170"/>
        <w:gridCol w:w="170"/>
        <w:gridCol w:w="170"/>
        <w:gridCol w:w="331"/>
        <w:gridCol w:w="970"/>
        <w:gridCol w:w="170"/>
        <w:gridCol w:w="109"/>
        <w:gridCol w:w="109"/>
        <w:gridCol w:w="109"/>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ZoomInfo Technologies Inc.</w:t>
            </w:r>
          </w:p>
        </w:tc>
        <w:tc>
          <w:tcPr>
            <w:tcW w:w="481" w:type="dxa"/>
            <w:gridSpan w:val="4"/>
            <w:tcBorders/>
          </w:tcPr>
          <w:p>
            <w:pPr>
              <w:pStyle w:val="TableContents"/>
              <w:bidi w:val="0"/>
              <w:spacing w:before="0" w:after="283"/>
              <w:jc w:val="left"/>
              <w:rPr>
                <w:sz w:val="4"/>
                <w:szCs w:val="4"/>
              </w:rPr>
            </w:pPr>
            <w:r>
              <w:rPr>
                <w:sz w:val="4"/>
                <w:szCs w:val="4"/>
              </w:rPr>
            </w:r>
          </w:p>
        </w:tc>
      </w:tr>
      <w:tr>
        <w:trPr/>
        <w:tc>
          <w:tcPr>
            <w:tcW w:w="736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Consolidated Statements of Operations </w:t>
            </w:r>
          </w:p>
        </w:tc>
        <w:tc>
          <w:tcPr>
            <w:tcW w:w="481" w:type="dxa"/>
            <w:gridSpan w:val="4"/>
            <w:tcBorders/>
          </w:tcPr>
          <w:p>
            <w:pPr>
              <w:pStyle w:val="TableContents"/>
              <w:bidi w:val="0"/>
              <w:spacing w:before="0" w:after="283"/>
              <w:jc w:val="left"/>
              <w:rPr>
                <w:sz w:val="4"/>
                <w:szCs w:val="4"/>
              </w:rPr>
            </w:pPr>
            <w:r>
              <w:rPr>
                <w:sz w:val="4"/>
                <w:szCs w:val="4"/>
              </w:rPr>
            </w:r>
          </w:p>
        </w:tc>
      </w:tr>
      <w:tr>
        <w:trPr/>
        <w:tc>
          <w:tcPr>
            <w:tcW w:w="736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 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service</w:t>
            </w:r>
            <w:r>
              <w:rPr>
                <w:rFonts w:ascii="Times New Roman;sans-serif" w:hAnsi="Times New Roman;sans-serif"/>
                <w:b w:val="false"/>
                <w:color w:val="000000"/>
                <w:sz w:val="13"/>
              </w:rPr>
              <w:t>(1)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transaction-related expenses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 and extinguishment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common stock:</w:t>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180" w:after="18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Amounts include equity-based compensation expense, as follows:</w:t>
      </w:r>
    </w:p>
    <w:tbl>
      <w:tblPr>
        <w:tblW w:w="6597" w:type="dxa"/>
        <w:jc w:val="left"/>
        <w:tblInd w:w="0" w:type="dxa"/>
        <w:tblLayout w:type="fixed"/>
        <w:tblCellMar>
          <w:top w:w="28" w:type="dxa"/>
          <w:left w:w="28" w:type="dxa"/>
          <w:bottom w:w="28" w:type="dxa"/>
          <w:right w:w="28" w:type="dxa"/>
        </w:tblCellMar>
      </w:tblPr>
      <w:tblGrid>
        <w:gridCol w:w="1283"/>
        <w:gridCol w:w="1128"/>
        <w:gridCol w:w="1129"/>
        <w:gridCol w:w="270"/>
        <w:gridCol w:w="643"/>
        <w:gridCol w:w="150"/>
        <w:gridCol w:w="150"/>
        <w:gridCol w:w="150"/>
        <w:gridCol w:w="150"/>
        <w:gridCol w:w="270"/>
        <w:gridCol w:w="643"/>
        <w:gridCol w:w="150"/>
        <w:gridCol w:w="109"/>
        <w:gridCol w:w="109"/>
        <w:gridCol w:w="109"/>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equity-based compensation expense</w:t>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4940"/>
                <wp:effectExtent l="0" t="0" r="0" b="0"/>
                <wp:wrapNone/>
                <wp:docPr id="11" name="Frame10"/>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33"/>
        <w:gridCol w:w="2133"/>
        <w:gridCol w:w="2147"/>
        <w:gridCol w:w="316"/>
        <w:gridCol w:w="1040"/>
        <w:gridCol w:w="163"/>
        <w:gridCol w:w="163"/>
        <w:gridCol w:w="163"/>
        <w:gridCol w:w="163"/>
        <w:gridCol w:w="316"/>
        <w:gridCol w:w="927"/>
        <w:gridCol w:w="241"/>
      </w:tblGrid>
      <w:tr>
        <w:trPr/>
        <w:tc>
          <w:tcPr>
            <w:tcW w:w="243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ZoomInfo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unaudited)</w:t>
            </w:r>
          </w:p>
        </w:tc>
      </w:tr>
      <w:tr>
        <w:trPr/>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5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issuance costs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commissions costs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 and extinguishment</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remeasurement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 expense</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and other assets, net of current portion</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short-term investments</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other assets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deferred consideration</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and modification costs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payments</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4940"/>
                <wp:effectExtent l="0" t="0" r="0" b="0"/>
                <wp:wrapNone/>
                <wp:docPr id="12" name="Frame11"/>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59"/>
        <w:gridCol w:w="2602"/>
        <w:gridCol w:w="2609"/>
        <w:gridCol w:w="211"/>
        <w:gridCol w:w="511"/>
        <w:gridCol w:w="109"/>
        <w:gridCol w:w="109"/>
        <w:gridCol w:w="109"/>
        <w:gridCol w:w="109"/>
        <w:gridCol w:w="211"/>
        <w:gridCol w:w="511"/>
        <w:gridCol w:w="155"/>
      </w:tblGrid>
      <w:tr>
        <w:trPr/>
        <w:tc>
          <w:tcPr>
            <w:tcW w:w="295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in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investing and financing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81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in accounts payable and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included in capitalized software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4940"/>
                <wp:effectExtent l="0" t="0" r="0" b="0"/>
                <wp:wrapNone/>
                <wp:docPr id="13" name="Frame12"/>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18"/>
        <w:gridCol w:w="1302"/>
        <w:gridCol w:w="1251"/>
        <w:gridCol w:w="522"/>
        <w:gridCol w:w="1530"/>
        <w:gridCol w:w="269"/>
        <w:gridCol w:w="269"/>
        <w:gridCol w:w="269"/>
        <w:gridCol w:w="269"/>
        <w:gridCol w:w="522"/>
        <w:gridCol w:w="1530"/>
        <w:gridCol w:w="269"/>
        <w:gridCol w:w="109"/>
        <w:gridCol w:w="109"/>
        <w:gridCol w:w="109"/>
        <w:gridCol w:w="158"/>
      </w:tblGrid>
      <w:tr>
        <w:trPr/>
        <w:tc>
          <w:tcPr>
            <w:tcW w:w="171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ZoomInfo Technologies Inc.</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Reconciliation of GAAP Cash Flow from Operations to Unlevered Free Cash Flow</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unaudited)</w:t>
            </w:r>
          </w:p>
        </w:tc>
        <w:tc>
          <w:tcPr>
            <w:tcW w:w="485" w:type="dxa"/>
            <w:gridSpan w:val="4"/>
            <w:tcBorders/>
          </w:tcPr>
          <w:p>
            <w:pPr>
              <w:pStyle w:val="TableContents"/>
              <w:bidi w:val="0"/>
              <w:spacing w:before="0" w:after="283"/>
              <w:jc w:val="left"/>
              <w:rPr>
                <w:sz w:val="4"/>
                <w:szCs w:val="4"/>
              </w:rPr>
            </w:pPr>
            <w:r>
              <w:rPr>
                <w:sz w:val="4"/>
                <w:szCs w:val="4"/>
              </w:rPr>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 (GAAP)</w:t>
            </w:r>
          </w:p>
        </w:tc>
        <w:tc>
          <w:tcPr>
            <w:tcW w:w="5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other assets</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in cash</w:t>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transaction-related expenses paid in cash</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 and acquisition-related compensation paid in cash</w:t>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Litigation settlement payments</w:t>
            </w:r>
            <w:r>
              <w:rPr>
                <w:rFonts w:ascii="Times New Roman;sans-serif" w:hAnsi="Times New Roman;sans-serif"/>
                <w:b w:val="false"/>
                <w:color w:val="000000"/>
                <w:sz w:val="13"/>
              </w:rPr>
              <w:t>(1)</w:t>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Unlevered Free Cash Flow (Non-GAAP)</w:t>
            </w:r>
          </w:p>
        </w:tc>
        <w:tc>
          <w:tcPr>
            <w:tcW w:w="5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payments associated with certain legal settlements. For the three months ended March 31, 2024, these payments related to legal costs incurred due to the Class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4940"/>
                <wp:effectExtent l="0" t="0" r="0" b="0"/>
                <wp:wrapNone/>
                <wp:docPr id="14" name="Frame13"/>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37"/>
        <w:gridCol w:w="1257"/>
        <w:gridCol w:w="1191"/>
        <w:gridCol w:w="756"/>
        <w:gridCol w:w="455"/>
        <w:gridCol w:w="972"/>
        <w:gridCol w:w="389"/>
        <w:gridCol w:w="389"/>
        <w:gridCol w:w="389"/>
        <w:gridCol w:w="756"/>
        <w:gridCol w:w="455"/>
        <w:gridCol w:w="972"/>
        <w:gridCol w:w="109"/>
        <w:gridCol w:w="109"/>
        <w:gridCol w:w="109"/>
        <w:gridCol w:w="160"/>
      </w:tblGrid>
      <w:tr>
        <w:trPr/>
        <w:tc>
          <w:tcPr>
            <w:tcW w:w="173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ZoomInfo Technologies Inc.</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Reconciliation of GAAP Income from Operations to Non-GAAP Adjusted Operating Income</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unaudited)</w:t>
            </w:r>
          </w:p>
        </w:tc>
        <w:tc>
          <w:tcPr>
            <w:tcW w:w="487" w:type="dxa"/>
            <w:gridSpan w:val="4"/>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 (GAAP)</w:t>
            </w:r>
          </w:p>
        </w:tc>
        <w:tc>
          <w:tcPr>
            <w:tcW w:w="7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Impact of fair value adjustments to acquired unearned revenue</w:t>
            </w:r>
            <w:r>
              <w:rPr>
                <w:rFonts w:ascii="Times New Roman;sans-serif" w:hAnsi="Times New Roman;sans-serif"/>
                <w:b w:val="false"/>
                <w:color w:val="000000"/>
                <w:sz w:val="13"/>
              </w:rPr>
              <w:t>(1)</w:t>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transaction-related expenses</w:t>
            </w:r>
            <w:r>
              <w:rPr>
                <w:rFonts w:ascii="Times New Roman;sans-serif" w:hAnsi="Times New Roman;sans-serif"/>
                <w:b w:val="false"/>
                <w:color w:val="000000"/>
                <w:sz w:val="13"/>
              </w:rPr>
              <w:t>(2)</w:t>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Litigation settlement</w:t>
            </w:r>
            <w:r>
              <w:rPr>
                <w:rFonts w:ascii="Times New Roman;sans-serif" w:hAnsi="Times New Roman;sans-serif"/>
                <w:b w:val="false"/>
                <w:color w:val="000000"/>
                <w:sz w:val="13"/>
              </w:rPr>
              <w:t>(3)</w:t>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Operating Income (Non-GAAP)</w:t>
            </w:r>
          </w:p>
        </w:tc>
        <w:tc>
          <w:tcPr>
            <w:tcW w:w="7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(GAAP)</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fair value adjustments to acquired unearned revenue</w:t>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for adjusted operating margin calculation (Non-GAAP)</w:t>
            </w:r>
          </w:p>
        </w:tc>
        <w:tc>
          <w:tcPr>
            <w:tcW w:w="7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Adjusted Operating Income Margin (Non-GAAP)</w:t>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9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9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costs directly associated with acquisition or disposal activities, including employee severance and termination benefits, contract termination fees and penalties, and other exit or disposal costs. For the three months ended March 31, 2024, this expense is primarily related to the accelerated expense of obsolete software purchase commitments. For the three months ended March 31, 2023, this expense is primarily related to costs pursuant to the 2021 and 2022 acquisitions.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charges associated with certain legal settlements. For the three months ended March 31, 2024, these charges related to costs incurred due to the Class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4940"/>
                <wp:effectExtent l="0" t="0" r="0" b="0"/>
                <wp:wrapNone/>
                <wp:docPr id="15" name="Frame14"/>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70"/>
        <w:gridCol w:w="1506"/>
        <w:gridCol w:w="1426"/>
        <w:gridCol w:w="485"/>
        <w:gridCol w:w="1419"/>
        <w:gridCol w:w="250"/>
        <w:gridCol w:w="250"/>
        <w:gridCol w:w="250"/>
        <w:gridCol w:w="250"/>
        <w:gridCol w:w="485"/>
        <w:gridCol w:w="1177"/>
        <w:gridCol w:w="250"/>
        <w:gridCol w:w="109"/>
        <w:gridCol w:w="109"/>
        <w:gridCol w:w="109"/>
        <w:gridCol w:w="160"/>
      </w:tblGrid>
      <w:tr>
        <w:trPr/>
        <w:tc>
          <w:tcPr>
            <w:tcW w:w="197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ZoomInfo Technologies Inc.</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Reconciliation of GAAP Net Income to Non-GAAP Adjusted Net Income</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amounts; unaudited)</w:t>
            </w:r>
          </w:p>
        </w:tc>
        <w:tc>
          <w:tcPr>
            <w:tcW w:w="487" w:type="dxa"/>
            <w:gridSpan w:val="4"/>
            <w:tcBorders/>
          </w:tcPr>
          <w:p>
            <w:pPr>
              <w:pStyle w:val="TableContents"/>
              <w:bidi w:val="0"/>
              <w:spacing w:before="0" w:after="283"/>
              <w:jc w:val="left"/>
              <w:rPr>
                <w:sz w:val="4"/>
                <w:szCs w:val="4"/>
              </w:rPr>
            </w:pPr>
            <w:r>
              <w:rPr>
                <w:sz w:val="4"/>
                <w:szCs w:val="4"/>
              </w:rPr>
            </w:r>
          </w:p>
        </w:tc>
      </w:tr>
      <w:tr>
        <w:trPr/>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(GAAP)</w:t>
            </w:r>
          </w:p>
        </w:tc>
        <w:tc>
          <w:tcPr>
            <w:tcW w:w="4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Impact of fair value adjustments to acquired unearned revenue</w:t>
            </w:r>
            <w:r>
              <w:rPr>
                <w:rFonts w:ascii="Times New Roman;sans-serif" w:hAnsi="Times New Roman;sans-serif"/>
                <w:b w:val="false"/>
                <w:color w:val="000000"/>
                <w:sz w:val="13"/>
              </w:rPr>
              <w:t>(1)</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 and extinguishment</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transaction-related expenses</w:t>
            </w:r>
            <w:r>
              <w:rPr>
                <w:rFonts w:ascii="Times New Roman;sans-serif" w:hAnsi="Times New Roman;sans-serif"/>
                <w:b w:val="false"/>
                <w:color w:val="000000"/>
                <w:sz w:val="13"/>
              </w:rPr>
              <w:t>(2)</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Litigation settlement</w:t>
            </w:r>
            <w:r>
              <w:rPr>
                <w:rFonts w:ascii="Times New Roman;sans-serif" w:hAnsi="Times New Roman;sans-serif"/>
                <w:b w:val="false"/>
                <w:color w:val="000000"/>
                <w:sz w:val="13"/>
              </w:rPr>
              <w:t>(3)</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 liability remeasurement expense (benefit)</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impacts of adjustments to net income</w:t>
            </w:r>
            <w:r>
              <w:rPr>
                <w:rFonts w:ascii="Times New Roman;sans-serif" w:hAnsi="Times New Roman;sans-serif"/>
                <w:b w:val="false"/>
                <w:color w:val="000000"/>
                <w:sz w:val="13"/>
              </w:rPr>
              <w:t>(4)</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(Non-GAAP)</w:t>
            </w:r>
          </w:p>
        </w:tc>
        <w:tc>
          <w:tcPr>
            <w:tcW w:w="4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Per Share (GAAP)</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fair value adjustments to acquired unearned revenue per diluted share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modification and extinguishment per diluted share</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technology per diluted share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acquired intangibles per diluted share</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 per diluted share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transaction-related expenses per diluted share</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9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 per diluted share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 liability remeasurement expense (benefit) per diluted share</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impacts of adjustments to net income per diluted share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Per Share (Non-GAAP)</w:t>
            </w:r>
          </w:p>
        </w:tc>
        <w:tc>
          <w:tcPr>
            <w:tcW w:w="4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Shares for Adjusted Net Income Per Share</w:t>
            </w:r>
            <w:r>
              <w:rPr>
                <w:rFonts w:ascii="Times New Roman;sans-serif" w:hAnsi="Times New Roman;sans-serif"/>
                <w:b w:val="false"/>
                <w:color w:val="000000"/>
                <w:sz w:val="13"/>
              </w:rPr>
              <w:t>(5)</w:t>
            </w:r>
          </w:p>
        </w:tc>
        <w:tc>
          <w:tcPr>
            <w:tcW w:w="19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costs directly associated with acquisition or disposal activities, including employee severance and termination benefits, contract termination fees and penalties, and other exit or disposal costs. For the three months ended March 31, 2024, this expense is primarily related to the accelerated expense of obsolete software purchase commitments. For the three months ended March 31, 2023, this expense is primarily related to costs pursuant to the 2021 and 2022 acquisitions.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charges associated with certain legal settlements. For the three months ended March 31, 2024, these charges related to costs incurred due to the Class Actions.</w:t>
      </w:r>
    </w:p>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(4)Represents tax expense associated with GAAP Net income excluded from Adjusted Net Income (Non-GAAP). This includes the tax effects associated with equity compensation, remeasurement of deferred tax assets for the effect of state law changes, and TRA liability remeasurement.</w:t>
      </w:r>
    </w:p>
    <w:p>
      <w:pPr>
        <w:pStyle w:val="TextBody"/>
        <w:bidi w:val="0"/>
        <w:spacing w:lineRule="auto" w:line="288"/>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4940"/>
                <wp:effectExtent l="0" t="0" r="0" b="0"/>
                <wp:wrapNone/>
                <wp:docPr id="16" name="Frame15"/>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4212</Words>
  <Characters>24476</Characters>
  <CharactersWithSpaces>28223</CharactersWithSpaces>
  <Paragraphs>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