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CG Subsidiary Holdings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
        <w:spacing w:after="0" w:line="395" w:lineRule="auto"/>
        <w:rPr>
          <w:sz w:val="20"/>
          <w:szCs w:val="20"/>
          <w:color w:val="auto"/>
        </w:rPr>
      </w:pPr>
      <w:r>
        <w:rPr>
          <w:rFonts w:ascii="Arial" w:cs="Arial" w:eastAsia="Arial" w:hAnsi="Arial"/>
          <w:sz w:val="16"/>
          <w:szCs w:val="16"/>
          <w:color w:val="0000FF"/>
        </w:rPr>
        <w:t>C/O THE CARLYLE GROUP, 1001 PENNSYLVANIA AVE. NW, SUITE 220 SOUTH</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WASHINGTON DC</w:t>
            </w:r>
          </w:p>
        </w:tc>
        <w:tc>
          <w:tcPr>
            <w:tcW w:w="1600" w:type="dxa"/>
            <w:vAlign w:val="bottom"/>
          </w:tcPr>
          <w:p>
            <w:pPr>
              <w:ind w:left="40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ZoomInfo Technologies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500" w:type="dxa"/>
            <w:vAlign w:val="bottom"/>
            <w:gridSpan w:val="3"/>
          </w:tcPr>
          <w:p>
            <w:pPr>
              <w:ind w:left="80"/>
              <w:spacing w:after="0"/>
              <w:rPr>
                <w:sz w:val="20"/>
                <w:szCs w:val="20"/>
                <w:color w:val="auto"/>
              </w:rPr>
            </w:pPr>
            <w:r>
              <w:rPr>
                <w:rFonts w:ascii="Arial" w:cs="Arial" w:eastAsia="Arial" w:hAnsi="Arial"/>
                <w:sz w:val="17"/>
                <w:szCs w:val="17"/>
                <w:color w:val="0000FF"/>
              </w:rPr>
              <w:t>11/05/2021</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52"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100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1000" w:type="dxa"/>
            <w:vAlign w:val="bottom"/>
            <w:gridSpan w:val="3"/>
            <w:vMerge w:val="continue"/>
          </w:tcPr>
          <w:p>
            <w:pPr>
              <w:spacing w:after="0"/>
              <w:rPr>
                <w:sz w:val="6"/>
                <w:szCs w:val="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11/05/2021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Pr>
          <w:p>
            <w:pPr>
              <w:spacing w:after="0"/>
              <w:rPr>
                <w:sz w:val="22"/>
                <w:szCs w:val="22"/>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4"/>
              </w:rPr>
              <w:t>122,337</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vMerge w:val="restart"/>
          </w:tcPr>
          <w:p>
            <w:pPr>
              <w:ind w:left="1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72.3188</w:t>
            </w:r>
            <w:r>
              <w:rPr>
                <w:rFonts w:ascii="Arial" w:cs="Arial" w:eastAsia="Arial" w:hAnsi="Arial"/>
                <w:sz w:val="22"/>
                <w:szCs w:val="22"/>
                <w:color w:val="008000"/>
                <w:w w:val="87"/>
                <w:vertAlign w:val="superscript"/>
              </w:rPr>
              <w:t>(2)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53,513,127</w:t>
            </w:r>
          </w:p>
        </w:tc>
        <w:tc>
          <w:tcPr>
            <w:tcW w:w="34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91"/>
              </w:rPr>
              <w:t>11/05/2021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4"/>
              </w:rPr>
              <w:t>471,762</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73.1942</w:t>
            </w:r>
            <w:r>
              <w:rPr>
                <w:rFonts w:ascii="Arial" w:cs="Arial" w:eastAsia="Arial" w:hAnsi="Arial"/>
                <w:sz w:val="22"/>
                <w:szCs w:val="22"/>
                <w:color w:val="008000"/>
                <w:w w:val="87"/>
                <w:vertAlign w:val="superscript"/>
              </w:rPr>
              <w:t>(5)</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53,041,365</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91"/>
              </w:rPr>
              <w:t>11/05/2021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6,700</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73.8369</w:t>
            </w:r>
            <w:r>
              <w:rPr>
                <w:rFonts w:ascii="Arial" w:cs="Arial" w:eastAsia="Arial" w:hAnsi="Arial"/>
                <w:sz w:val="22"/>
                <w:szCs w:val="22"/>
                <w:color w:val="008000"/>
                <w:w w:val="87"/>
                <w:vertAlign w:val="superscript"/>
              </w:rPr>
              <w:t>(6)</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53,034,665</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91"/>
              </w:rPr>
              <w:t>11/08/2021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4"/>
              </w:rPr>
              <w:t>127,391</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72.9415</w:t>
            </w:r>
            <w:r>
              <w:rPr>
                <w:rFonts w:ascii="Arial" w:cs="Arial" w:eastAsia="Arial" w:hAnsi="Arial"/>
                <w:sz w:val="22"/>
                <w:szCs w:val="22"/>
                <w:color w:val="008000"/>
                <w:w w:val="87"/>
                <w:vertAlign w:val="superscript"/>
              </w:rPr>
              <w:t>(7)</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52,907,274</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91"/>
              </w:rPr>
              <w:t>11/08/2021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4"/>
              </w:rPr>
              <w:t>226,423</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73.8257</w:t>
            </w:r>
            <w:r>
              <w:rPr>
                <w:rFonts w:ascii="Arial" w:cs="Arial" w:eastAsia="Arial" w:hAnsi="Arial"/>
                <w:sz w:val="22"/>
                <w:szCs w:val="22"/>
                <w:color w:val="008000"/>
                <w:w w:val="87"/>
                <w:vertAlign w:val="superscript"/>
              </w:rPr>
              <w:t>(8)</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52,680,851</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91"/>
              </w:rPr>
              <w:t>11/08/2021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5,878</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74.1884</w:t>
            </w:r>
            <w:r>
              <w:rPr>
                <w:rFonts w:ascii="Arial" w:cs="Arial" w:eastAsia="Arial" w:hAnsi="Arial"/>
                <w:sz w:val="22"/>
                <w:szCs w:val="22"/>
                <w:color w:val="008000"/>
                <w:w w:val="87"/>
                <w:vertAlign w:val="superscript"/>
              </w:rPr>
              <w:t>(9)</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52,674,973</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60" w:type="dxa"/>
            <w:vAlign w:val="bottom"/>
            <w:gridSpan w:val="17"/>
          </w:tcPr>
          <w:p>
            <w:pPr>
              <w:jc w:val="center"/>
              <w:ind w:left="41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00" w:type="dxa"/>
            <w:vAlign w:val="bottom"/>
            <w:gridSpan w:val="13"/>
          </w:tcPr>
          <w:p>
            <w:pPr>
              <w:jc w:val="center"/>
              <w:ind w:left="24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CG Subsidiary Holdings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Arial" w:cs="Arial" w:eastAsia="Arial" w:hAnsi="Arial"/>
                <w:sz w:val="17"/>
                <w:szCs w:val="17"/>
                <w:color w:val="0000FF"/>
                <w:w w:val="96"/>
              </w:rPr>
              <w:t>C/O THE CARLYLE GROUP, 1001</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PENNSYLVANIA AVE. NW, SUITE 220 SOUTH</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7"/>
                <w:szCs w:val="17"/>
                <w:color w:val="0000FF"/>
              </w:rPr>
              <w:t>WASHINGTON</w:t>
            </w:r>
          </w:p>
        </w:tc>
        <w:tc>
          <w:tcPr>
            <w:tcW w:w="1180" w:type="dxa"/>
            <w:vAlign w:val="bottom"/>
          </w:tcPr>
          <w:p>
            <w:pPr>
              <w:spacing w:after="0"/>
              <w:rPr>
                <w:sz w:val="20"/>
                <w:szCs w:val="20"/>
                <w:color w:val="auto"/>
              </w:rPr>
            </w:pPr>
            <w:r>
              <w:rPr>
                <w:rFonts w:ascii="Arial" w:cs="Arial" w:eastAsia="Arial" w:hAnsi="Arial"/>
                <w:sz w:val="17"/>
                <w:szCs w:val="17"/>
                <w:color w:val="0000FF"/>
              </w:rPr>
              <w:t>DC</w:t>
            </w:r>
          </w:p>
        </w:tc>
        <w:tc>
          <w:tcPr>
            <w:tcW w:w="1080" w:type="dxa"/>
            <w:vAlign w:val="bottom"/>
            <w:gridSpan w:val="2"/>
          </w:tcPr>
          <w:p>
            <w:pPr>
              <w:ind w:left="220"/>
              <w:spacing w:after="0"/>
              <w:rPr>
                <w:sz w:val="20"/>
                <w:szCs w:val="20"/>
                <w:color w:val="auto"/>
              </w:rPr>
            </w:pPr>
            <w:r>
              <w:rPr>
                <w:rFonts w:ascii="Arial" w:cs="Arial" w:eastAsia="Arial" w:hAnsi="Arial"/>
                <w:sz w:val="17"/>
                <w:szCs w:val="17"/>
                <w:color w:val="0000FF"/>
                <w:w w:val="92"/>
              </w:rPr>
              <w:t>20004-2505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spacing w:after="0" w:line="221" w:lineRule="exact"/>
              <w:rPr>
                <w:rFonts w:ascii="Arial" w:cs="Arial" w:eastAsia="Arial" w:hAnsi="Arial"/>
                <w:sz w:val="21"/>
                <w:szCs w:val="21"/>
                <w:color w:val="0000EE"/>
                <w:w w:val="96"/>
              </w:rPr>
            </w:pPr>
            <w:hyperlink r:id="rId14">
              <w:r>
                <w:rPr>
                  <w:rFonts w:ascii="Arial" w:cs="Arial" w:eastAsia="Arial" w:hAnsi="Arial"/>
                  <w:sz w:val="21"/>
                  <w:szCs w:val="21"/>
                  <w:color w:val="0000EE"/>
                  <w:w w:val="96"/>
                </w:rPr>
                <w:t>TC Group, LLC</w:t>
              </w:r>
            </w:hyperlink>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52"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THE CARLYLE GROUP, 1001</w:t>
      </w:r>
    </w:p>
    <w:p>
      <w:pPr>
        <w:sectPr>
          <w:pgSz w:w="11900" w:h="16852"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895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9895840"/>
                    </a:xfrm>
                    <a:prstGeom prst="rect">
                      <a:avLst/>
                    </a:prstGeom>
                    <a:noFill/>
                  </pic:spPr>
                </pic:pic>
              </a:graphicData>
            </a:graphic>
          </wp:anchor>
        </w:drawing>
        <w:t>PENNSYLVANIA AVE., N.W., SUITE 220 SOUTH</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DC</w:t>
            </w:r>
          </w:p>
        </w:tc>
        <w:tc>
          <w:tcPr>
            <w:tcW w:w="1500" w:type="dxa"/>
            <w:vAlign w:val="bottom"/>
          </w:tcPr>
          <w:p>
            <w:pPr>
              <w:ind w:left="14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TC Group Sub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DC</w:t>
            </w:r>
          </w:p>
        </w:tc>
        <w:tc>
          <w:tcPr>
            <w:tcW w:w="1500" w:type="dxa"/>
            <w:vAlign w:val="bottom"/>
          </w:tcPr>
          <w:p>
            <w:pPr>
              <w:ind w:left="14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TC Group VI S1,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DC</w:t>
            </w:r>
          </w:p>
        </w:tc>
        <w:tc>
          <w:tcPr>
            <w:tcW w:w="1500" w:type="dxa"/>
            <w:vAlign w:val="bottom"/>
          </w:tcPr>
          <w:p>
            <w:pPr>
              <w:ind w:left="14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TC Group VI S1,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020" w:type="dxa"/>
            <w:vAlign w:val="bottom"/>
          </w:tcPr>
          <w:p>
            <w:pPr>
              <w:ind w:left="120"/>
              <w:spacing w:after="0"/>
              <w:rPr>
                <w:sz w:val="20"/>
                <w:szCs w:val="20"/>
                <w:color w:val="auto"/>
              </w:rPr>
            </w:pPr>
            <w:r>
              <w:rPr>
                <w:rFonts w:ascii="Arial" w:cs="Arial" w:eastAsia="Arial" w:hAnsi="Arial"/>
                <w:sz w:val="17"/>
                <w:szCs w:val="17"/>
                <w:color w:val="0000FF"/>
              </w:rPr>
              <w:t>DC</w:t>
            </w:r>
          </w:p>
        </w:tc>
        <w:tc>
          <w:tcPr>
            <w:tcW w:w="1860" w:type="dxa"/>
            <w:vAlign w:val="bottom"/>
          </w:tcPr>
          <w:p>
            <w:pPr>
              <w:ind w:left="50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Carlyle Partners VI Evergreen Holdings, L.P.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7"/>
                <w:szCs w:val="17"/>
                <w:color w:val="0000FF"/>
              </w:rPr>
              <w:t>C/O THE CARLYLE GROUP, 1001</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4"/>
          </w:tcPr>
          <w:p>
            <w:pPr>
              <w:spacing w:after="0"/>
              <w:rPr>
                <w:sz w:val="20"/>
                <w:szCs w:val="20"/>
                <w:color w:val="auto"/>
              </w:rPr>
            </w:pPr>
            <w:r>
              <w:rPr>
                <w:rFonts w:ascii="Arial" w:cs="Arial" w:eastAsia="Arial" w:hAnsi="Arial"/>
                <w:sz w:val="17"/>
                <w:szCs w:val="17"/>
                <w:color w:val="0000FF"/>
              </w:rPr>
              <w:t>PENNSYLVANIA AVE., N.W., SUITE 220 SOUTH</w:t>
            </w: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460" w:type="dxa"/>
            <w:vAlign w:val="bottom"/>
          </w:tcPr>
          <w:p>
            <w:pPr>
              <w:ind w:left="120"/>
              <w:spacing w:after="0"/>
              <w:rPr>
                <w:sz w:val="20"/>
                <w:szCs w:val="20"/>
                <w:color w:val="auto"/>
              </w:rPr>
            </w:pPr>
            <w:r>
              <w:rPr>
                <w:rFonts w:ascii="Arial" w:cs="Arial" w:eastAsia="Arial" w:hAnsi="Arial"/>
                <w:sz w:val="17"/>
                <w:szCs w:val="17"/>
                <w:color w:val="0000FF"/>
              </w:rPr>
              <w:t>DC</w:t>
            </w:r>
          </w:p>
        </w:tc>
        <w:tc>
          <w:tcPr>
            <w:tcW w:w="1420" w:type="dxa"/>
            <w:vAlign w:val="bottom"/>
          </w:tcPr>
          <w:p>
            <w:pPr>
              <w:ind w:left="6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4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40" w:type="dxa"/>
            <w:vAlign w:val="bottom"/>
            <w:tcBorders>
              <w:bottom w:val="single" w:sz="8" w:color="0000EE"/>
            </w:tcBorders>
            <w:gridSpan w:val="2"/>
          </w:tcPr>
          <w:p>
            <w:pPr>
              <w:spacing w:after="0" w:line="221" w:lineRule="exact"/>
              <w:rPr>
                <w:rFonts w:ascii="Arial" w:cs="Arial" w:eastAsia="Arial" w:hAnsi="Arial"/>
                <w:sz w:val="21"/>
                <w:szCs w:val="21"/>
                <w:color w:val="0000EE"/>
                <w:w w:val="92"/>
              </w:rPr>
            </w:pPr>
            <w:hyperlink r:id="rId21">
              <w:r>
                <w:rPr>
                  <w:rFonts w:ascii="Arial" w:cs="Arial" w:eastAsia="Arial" w:hAnsi="Arial"/>
                  <w:sz w:val="21"/>
                  <w:szCs w:val="21"/>
                  <w:color w:val="0000EE"/>
                  <w:w w:val="92"/>
                </w:rPr>
                <w:t>CP VI Evergreen Holdings,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7"/>
                <w:szCs w:val="17"/>
                <w:color w:val="0000FF"/>
              </w:rPr>
              <w:t>C/O THE CARLYLE GROUP, 1001</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4"/>
          </w:tcPr>
          <w:p>
            <w:pPr>
              <w:spacing w:after="0"/>
              <w:rPr>
                <w:sz w:val="20"/>
                <w:szCs w:val="20"/>
                <w:color w:val="auto"/>
              </w:rPr>
            </w:pPr>
            <w:r>
              <w:rPr>
                <w:rFonts w:ascii="Arial" w:cs="Arial" w:eastAsia="Arial" w:hAnsi="Arial"/>
                <w:sz w:val="17"/>
                <w:szCs w:val="17"/>
                <w:color w:val="0000FF"/>
              </w:rPr>
              <w:t>PENNSYLVANIA AVE., N.W., SUITE 220 SOUTH</w:t>
            </w: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460" w:type="dxa"/>
            <w:vAlign w:val="bottom"/>
          </w:tcPr>
          <w:p>
            <w:pPr>
              <w:ind w:left="120"/>
              <w:spacing w:after="0"/>
              <w:rPr>
                <w:sz w:val="20"/>
                <w:szCs w:val="20"/>
                <w:color w:val="auto"/>
              </w:rPr>
            </w:pPr>
            <w:r>
              <w:rPr>
                <w:rFonts w:ascii="Arial" w:cs="Arial" w:eastAsia="Arial" w:hAnsi="Arial"/>
                <w:sz w:val="17"/>
                <w:szCs w:val="17"/>
                <w:color w:val="0000FF"/>
              </w:rPr>
              <w:t>DC</w:t>
            </w:r>
          </w:p>
        </w:tc>
        <w:tc>
          <w:tcPr>
            <w:tcW w:w="1420" w:type="dxa"/>
            <w:vAlign w:val="bottom"/>
          </w:tcPr>
          <w:p>
            <w:pPr>
              <w:ind w:left="6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50"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$71.74 to $72.735.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0840"/>
          </w:cols>
          <w:pgMar w:left="480" w:top="158" w:right="579" w:bottom="0" w:gutter="0" w:footer="0" w:header="0"/>
        </w:sectPr>
      </w:pPr>
    </w:p>
    <w:bookmarkStart w:id="2" w:name="page3"/>
    <w:bookmarkEnd w:id="2"/>
    <w:p>
      <w:pPr>
        <w:ind w:right="80"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Following the transactions reported herein, includes (i) 26,410,556 shares of Class A Common Stock held of record by CP VI Evergreen Holdings, L.P. ("CP VI Evergreen") and (ii) 26,264,417 shares of Class A Common Stock held of record by Carlyle Partners VI Evergreen Holdings, L.P. ("Carlyle Evergreen").</w:t>
      </w:r>
    </w:p>
    <w:p>
      <w:pPr>
        <w:spacing w:after="0" w:line="15" w:lineRule="exact"/>
        <w:rPr>
          <w:rFonts w:ascii="Arial" w:cs="Arial" w:eastAsia="Arial" w:hAnsi="Arial"/>
          <w:sz w:val="13"/>
          <w:szCs w:val="13"/>
          <w:color w:val="008000"/>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Carlyle Group Inc., which is a publicly traded entity listed on the Nasdaq, is the sole shareholder of Carlyle Holdings I GP Inc., which is the sole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w:t>
      </w:r>
    </w:p>
    <w:p>
      <w:pPr>
        <w:spacing w:after="0" w:line="29" w:lineRule="exact"/>
        <w:rPr>
          <w:rFonts w:ascii="Arial" w:cs="Arial" w:eastAsia="Arial" w:hAnsi="Arial"/>
          <w:sz w:val="13"/>
          <w:szCs w:val="13"/>
          <w:color w:val="008000"/>
        </w:rPr>
      </w:pPr>
    </w:p>
    <w:p>
      <w:pPr>
        <w:ind w:right="4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$72.74 to $73.73.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4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$73.74 to $73.90.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4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$72.18 to $73.17.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4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$73.18 to $74.175.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4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$74.18 to $74.30.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008000"/>
        </w:rPr>
        <w:t>Due to the limitations of the electronic filing system, each of The Carlyle Group Inc., Carlyle Holdings I GP Inc., Carlyle Holdings I GP Sub L.L.C., and Carlyle Holdings I L.P. are filing a separate Form 4.</w:t>
      </w:r>
    </w:p>
    <w:p>
      <w:pPr>
        <w:sectPr>
          <w:pgSz w:w="11900" w:h="16838" w:orient="portrait"/>
          <w:cols w:equalWidth="0" w:num="1">
            <w:col w:w="10860"/>
          </w:cols>
          <w:pgMar w:left="500" w:top="131" w:right="539" w:bottom="1440" w:gutter="0" w:footer="0" w:header="0"/>
        </w:sectPr>
      </w:pP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CG 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1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1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Frederick,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6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Curtis L. Buser,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1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TC Group,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98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Anne Frederick,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64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TC Group Sub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Group,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66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8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Frederick,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Curtis L. Buser,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1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TC Group VI S1,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95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01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TC Group VI S1,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081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Carlyle Partners VI Evergreen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328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Holdings, L.P., By: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201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VI S1,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82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/s/ 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68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520" w:lineRule="exact"/>
        <w:rPr>
          <w:sz w:val="20"/>
          <w:szCs w:val="20"/>
          <w:color w:val="auto"/>
        </w:rPr>
      </w:pPr>
    </w:p>
    <w:p>
      <w:pPr>
        <w:sectPr>
          <w:pgSz w:w="11900" w:h="16838" w:orient="portrait"/>
          <w:cols w:equalWidth="0" w:num="2">
            <w:col w:w="8680" w:space="60"/>
            <w:col w:w="2120"/>
          </w:cols>
          <w:pgMar w:left="500" w:top="131" w:right="539" w:bottom="1440" w:gutter="0" w:footer="0" w:header="0"/>
          <w:type w:val="continuous"/>
        </w:sectPr>
      </w:pPr>
    </w:p>
    <w:p>
      <w:pPr>
        <w:ind w:left="6540"/>
        <w:spacing w:after="0"/>
        <w:rPr>
          <w:sz w:val="20"/>
          <w:szCs w:val="20"/>
          <w:color w:val="auto"/>
        </w:rPr>
      </w:pPr>
      <w:r>
        <w:rPr>
          <w:rFonts w:ascii="Arial" w:cs="Arial" w:eastAsia="Arial" w:hAnsi="Arial"/>
          <w:sz w:val="17"/>
          <w:szCs w:val="17"/>
          <w:color w:val="0000FF"/>
        </w:rPr>
        <w:t>CP VI Evergreen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141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TC Group VI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L.P., its general partner, By: /s/ 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12" Type="http://schemas.openxmlformats.org/officeDocument/2006/relationships/hyperlink" Target="http://www.sec.gov/cgi-bin/browse-edgar?action=getcompany&amp;CIK=0001790577" TargetMode="External"/><Relationship Id="rId13" Type="http://schemas.openxmlformats.org/officeDocument/2006/relationships/hyperlink" Target="http://www.sec.gov/cgi-bin/browse-edgar?action=getcompany&amp;CIK=0001794515" TargetMode="External"/><Relationship Id="rId14" Type="http://schemas.openxmlformats.org/officeDocument/2006/relationships/hyperlink" Target="http://www.sec.gov/cgi-bin/browse-edgar?action=getcompany&amp;CIK=0000933790" TargetMode="External"/><Relationship Id="rId17" Type="http://schemas.openxmlformats.org/officeDocument/2006/relationships/hyperlink" Target="http://www.sec.gov/cgi-bin/browse-edgar?action=getcompany&amp;CIK=0001548639" TargetMode="External"/><Relationship Id="rId18" Type="http://schemas.openxmlformats.org/officeDocument/2006/relationships/hyperlink" Target="http://www.sec.gov/cgi-bin/browse-edgar?action=getcompany&amp;CIK=0001766541" TargetMode="External"/><Relationship Id="rId19" Type="http://schemas.openxmlformats.org/officeDocument/2006/relationships/hyperlink" Target="http://www.sec.gov/cgi-bin/browse-edgar?action=getcompany&amp;CIK=0001766496" TargetMode="External"/><Relationship Id="rId20" Type="http://schemas.openxmlformats.org/officeDocument/2006/relationships/hyperlink" Target="http://www.sec.gov/cgi-bin/browse-edgar?action=getcompany&amp;CIK=0001802267" TargetMode="External"/><Relationship Id="rId21" Type="http://schemas.openxmlformats.org/officeDocument/2006/relationships/hyperlink" Target="http://www.sec.gov/cgi-bin/browse-edgar?action=getcompany&amp;CIK=00018139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2021-11-09T16:46:51Z</dcterms:created>
  <dcterms:modified xsi:type="dcterms:W3CDTF">2021-11-09T16:46:51Z</dcterms:modified>
</cp:coreProperties>
</file>