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6"/>
          <w:szCs w:val="16"/>
          <w:b w:val="1"/>
          <w:bCs w:val="1"/>
          <w:color w:val="auto"/>
        </w:rPr>
        <w:t>As filed with the Securities and Exchange Commission on June 3, 2020.</w:t>
      </w:r>
    </w:p>
    <w:p>
      <w:pPr>
        <w:spacing w:after="0" w:line="167" w:lineRule="exact"/>
        <w:rPr>
          <w:sz w:val="24"/>
          <w:szCs w:val="24"/>
          <w:color w:val="auto"/>
        </w:rPr>
      </w:pPr>
    </w:p>
    <w:p>
      <w:pPr>
        <w:ind w:left="92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112395</wp:posOffset>
            </wp:positionV>
            <wp:extent cx="2280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27"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248920</wp:posOffset>
            </wp:positionV>
            <wp:extent cx="2280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S-8</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i w:val="1"/>
          <w:iCs w:val="1"/>
          <w:color w:val="auto"/>
        </w:rPr>
        <w:t>UNDER</w:t>
      </w:r>
    </w:p>
    <w:p>
      <w:pPr>
        <w:jc w:val="center"/>
        <w:ind w:right="-15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85725</wp:posOffset>
            </wp:positionV>
            <wp:extent cx="2280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70" w:lineRule="exact"/>
        <w:rPr>
          <w:sz w:val="24"/>
          <w:szCs w:val="24"/>
          <w:color w:val="auto"/>
        </w:rPr>
      </w:pPr>
    </w:p>
    <w:p>
      <w:pPr>
        <w:jc w:val="center"/>
        <w:ind w:right="-159"/>
        <w:spacing w:after="0"/>
        <w:rPr>
          <w:sz w:val="20"/>
          <w:szCs w:val="20"/>
          <w:color w:val="auto"/>
        </w:rPr>
      </w:pPr>
      <w:r>
        <w:rPr>
          <w:rFonts w:ascii="Arial" w:cs="Arial" w:eastAsia="Arial" w:hAnsi="Arial"/>
          <w:sz w:val="40"/>
          <w:szCs w:val="40"/>
          <w:b w:val="1"/>
          <w:bCs w:val="1"/>
          <w:color w:val="auto"/>
        </w:rPr>
        <w:t>ZoomInfo Technologies Inc.</w:t>
      </w:r>
    </w:p>
    <w:p>
      <w:pPr>
        <w:spacing w:after="0" w:line="51"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86360</wp:posOffset>
            </wp:positionV>
            <wp:extent cx="2280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ectPr>
          <w:pgSz w:w="11900" w:h="16838" w:orient="portrait"/>
          <w:cols w:equalWidth="0" w:num="1">
            <w:col w:w="11080"/>
          </w:cols>
          <w:pgMar w:left="320" w:top="234" w:right="49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25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84-3721253</w:t>
      </w:r>
    </w:p>
    <w:p>
      <w:pPr>
        <w:spacing w:after="0" w:line="109" w:lineRule="exact"/>
        <w:rPr>
          <w:sz w:val="24"/>
          <w:szCs w:val="24"/>
          <w:color w:val="auto"/>
        </w:rPr>
      </w:pPr>
    </w:p>
    <w:p>
      <w:pPr>
        <w:sectPr>
          <w:pgSz w:w="11900" w:h="16838" w:orient="portrait"/>
          <w:cols w:equalWidth="0" w:num="2">
            <w:col w:w="7380" w:space="720"/>
            <w:col w:w="2980"/>
          </w:cols>
          <w:pgMar w:left="320" w:top="234" w:right="499" w:bottom="1440" w:gutter="0" w:footer="0" w:header="0"/>
          <w:type w:val="continuous"/>
        </w:sectPr>
      </w:pPr>
    </w:p>
    <w:p>
      <w:pPr>
        <w:ind w:left="1820"/>
        <w:spacing w:after="0"/>
        <w:rPr>
          <w:sz w:val="20"/>
          <w:szCs w:val="20"/>
          <w:color w:val="auto"/>
        </w:rPr>
      </w:pPr>
      <w:r>
        <w:rPr>
          <w:rFonts w:ascii="Arial" w:cs="Arial" w:eastAsia="Arial" w:hAnsi="Arial"/>
          <w:sz w:val="15"/>
          <w:szCs w:val="15"/>
          <w:b w:val="1"/>
          <w:bCs w:val="1"/>
          <w:color w:val="auto"/>
        </w:rPr>
        <w:t>(State or other jurisdiction of</w:t>
      </w:r>
    </w:p>
    <w:p>
      <w:pPr>
        <w:spacing w:after="0" w:line="38" w:lineRule="exact"/>
        <w:rPr>
          <w:sz w:val="24"/>
          <w:szCs w:val="24"/>
          <w:color w:val="auto"/>
        </w:rPr>
      </w:pPr>
    </w:p>
    <w:p>
      <w:pPr>
        <w:ind w:left="176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b w:val="1"/>
          <w:bCs w:val="1"/>
          <w:color w:val="auto"/>
        </w:rPr>
        <w:t>(I.R.S. Employer</w:t>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140" w:space="720"/>
            <w:col w:w="3220"/>
          </w:cols>
          <w:pgMar w:left="320" w:top="234" w:right="499" w:bottom="1440" w:gutter="0" w:footer="0" w:header="0"/>
          <w:type w:val="continuous"/>
        </w:sectPr>
      </w:pPr>
    </w:p>
    <w:p>
      <w:pPr>
        <w:spacing w:after="0" w:line="90"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805 Broadway Street, Suite 900</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Vancouver, Washington 98660</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080"/>
          </w:cols>
          <w:pgMar w:left="320" w:top="234" w:right="499" w:bottom="1440" w:gutter="0" w:footer="0" w:header="0"/>
          <w:type w:val="continuous"/>
        </w:sectPr>
      </w:pPr>
    </w:p>
    <w:p>
      <w:pPr>
        <w:spacing w:after="0" w:line="226"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ZoomInfo Technologies Inc. 2020 Omnibus Incentive Plan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ZoomInfo Technologies Inc. 2020 Employee Stock Purchase Plan</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(Full title of the Plans)</w:t>
      </w:r>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Anthony Stark</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General Counsel</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ZoomInfo Technologies Inc.</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805 Broadway Street, Suite 900</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Vancouver, Washington 98660</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Telephone: (800) 914-1220</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(Name and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86360</wp:posOffset>
            </wp:positionV>
            <wp:extent cx="228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41"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i w:val="1"/>
          <w:iCs w:val="1"/>
          <w:color w:val="auto"/>
        </w:rPr>
        <w:t>With copies to:</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Richard A. Fenyes</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Bradley P. Goldberg</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Simpson Thacher &amp; Bartlett LLP</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425 Lexington Avenue</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NewYork, New York 10017</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(212)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86360</wp:posOffset>
            </wp:positionV>
            <wp:extent cx="228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8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0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5200" w:type="dxa"/>
            <w:vAlign w:val="bottom"/>
          </w:tcPr>
          <w:p>
            <w:pPr>
              <w:ind w:left="308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83" w:lineRule="exact"/>
        <w:rPr>
          <w:sz w:val="24"/>
          <w:szCs w:val="24"/>
          <w:color w:val="auto"/>
        </w:rPr>
      </w:pPr>
    </w:p>
    <w:p>
      <w:pPr>
        <w:ind w:right="4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080"/>
          </w:cols>
          <w:pgMar w:left="320" w:top="234" w:right="4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980" w:type="dxa"/>
            <w:vAlign w:val="bottom"/>
            <w:tcBorders>
              <w:top w:val="single" w:sz="8" w:color="auto"/>
              <w:right w:val="single" w:sz="8" w:color="auto"/>
            </w:tcBorders>
          </w:tcPr>
          <w:p>
            <w:pPr>
              <w:spacing w:after="0"/>
              <w:rPr>
                <w:sz w:val="14"/>
                <w:szCs w:val="14"/>
                <w:color w:val="auto"/>
              </w:rPr>
            </w:pPr>
          </w:p>
        </w:tc>
        <w:tc>
          <w:tcPr>
            <w:tcW w:w="15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15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8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98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offering price</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share</w:t>
            </w:r>
            <w:r>
              <w:rPr>
                <w:rFonts w:ascii="Arial" w:cs="Arial" w:eastAsia="Arial" w:hAnsi="Arial"/>
                <w:sz w:val="8"/>
                <w:szCs w:val="8"/>
                <w:b w:val="1"/>
                <w:bCs w:val="1"/>
                <w:color w:val="auto"/>
                <w:w w:val="93"/>
              </w:rPr>
              <w:t>(4)</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8"/>
                <w:szCs w:val="8"/>
                <w:b w:val="1"/>
                <w:bCs w:val="1"/>
                <w:color w:val="auto"/>
                <w:w w:val="94"/>
              </w:rPr>
              <w:t>(4)</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6"/>
        </w:trPr>
        <w:tc>
          <w:tcPr>
            <w:tcW w:w="49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Class A Common Stock, par value $0.01 per share</w:t>
            </w:r>
            <w:r>
              <w:rPr>
                <w:rFonts w:ascii="Arial" w:cs="Arial" w:eastAsia="Arial" w:hAnsi="Arial"/>
                <w:sz w:val="21"/>
                <w:szCs w:val="21"/>
                <w:color w:val="auto"/>
                <w:vertAlign w:val="superscript"/>
              </w:rPr>
              <w:t>(1) (3)</w:t>
            </w:r>
          </w:p>
        </w:tc>
        <w:tc>
          <w:tcPr>
            <w:tcW w:w="1580" w:type="dxa"/>
            <w:vAlign w:val="bottom"/>
            <w:tcBorders>
              <w:bottom w:val="single" w:sz="8" w:color="auto"/>
              <w:right w:val="single" w:sz="8" w:color="auto"/>
            </w:tcBorders>
          </w:tcPr>
          <w:p>
            <w:pPr>
              <w:jc w:val="right"/>
              <w:ind w:right="364"/>
              <w:spacing w:after="0"/>
              <w:rPr>
                <w:sz w:val="20"/>
                <w:szCs w:val="20"/>
                <w:color w:val="auto"/>
              </w:rPr>
            </w:pPr>
            <w:r>
              <w:rPr>
                <w:rFonts w:ascii="Arial" w:cs="Arial" w:eastAsia="Arial" w:hAnsi="Arial"/>
                <w:sz w:val="16"/>
                <w:szCs w:val="16"/>
                <w:color w:val="auto"/>
              </w:rPr>
              <w:t>18,650,000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$20.00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$373,000,000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$48,416</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Class A Common Stock, par value $0.01 per share</w:t>
            </w:r>
            <w:r>
              <w:rPr>
                <w:rFonts w:ascii="Arial" w:cs="Arial" w:eastAsia="Arial" w:hAnsi="Arial"/>
                <w:sz w:val="21"/>
                <w:szCs w:val="21"/>
                <w:color w:val="auto"/>
                <w:vertAlign w:val="superscript"/>
              </w:rPr>
              <w:t>(2) (3)</w:t>
            </w:r>
          </w:p>
        </w:tc>
        <w:tc>
          <w:tcPr>
            <w:tcW w:w="1580" w:type="dxa"/>
            <w:vAlign w:val="bottom"/>
            <w:tcBorders>
              <w:bottom w:val="single" w:sz="8" w:color="auto"/>
              <w:right w:val="single" w:sz="8" w:color="auto"/>
            </w:tcBorders>
          </w:tcPr>
          <w:p>
            <w:pPr>
              <w:jc w:val="right"/>
              <w:ind w:right="404"/>
              <w:spacing w:after="0"/>
              <w:rPr>
                <w:sz w:val="20"/>
                <w:szCs w:val="20"/>
                <w:color w:val="auto"/>
              </w:rPr>
            </w:pPr>
            <w:r>
              <w:rPr>
                <w:rFonts w:ascii="Arial" w:cs="Arial" w:eastAsia="Arial" w:hAnsi="Arial"/>
                <w:sz w:val="16"/>
                <w:szCs w:val="16"/>
                <w:color w:val="auto"/>
              </w:rPr>
              <w:t>7,500,000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$20.00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$150,000,000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$19,470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5" w:lineRule="exact"/>
        <w:rPr>
          <w:sz w:val="20"/>
          <w:szCs w:val="20"/>
          <w:color w:val="auto"/>
        </w:rPr>
      </w:pPr>
    </w:p>
    <w:p>
      <w:pPr>
        <w:ind w:left="340" w:right="160" w:hanging="332"/>
        <w:spacing w:after="0" w:line="255"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Covers Class A common stock, par value $0.01 per share (the “Common Stock”), of ZoomInfo Technologies Inc. (the “Company” or the “Registrant”) issuable under the ZoomInfo Technologies Inc. 2020 Omnibus Incentive Plan (the “2020 Omnibus Plan”).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Covers Common Stock issuable under the Company’s 2020 Employee Stock Purchase Plan (the “ESPP”).</w:t>
      </w:r>
    </w:p>
    <w:p>
      <w:pPr>
        <w:spacing w:after="0" w:line="5" w:lineRule="exact"/>
        <w:rPr>
          <w:rFonts w:ascii="Arial" w:cs="Arial" w:eastAsia="Arial" w:hAnsi="Arial"/>
          <w:sz w:val="16"/>
          <w:szCs w:val="16"/>
          <w:color w:val="auto"/>
        </w:rPr>
      </w:pPr>
    </w:p>
    <w:p>
      <w:pPr>
        <w:ind w:left="340" w:right="580" w:hanging="332"/>
        <w:spacing w:after="0" w:line="28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under the Securities Act of 1933, as amended (the “Securities Act”), this registration statement also covers an indeterminate number of additional shares of Common Stock which may be offered and issued to prevent dilution resulting from stock splits, stock distributions or similar transactions.</w:t>
      </w:r>
    </w:p>
    <w:p>
      <w:pPr>
        <w:spacing w:after="0" w:line="1" w:lineRule="exact"/>
        <w:rPr>
          <w:rFonts w:ascii="Arial" w:cs="Arial" w:eastAsia="Arial" w:hAnsi="Arial"/>
          <w:sz w:val="14"/>
          <w:szCs w:val="14"/>
          <w:color w:val="auto"/>
        </w:rPr>
      </w:pPr>
    </w:p>
    <w:p>
      <w:pPr>
        <w:jc w:val="both"/>
        <w:ind w:left="340" w:right="160" w:hanging="332"/>
        <w:spacing w:after="0" w:line="250"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457(c) and 457(h)(1) of the Securities Act, the proposed maximum offering price per share and the proposed maximum aggregate offering price are estimated solely for the purpose of calculating the amount of the registration fee and are based on a price of $18.00 per share, which is the high-point of the estimated price range per share of Common Stock for the Registrant’s initial public offering of Common Stock pursuant to the Registrant’s Registration Statement on Form S-1 (File No. 333-236674).</w:t>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ZoomInfo Technologies Inc. 2020 Omnibus Incentive Plan and ZoomInfo Technologies Inc. 2020 Employee Stock Purchase Plan covered by this Registration Statement as specified by Rule 428(b)(1) under the Securities Act. Such documents are not required to be, and are not, filed with the Securities and Exchange Commission (the “Commission”) either as part of this Registration Statement or as a prospectus or prospectus supplement pursuant to Rule 424 under the Securities Act.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following documents filed with the Commission by ZoomInfo Technologies Inc. (the “Registrant”) pursuant to the Securities Act and the Securities Exchange Act of 1934, as amended (the “Exchange Act”), are hereby incorporated by reference in this Registration Statement:</w:t>
      </w:r>
    </w:p>
    <w:p>
      <w:pPr>
        <w:spacing w:after="0" w:line="146" w:lineRule="exact"/>
        <w:rPr>
          <w:sz w:val="20"/>
          <w:szCs w:val="20"/>
          <w:color w:val="auto"/>
        </w:rPr>
      </w:pPr>
    </w:p>
    <w:p>
      <w:pPr>
        <w:ind w:right="140" w:firstLine="8"/>
        <w:spacing w:after="0" w:line="277" w:lineRule="auto"/>
        <w:tabs>
          <w:tab w:leader="none" w:pos="37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Prospectus relating to the offering of Common Stock to be filed with the Commission pursuant to Rule 424(b) of the Securities Act, relating to the Form S-1 (File No. 333-236674); and</w:t>
      </w:r>
    </w:p>
    <w:p>
      <w:pPr>
        <w:spacing w:after="0" w:line="170" w:lineRule="exact"/>
        <w:rPr>
          <w:rFonts w:ascii="Arial" w:cs="Arial" w:eastAsia="Arial" w:hAnsi="Arial"/>
          <w:sz w:val="18"/>
          <w:szCs w:val="18"/>
          <w:color w:val="auto"/>
        </w:rPr>
      </w:pPr>
    </w:p>
    <w:p>
      <w:pPr>
        <w:ind w:right="160" w:firstLine="8"/>
        <w:spacing w:after="0" w:line="277" w:lineRule="auto"/>
        <w:tabs>
          <w:tab w:leader="none" w:pos="38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 on Form 8-A to be filed with the Commission pursuant to Section 12(b) of the Exchange Act, relating to the Registrant’s Common Stock, including all other amendments and reports filed for the purpose of updating such description.</w:t>
      </w:r>
    </w:p>
    <w:p>
      <w:pPr>
        <w:spacing w:after="0" w:line="17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All documents that the Registrant subsequently files pursuant to Sections 13(a), 13(c), 14 and 15(d) of the Exchange Act after the date of this Registration Statement (except for any portions of the Registrant’s Current Reports on Form 8-K furnished pursuant to Item 2.02 or Item 7.01 thereof and any corresponding exhibits thereto not filed with the Commission)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w:t>
      </w:r>
    </w:p>
    <w:p>
      <w:pPr>
        <w:sectPr>
          <w:pgSz w:w="11900" w:h="16838" w:orient="portrait"/>
          <w:cols w:equalWidth="0" w:num="1">
            <w:col w:w="11240"/>
          </w:cols>
          <w:pgMar w:left="320" w:top="337" w:right="339" w:bottom="1440" w:gutter="0" w:footer="0" w:header="0"/>
        </w:sectPr>
      </w:pPr>
    </w:p>
    <w:bookmarkStart w:id="3" w:name="page4"/>
    <w:bookmarkEnd w:id="3"/>
    <w:p>
      <w:pPr>
        <w:ind w:right="20"/>
        <w:spacing w:after="0" w:line="263" w:lineRule="auto"/>
        <w:rPr>
          <w:sz w:val="20"/>
          <w:szCs w:val="20"/>
          <w:color w:val="auto"/>
        </w:rPr>
      </w:pPr>
      <w:r>
        <w:rPr>
          <w:rFonts w:ascii="Arial" w:cs="Arial" w:eastAsia="Arial" w:hAnsi="Arial"/>
          <w:sz w:val="18"/>
          <w:szCs w:val="18"/>
          <w:color w:val="auto"/>
        </w:rPr>
        <w:t>duty of loyalty, failed to act in good faith, engaged in intentional misconduct or knowingly violated a law, authorized the payment of a dividend or approved a stock repurchase or redemption in violation of Delaware corporate law or obtained an improper personal benefit. The Registrant’s amended and restated certificate of incorporation provides for this limitation of liability.</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Section 145 of the DGCL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such officer or director has actually and reasonably incurred.</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Section 145 also provides that the expenses incurred by a director, officer, employee, or agent of the corporation or a person serving at the request of the corporation as a director, officer, employee, or agent of another corporation or enterprise in defending any action, suit, or proceeding may be paid in advance of the final disposition of the action, suit, or proceeding, subject, in the case of current officers and directors, to the corporation’s receipt of an undertaking by or on behalf of such officer or director to repay the amount so advanced if it shall be ultimately determined that such person is not entitled to be indemnified.</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him or her under Section 145.</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Registrant’s amended and restated bylaws provide that the Registrant must indemnify its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the Registrant’s amended and restated bylaws or otherwise.</w:t>
      </w:r>
    </w:p>
    <w:p>
      <w:pPr>
        <w:spacing w:after="0" w:line="18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provision of the Registrant’s amended and restated certificate of incorporation, the Registrant’s amended and restated bylaws, agreement, vote of stockholders or disinterested directors, or otherwise.</w:t>
      </w:r>
    </w:p>
    <w:p>
      <w:pPr>
        <w:spacing w:after="0" w:line="18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Registrant expects to maintain standard policies of insurance that provide coverage (1) to its directors and officers against loss arising from claims made by reason of breach of duty or other wrongful act and (2) to the Registrant with respect to indemnification payments that it may make to such directors and officers.</w:t>
      </w:r>
    </w:p>
    <w:p>
      <w:pPr>
        <w:sectPr>
          <w:pgSz w:w="11900" w:h="16838" w:orient="portrait"/>
          <w:cols w:equalWidth="0" w:num="1">
            <w:col w:w="11200"/>
          </w:cols>
          <w:pgMar w:left="320" w:top="341" w:right="379" w:bottom="1440" w:gutter="0" w:footer="0" w:header="0"/>
        </w:sectPr>
      </w:pPr>
    </w:p>
    <w:bookmarkStart w:id="4" w:name="page5"/>
    <w:bookmarkEnd w:id="4"/>
    <w:p>
      <w:pPr>
        <w:spacing w:after="0" w:line="275" w:lineRule="auto"/>
        <w:rPr>
          <w:sz w:val="20"/>
          <w:szCs w:val="20"/>
          <w:color w:val="auto"/>
        </w:rPr>
      </w:pPr>
      <w:r>
        <w:rPr>
          <w:rFonts w:ascii="Arial" w:cs="Arial" w:eastAsia="Arial" w:hAnsi="Arial"/>
          <w:sz w:val="17"/>
          <w:szCs w:val="17"/>
          <w:color w:val="auto"/>
        </w:rPr>
        <w:t>The Registrant intends to enter into indemnification agreements with its directors and executive officers. These agreements will require the Registrant to indemnify these individuals to the fullest extent permitted under Delaware law against liabilities that may arise by reason of their service to the Registrant, and to advance expenses incurred as a result of any proceeding against them as to which they could be indemnified. Insofar as indemnification for liabilities arising under the Securities Act may be permitted to directors or executive officers, the Registrant has been informed that, in the opinion of the Commission, such indemnification is against public policy and is therefore unenforceable.</w:t>
      </w:r>
    </w:p>
    <w:p>
      <w:pPr>
        <w:spacing w:after="0" w:line="1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6"/>
        </w:trPr>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7"/>
                <w:szCs w:val="17"/>
                <w:color w:val="auto"/>
              </w:rPr>
            </w:pPr>
          </w:p>
        </w:tc>
        <w:tc>
          <w:tcPr>
            <w:tcW w:w="10300" w:type="dxa"/>
            <w:vAlign w:val="bottom"/>
            <w:gridSpan w:val="7"/>
          </w:tcPr>
          <w:p>
            <w:pPr>
              <w:ind w:left="4360"/>
              <w:spacing w:after="0"/>
              <w:rPr>
                <w:sz w:val="20"/>
                <w:szCs w:val="20"/>
                <w:color w:val="auto"/>
              </w:rPr>
            </w:pPr>
            <w:r>
              <w:rPr>
                <w:rFonts w:ascii="Arial" w:cs="Arial" w:eastAsia="Arial" w:hAnsi="Arial"/>
                <w:sz w:val="14"/>
                <w:szCs w:val="14"/>
                <w:b w:val="1"/>
                <w:bCs w:val="1"/>
                <w:color w:val="auto"/>
              </w:rPr>
              <w:t>Description of Document</w:t>
            </w:r>
          </w:p>
        </w:tc>
      </w:tr>
      <w:tr>
        <w:trPr>
          <w:trHeight w:val="364"/>
        </w:trPr>
        <w:tc>
          <w:tcPr>
            <w:tcW w:w="800" w:type="dxa"/>
            <w:vAlign w:val="bottom"/>
            <w:tcBorders>
              <w:top w:val="single" w:sz="8" w:color="auto"/>
            </w:tcBorders>
          </w:tcPr>
          <w:p>
            <w:pPr>
              <w:jc w:val="right"/>
              <w:ind w:right="37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300" w:type="dxa"/>
            <w:vAlign w:val="bottom"/>
            <w:tcBorders>
              <w:top w:val="single" w:sz="8" w:color="auto"/>
            </w:tcBorders>
            <w:gridSpan w:val="7"/>
          </w:tcPr>
          <w:p>
            <w:pPr>
              <w:spacing w:after="0"/>
              <w:rPr>
                <w:rFonts w:ascii="Arial" w:cs="Arial" w:eastAsia="Arial" w:hAnsi="Arial"/>
                <w:sz w:val="18"/>
                <w:szCs w:val="18"/>
                <w:color w:val="0000FF"/>
                <w:w w:val="94"/>
              </w:rPr>
            </w:pPr>
            <w:hyperlink r:id="rId17">
              <w:r>
                <w:rPr>
                  <w:rFonts w:ascii="Arial" w:cs="Arial" w:eastAsia="Arial" w:hAnsi="Arial"/>
                  <w:sz w:val="18"/>
                  <w:szCs w:val="18"/>
                  <w:color w:val="0000FF"/>
                  <w:w w:val="94"/>
                </w:rPr>
                <w:t>Form of Amended and Restated Certificate of Incorporation of ZoomInfo Technologies Inc. (incorporated by reference to Exhibit 3.1 filed</w:t>
              </w:r>
            </w:hyperlink>
          </w:p>
        </w:tc>
      </w:tr>
      <w:tr>
        <w:trPr>
          <w:trHeight w:val="237"/>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tcBorders>
              <w:top w:val="single" w:sz="8" w:color="0000FF"/>
            </w:tcBorders>
            <w:gridSpan w:val="5"/>
          </w:tcPr>
          <w:p>
            <w:pPr>
              <w:spacing w:after="0"/>
              <w:rPr>
                <w:rFonts w:ascii="Arial" w:cs="Arial" w:eastAsia="Arial" w:hAnsi="Arial"/>
                <w:sz w:val="18"/>
                <w:szCs w:val="18"/>
                <w:u w:val="single" w:color="auto"/>
                <w:color w:val="0000FF"/>
                <w:w w:val="95"/>
              </w:rPr>
            </w:pPr>
            <w:hyperlink r:id="rId17">
              <w:r>
                <w:rPr>
                  <w:rFonts w:ascii="Arial" w:cs="Arial" w:eastAsia="Arial" w:hAnsi="Arial"/>
                  <w:sz w:val="18"/>
                  <w:szCs w:val="18"/>
                  <w:u w:val="single" w:color="auto"/>
                  <w:color w:val="0000FF"/>
                  <w:w w:val="95"/>
                </w:rPr>
                <w:t>with the Registrant’s Registration Statement on Form S-1/A filed with the Securities and Exchange Commission on May 11, 2020).</w:t>
              </w:r>
            </w:hyperlink>
          </w:p>
        </w:tc>
        <w:tc>
          <w:tcPr>
            <w:tcW w:w="340" w:type="dxa"/>
            <w:vAlign w:val="bottom"/>
            <w:gridSpan w:val="2"/>
          </w:tcPr>
          <w:p>
            <w:pPr>
              <w:spacing w:after="0"/>
              <w:rPr>
                <w:sz w:val="20"/>
                <w:szCs w:val="20"/>
                <w:color w:val="auto"/>
              </w:rPr>
            </w:pPr>
          </w:p>
        </w:tc>
      </w:tr>
      <w:tr>
        <w:trPr>
          <w:trHeight w:val="391"/>
        </w:trPr>
        <w:tc>
          <w:tcPr>
            <w:tcW w:w="800" w:type="dxa"/>
            <w:vAlign w:val="bottom"/>
          </w:tcPr>
          <w:p>
            <w:pPr>
              <w:jc w:val="right"/>
              <w:ind w:right="37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7"/>
          </w:tcPr>
          <w:p>
            <w:pPr>
              <w:spacing w:after="0"/>
              <w:rPr>
                <w:rFonts w:ascii="Arial" w:cs="Arial" w:eastAsia="Arial" w:hAnsi="Arial"/>
                <w:sz w:val="18"/>
                <w:szCs w:val="18"/>
                <w:color w:val="0000FF"/>
                <w:w w:val="93"/>
              </w:rPr>
            </w:pPr>
            <w:hyperlink r:id="rId18">
              <w:r>
                <w:rPr>
                  <w:rFonts w:ascii="Arial" w:cs="Arial" w:eastAsia="Arial" w:hAnsi="Arial"/>
                  <w:sz w:val="18"/>
                  <w:szCs w:val="18"/>
                  <w:color w:val="0000FF"/>
                  <w:w w:val="93"/>
                </w:rPr>
                <w:t>Form of Amended and Restated Bylaws of ZoomInfo Technologies Inc. (incorporated by reference to Exhibit 3.2 filed with the Registrant’s</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Registration Statement on Form S-1/A filed with the Securities and Exchange Commission on May 11, 2020).</w:t>
              </w:r>
            </w:hyperlink>
          </w:p>
        </w:tc>
        <w:tc>
          <w:tcPr>
            <w:tcW w:w="2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412"/>
        </w:trPr>
        <w:tc>
          <w:tcPr>
            <w:tcW w:w="800" w:type="dxa"/>
            <w:vAlign w:val="bottom"/>
          </w:tcPr>
          <w:p>
            <w:pPr>
              <w:jc w:val="right"/>
              <w:ind w:right="37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4"/>
          </w:tcPr>
          <w:p>
            <w:pPr>
              <w:spacing w:after="0"/>
              <w:rPr>
                <w:rFonts w:ascii="Arial" w:cs="Arial" w:eastAsia="Arial" w:hAnsi="Arial"/>
                <w:sz w:val="18"/>
                <w:szCs w:val="18"/>
                <w:color w:val="0000FF"/>
                <w:w w:val="92"/>
              </w:rPr>
            </w:pPr>
            <w:hyperlink r:id="rId19">
              <w:r>
                <w:rPr>
                  <w:rFonts w:ascii="Arial" w:cs="Arial" w:eastAsia="Arial" w:hAnsi="Arial"/>
                  <w:sz w:val="18"/>
                  <w:szCs w:val="18"/>
                  <w:color w:val="0000FF"/>
                  <w:w w:val="92"/>
                </w:rPr>
                <w:t>Form of ZoomInfo Technologies Inc. 2020 Omnibus Incentive Plan (incorporated by reference to Exhibit 10.7 filed with the Registrant’s</w:t>
              </w:r>
            </w:hyperlink>
          </w:p>
        </w:tc>
        <w:tc>
          <w:tcPr>
            <w:tcW w:w="44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Registration Statement on Form S-1/A filed with the Securities and Exchange Commission on May 22, 2020).</w:t>
              </w:r>
            </w:hyperlink>
          </w:p>
        </w:tc>
        <w:tc>
          <w:tcPr>
            <w:tcW w:w="2360" w:type="dxa"/>
            <w:vAlign w:val="bottom"/>
            <w:gridSpan w:val="5"/>
          </w:tcPr>
          <w:p>
            <w:pPr>
              <w:spacing w:after="0"/>
              <w:rPr>
                <w:sz w:val="17"/>
                <w:szCs w:val="17"/>
                <w:color w:val="auto"/>
              </w:rPr>
            </w:pPr>
          </w:p>
        </w:tc>
      </w:tr>
      <w:tr>
        <w:trPr>
          <w:trHeight w:val="412"/>
        </w:trPr>
        <w:tc>
          <w:tcPr>
            <w:tcW w:w="800" w:type="dxa"/>
            <w:vAlign w:val="bottom"/>
          </w:tcPr>
          <w:p>
            <w:pPr>
              <w:jc w:val="right"/>
              <w:ind w:right="37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0000FF"/>
            </w:tcBorders>
            <w:gridSpan w:val="3"/>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Form of ZoomInfo Technologies Inc. 2020 Employee Stock Purchase Plan (incorporated by reference to Exhibit 10.8 filed with the</w:t>
              </w:r>
            </w:hyperlink>
          </w:p>
        </w:tc>
        <w:tc>
          <w:tcPr>
            <w:tcW w:w="840" w:type="dxa"/>
            <w:vAlign w:val="bottom"/>
            <w:gridSpan w:val="4"/>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7"/>
          </w:tcPr>
          <w:p>
            <w:pPr>
              <w:spacing w:after="0"/>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Registrant’s Registration Statement on Form S-1/A filed with the Securities and Exchange Commission on May 22, 2020).</w:t>
              </w:r>
            </w:hyperlink>
          </w:p>
        </w:tc>
      </w:tr>
      <w:tr>
        <w:trPr>
          <w:trHeight w:val="432"/>
        </w:trPr>
        <w:tc>
          <w:tcPr>
            <w:tcW w:w="800" w:type="dxa"/>
            <w:vAlign w:val="bottom"/>
          </w:tcPr>
          <w:p>
            <w:pPr>
              <w:jc w:val="right"/>
              <w:ind w:right="27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7"/>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Opinion of Simpson Thacher &amp; Bartlett LLP.</w:t>
              </w:r>
            </w:hyperlink>
          </w:p>
        </w:tc>
      </w:tr>
      <w:tr>
        <w:trPr>
          <w:trHeight w:val="432"/>
        </w:trPr>
        <w:tc>
          <w:tcPr>
            <w:tcW w:w="800" w:type="dxa"/>
            <w:vAlign w:val="bottom"/>
          </w:tcPr>
          <w:p>
            <w:pPr>
              <w:jc w:val="right"/>
              <w:ind w:right="273"/>
              <w:spacing w:after="0"/>
              <w:rPr>
                <w:sz w:val="20"/>
                <w:szCs w:val="20"/>
                <w:color w:val="auto"/>
              </w:rPr>
            </w:pPr>
            <w:r>
              <w:rPr>
                <w:rFonts w:ascii="Arial" w:cs="Arial" w:eastAsia="Arial" w:hAnsi="Arial"/>
                <w:sz w:val="18"/>
                <w:szCs w:val="18"/>
                <w:color w:val="auto"/>
                <w:w w:val="99"/>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7"/>
          </w:tcPr>
          <w:p>
            <w:pPr>
              <w:spacing w:after="0"/>
              <w:rPr>
                <w:rFonts w:ascii="Arial" w:cs="Arial" w:eastAsia="Arial" w:hAnsi="Arial"/>
                <w:sz w:val="18"/>
                <w:szCs w:val="18"/>
                <w:color w:val="0000FF"/>
              </w:rPr>
            </w:pPr>
            <w:hyperlink w:anchor="page10">
              <w:r>
                <w:rPr>
                  <w:rFonts w:ascii="Arial" w:cs="Arial" w:eastAsia="Arial" w:hAnsi="Arial"/>
                  <w:sz w:val="18"/>
                  <w:szCs w:val="18"/>
                  <w:u w:val="single" w:color="auto"/>
                  <w:color w:val="0000FF"/>
                </w:rPr>
                <w:t>Consent of KPMG LLP as to ZoomInfo Technologies Inc</w:t>
              </w:r>
              <w:r>
                <w:rPr>
                  <w:rFonts w:ascii="Arial" w:cs="Arial" w:eastAsia="Arial" w:hAnsi="Arial"/>
                  <w:sz w:val="18"/>
                  <w:szCs w:val="18"/>
                  <w:color w:val="0000FF"/>
                </w:rPr>
                <w:t>.</w:t>
              </w:r>
            </w:hyperlink>
          </w:p>
        </w:tc>
      </w:tr>
      <w:tr>
        <w:trPr>
          <w:trHeight w:val="432"/>
        </w:trPr>
        <w:tc>
          <w:tcPr>
            <w:tcW w:w="800" w:type="dxa"/>
            <w:vAlign w:val="bottom"/>
          </w:tcPr>
          <w:p>
            <w:pPr>
              <w:jc w:val="right"/>
              <w:ind w:right="273"/>
              <w:spacing w:after="0"/>
              <w:rPr>
                <w:sz w:val="20"/>
                <w:szCs w:val="20"/>
                <w:color w:val="auto"/>
              </w:rPr>
            </w:pPr>
            <w:r>
              <w:rPr>
                <w:rFonts w:ascii="Arial" w:cs="Arial" w:eastAsia="Arial" w:hAnsi="Arial"/>
                <w:sz w:val="18"/>
                <w:szCs w:val="18"/>
                <w:color w:val="auto"/>
                <w:w w:val="99"/>
              </w:rPr>
              <w:t>23.2*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7"/>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Consent of KPMG LLP as to DiscoverOrg Holdings, LLC</w:t>
              </w:r>
            </w:hyperlink>
          </w:p>
        </w:tc>
      </w:tr>
      <w:tr>
        <w:trPr>
          <w:trHeight w:val="432"/>
        </w:trPr>
        <w:tc>
          <w:tcPr>
            <w:tcW w:w="800" w:type="dxa"/>
            <w:vAlign w:val="bottom"/>
          </w:tcPr>
          <w:p>
            <w:pPr>
              <w:jc w:val="right"/>
              <w:ind w:right="273"/>
              <w:spacing w:after="0"/>
              <w:rPr>
                <w:sz w:val="20"/>
                <w:szCs w:val="20"/>
                <w:color w:val="auto"/>
              </w:rPr>
            </w:pPr>
            <w:r>
              <w:rPr>
                <w:rFonts w:ascii="Arial" w:cs="Arial" w:eastAsia="Arial" w:hAnsi="Arial"/>
                <w:sz w:val="18"/>
                <w:szCs w:val="18"/>
                <w:color w:val="auto"/>
                <w:w w:val="99"/>
              </w:rPr>
              <w:t>23.3*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7"/>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Consent of RSM US LLP as to Zoom Information, Inc. and Subsidiaries.</w:t>
              </w:r>
            </w:hyperlink>
          </w:p>
        </w:tc>
      </w:tr>
      <w:tr>
        <w:trPr>
          <w:trHeight w:val="432"/>
        </w:trPr>
        <w:tc>
          <w:tcPr>
            <w:tcW w:w="800" w:type="dxa"/>
            <w:vAlign w:val="bottom"/>
          </w:tcPr>
          <w:p>
            <w:pPr>
              <w:jc w:val="right"/>
              <w:ind w:right="273"/>
              <w:spacing w:after="0"/>
              <w:rPr>
                <w:sz w:val="20"/>
                <w:szCs w:val="20"/>
                <w:color w:val="auto"/>
              </w:rPr>
            </w:pPr>
            <w:r>
              <w:rPr>
                <w:rFonts w:ascii="Arial" w:cs="Arial" w:eastAsia="Arial" w:hAnsi="Arial"/>
                <w:sz w:val="18"/>
                <w:szCs w:val="18"/>
                <w:color w:val="auto"/>
                <w:w w:val="99"/>
              </w:rPr>
              <w:t>23.4*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7"/>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Consent of Simpson Thacher &amp; Bartlett LLP (included as part of Exhibit 5.1).</w:t>
              </w:r>
            </w:hyperlink>
          </w:p>
        </w:tc>
      </w:tr>
    </w:tbl>
    <w:p>
      <w:pPr>
        <w:spacing w:after="0" w:line="202" w:lineRule="exact"/>
        <w:rPr>
          <w:sz w:val="20"/>
          <w:szCs w:val="20"/>
          <w:color w:val="auto"/>
        </w:rPr>
      </w:pPr>
    </w:p>
    <w:p>
      <w:pPr>
        <w:ind w:left="40"/>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7">
        <w:r>
          <w:rPr>
            <w:rFonts w:ascii="Arial" w:cs="Arial" w:eastAsia="Arial" w:hAnsi="Arial"/>
            <w:sz w:val="16"/>
            <w:szCs w:val="16"/>
            <w:u w:val="single" w:color="auto"/>
            <w:color w:val="0000EE"/>
          </w:rPr>
          <w:t>Powers of Attorney (included in the signature pages to this Registration Statement)</w:t>
        </w:r>
        <w:r>
          <w:rPr>
            <w:rFonts w:ascii="Arial" w:cs="Arial" w:eastAsia="Arial" w:hAnsi="Arial"/>
            <w:sz w:val="16"/>
            <w:szCs w:val="16"/>
            <w:color w:val="0000EE"/>
          </w:rPr>
          <w:t>.</w:t>
        </w:r>
      </w:hyperlink>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9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undersigned registrant hereby undertakes: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To file, during any period in which offers or sales are being made, a post-effective amendment to this registration statement:</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To include any prospectus required by Section 10(a)(3) of the Securities Act;</w:t>
      </w:r>
    </w:p>
    <w:p>
      <w:pPr>
        <w:sectPr>
          <w:pgSz w:w="11900" w:h="16838" w:orient="portrait"/>
          <w:cols w:equalWidth="0" w:num="1">
            <w:col w:w="11240"/>
          </w:cols>
          <w:pgMar w:left="320" w:top="341" w:right="339" w:bottom="1440" w:gutter="0" w:footer="0" w:header="0"/>
        </w:sectPr>
      </w:pPr>
    </w:p>
    <w:bookmarkStart w:id="5" w:name="page6"/>
    <w:bookmarkEnd w:id="5"/>
    <w:p>
      <w:pPr>
        <w:ind w:right="120" w:firstLine="8"/>
        <w:spacing w:after="0" w:line="342" w:lineRule="auto"/>
        <w:tabs>
          <w:tab w:leader="none" w:pos="396"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23" w:lineRule="exact"/>
        <w:rPr>
          <w:rFonts w:ascii="Arial" w:cs="Arial" w:eastAsia="Arial" w:hAnsi="Arial"/>
          <w:sz w:val="16"/>
          <w:szCs w:val="16"/>
          <w:color w:val="auto"/>
        </w:rPr>
      </w:pPr>
    </w:p>
    <w:p>
      <w:pPr>
        <w:ind w:right="360" w:firstLine="8"/>
        <w:spacing w:after="0" w:line="277"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Exchange Act that are incorporated by reference in this Registration Statement.</w:t>
      </w:r>
    </w:p>
    <w:p>
      <w:pPr>
        <w:spacing w:after="0" w:line="184"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each such post-effective amendment shall be deemed to be a new</w:t>
      </w:r>
    </w:p>
    <w:p>
      <w:pPr>
        <w:spacing w:after="0" w:line="34" w:lineRule="exact"/>
        <w:rPr>
          <w:rFonts w:ascii="Arial" w:cs="Arial" w:eastAsia="Arial" w:hAnsi="Arial"/>
          <w:sz w:val="17"/>
          <w:szCs w:val="17"/>
          <w:color w:val="auto"/>
        </w:rPr>
      </w:pPr>
    </w:p>
    <w:p>
      <w:pPr>
        <w:ind w:right="300"/>
        <w:spacing w:after="0" w:line="260" w:lineRule="auto"/>
        <w:rPr>
          <w:rFonts w:ascii="Arial" w:cs="Arial" w:eastAsia="Arial" w:hAnsi="Arial"/>
          <w:sz w:val="17"/>
          <w:szCs w:val="17"/>
          <w:color w:val="auto"/>
        </w:rPr>
      </w:pPr>
      <w:r>
        <w:rPr>
          <w:rFonts w:ascii="Arial" w:cs="Arial" w:eastAsia="Arial" w:hAnsi="Arial"/>
          <w:sz w:val="18"/>
          <w:szCs w:val="18"/>
          <w:color w:val="auto"/>
        </w:rPr>
        <w:t xml:space="preserve">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5" w:lineRule="exact"/>
        <w:rPr>
          <w:rFonts w:ascii="Arial" w:cs="Arial" w:eastAsia="Arial" w:hAnsi="Arial"/>
          <w:sz w:val="17"/>
          <w:szCs w:val="17"/>
          <w:color w:val="auto"/>
        </w:rPr>
      </w:pPr>
    </w:p>
    <w:p>
      <w:pPr>
        <w:ind w:right="40" w:firstLine="8"/>
        <w:spacing w:after="0" w:line="277" w:lineRule="auto"/>
        <w:tabs>
          <w:tab w:leader="none" w:pos="38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240" w:firstLine="8"/>
        <w:spacing w:after="0" w:line="257" w:lineRule="auto"/>
        <w:tabs>
          <w:tab w:leader="none" w:pos="386"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ind w:firstLine="8"/>
        <w:spacing w:after="0" w:line="291"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180"/>
          </w:cols>
          <w:pgMar w:left="320" w:top="341"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Vancouver, State of Washington, on the 3rd day of June, 2020.</w:t>
      </w:r>
    </w:p>
    <w:p>
      <w:pPr>
        <w:spacing w:after="0" w:line="34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ZOOMINFO TECHNOLOGIES INC.</w:t>
      </w:r>
    </w:p>
    <w:p>
      <w:pPr>
        <w:spacing w:after="0" w:line="333" w:lineRule="exact"/>
        <w:rPr>
          <w:sz w:val="20"/>
          <w:szCs w:val="20"/>
          <w:color w:val="auto"/>
        </w:rPr>
      </w:pPr>
    </w:p>
    <w:tbl>
      <w:tblPr>
        <w:tblLayout w:type="fixed"/>
        <w:tblInd w:w="670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40"/>
              <w:spacing w:after="0"/>
              <w:rPr>
                <w:sz w:val="20"/>
                <w:szCs w:val="20"/>
                <w:color w:val="auto"/>
              </w:rPr>
            </w:pPr>
            <w:r>
              <w:rPr>
                <w:rFonts w:ascii="Arial" w:cs="Arial" w:eastAsia="Arial" w:hAnsi="Arial"/>
                <w:sz w:val="18"/>
                <w:szCs w:val="18"/>
                <w:color w:val="auto"/>
              </w:rPr>
              <w:t>/s/ Henry Schuck</w:t>
            </w:r>
          </w:p>
        </w:tc>
        <w:tc>
          <w:tcPr>
            <w:tcW w:w="0" w:type="dxa"/>
            <w:vAlign w:val="bottom"/>
          </w:tcPr>
          <w:p>
            <w:pPr>
              <w:spacing w:after="0"/>
              <w:rPr>
                <w:sz w:val="1"/>
                <w:szCs w:val="1"/>
                <w:color w:val="auto"/>
              </w:rPr>
            </w:pPr>
          </w:p>
        </w:tc>
      </w:tr>
      <w:tr>
        <w:trPr>
          <w:trHeight w:val="41"/>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Henry Schuck</w:t>
            </w:r>
          </w:p>
        </w:tc>
        <w:tc>
          <w:tcPr>
            <w:tcW w:w="0" w:type="dxa"/>
            <w:vAlign w:val="bottom"/>
          </w:tcPr>
          <w:p>
            <w:pPr>
              <w:spacing w:after="0"/>
              <w:rPr>
                <w:sz w:val="1"/>
                <w:szCs w:val="1"/>
                <w:color w:val="auto"/>
              </w:rPr>
            </w:pP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KNOW ALL PERSONS BY THESE PRESENTS, that the undersigned directors and officers of the Registrant, which is filing a Registration Statement on Form S-8 with the Securities and Exchange Commission, Washington, D.C. 20549 under the provisions of the Securities Act of 1933 hereby constitute and appoint Henry Schuck, Cameron Hyzer, Anthony Stark, and Christopher Arntzen,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or supplements to this Registration Statement, including post-effective amendments, and to file the same, with all exhibits thereto, and other documents in connection therewith with the Securities and Exchange Commission, and does hereby grant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8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and powers of attorney have been signed by the following persons in the capacities indicated on the 3rd day of June, 2020.</w:t>
      </w:r>
    </w:p>
    <w:p>
      <w:pPr>
        <w:sectPr>
          <w:pgSz w:w="11900" w:h="16838" w:orient="portrait"/>
          <w:cols w:equalWidth="0" w:num="1">
            <w:col w:w="11240"/>
          </w:cols>
          <w:pgMar w:left="320" w:top="337" w:right="339" w:bottom="1440" w:gutter="0" w:footer="0" w:header="0"/>
        </w:sectPr>
      </w:pPr>
    </w:p>
    <w:bookmarkStart w:id="7" w:name="page8"/>
    <w:bookmarkEnd w:id="7"/>
    <w:p>
      <w:pPr>
        <w:jc w:val="center"/>
        <w:ind w:right="9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3497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9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3497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84"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Henry Schuck</w:t>
      </w:r>
    </w:p>
    <w:p>
      <w:pPr>
        <w:spacing w:after="0" w:line="21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Todd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3497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84"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Todd Crockett</w:t>
      </w:r>
    </w:p>
    <w:p>
      <w:pPr>
        <w:spacing w:after="0" w:line="21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Mitesh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3497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84"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Mitesh Dhruv</w:t>
      </w:r>
    </w:p>
    <w:p>
      <w:pPr>
        <w:spacing w:after="0" w:line="21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Keith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3497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84"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Keith Enright</w:t>
      </w:r>
    </w:p>
    <w:p>
      <w:pPr>
        <w:spacing w:after="0" w:line="21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Ashley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3497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84"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Ashley Evans</w:t>
      </w:r>
    </w:p>
    <w:p>
      <w:pPr>
        <w:spacing w:after="0" w:line="21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Mark Mader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3497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84"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Mark Mader</w:t>
      </w:r>
    </w:p>
    <w:p>
      <w:pPr>
        <w:spacing w:after="0" w:line="212"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/s/ Patrick McCarter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3497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0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Patrick McCarter</w:t>
      </w:r>
    </w:p>
    <w:p>
      <w:pPr>
        <w:spacing w:after="0" w:line="21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Jason Mironov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3497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84"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Jason Mironov</w:t>
      </w:r>
    </w:p>
    <w:p>
      <w:pPr>
        <w:spacing w:after="0" w:line="212"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/s/ D. 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56515</wp:posOffset>
            </wp:positionV>
            <wp:extent cx="3497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 Randall Winn</w:t>
      </w:r>
    </w:p>
    <w:p>
      <w:pPr>
        <w:spacing w:after="0" w:line="212"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/s/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56515</wp:posOffset>
            </wp:positionV>
            <wp:extent cx="3497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9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Cameron Hyzer</w:t>
      </w:r>
    </w:p>
    <w:p>
      <w:pPr>
        <w:spacing w:after="0" w:line="21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David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3497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84"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David Reid</w:t>
      </w:r>
    </w:p>
    <w:p>
      <w:pPr>
        <w:spacing w:after="0" w:line="20" w:lineRule="exact"/>
        <w:rPr>
          <w:sz w:val="20"/>
          <w:szCs w:val="20"/>
          <w:color w:val="auto"/>
        </w:rPr>
      </w:pPr>
      <w:r>
        <w:rPr>
          <w:sz w:val="20"/>
          <w:szCs w:val="20"/>
          <w:color w:val="auto"/>
        </w:rPr>
        <w:br w:type="column"/>
      </w:r>
    </w:p>
    <w:p>
      <w:pPr>
        <w:ind w:left="22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40640</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Chief Executive Officer and Chairman of the Board of Directors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executive officer)</w:t>
      </w:r>
    </w:p>
    <w:p>
      <w:pPr>
        <w:spacing w:after="0" w:line="37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Vice President of Accounting and Controller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2">
            <w:col w:w="4280" w:space="720"/>
            <w:col w:w="4640"/>
          </w:cols>
          <w:pgMar w:left="1440" w:top="535" w:right="8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SIMPSON THACHER &amp; BARTLETT LLP]</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805 Broadway Street, Suite 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Washington 98660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acted as counsel to ZoomInfo Technologies Inc., a Delaware corporation (the “Company”), in connection with the Registration Statement on Form S-8 (the “Registration Statement”) filed by the Company with the Securities and Exchange Commission (the “Commission”) under the Securities Act of 1933, as amended, relating to the issuance by the Company of an aggregate of up to shares of Class A Common Stock, par value $0.01 per share, of the Company (the “Shares”), consisting of: (i) up to 18,650,000 shares of Class A Common Stock that may be issued by the Company pursuant to the ZoomInfo Technologies Inc. 2020 Omnibus Incentive Plan (the “2020 Omnibus Plan”); and (ii) up to 7,500,000 shares of Class A Common Stock that may be issued by the Company pursuant to the ZoomInfo Technologies Inc. 2020 Employee Stock Purchase Plan (the “ESPP” and, together with the 2020 Omnibus Plan, the “Plans”).</w:t>
      </w:r>
    </w:p>
    <w:p>
      <w:pPr>
        <w:spacing w:after="0" w:line="19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examined the Registration Statement, a form of the Amended and Restated Certificate of Incorporation of the Company (the “Amended Certificate”) and the Plans, each of which has been filed with the Commission as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17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have also assumed that the Amended Certificate is filed with the Secretary of State for the State of Delaware in the form filed with the Commission as an exhibit to the Registration Statement prior to the issuance of any of the Shares.</w:t>
      </w:r>
    </w:p>
    <w:p>
      <w:pPr>
        <w:spacing w:after="0" w:line="15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 (1) when the Amended Certificate has been duly filed with the Secretary of State of the State of Delaware and (2) upon issuance and delivery in accordance with the Plans, the Shares will be validly issued, fully paid and nonassessable.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do not express any opinion herein concerning any law other than the Delaware General Corporation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hereby consent to the filing of this opinion letter as Exhibit 5.1 to the Registration Statement.</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Simpson Thacher &amp; Bartlett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31750</wp:posOffset>
            </wp:positionV>
            <wp:extent cx="27686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SIMPSON THACHER &amp; BARTLETT LLP</w:t>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ZoomInfo Technologies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incorporated by reference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 2020</w:t>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DiscoverOrg Holdings, LLC:</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consent to the use of our report dated February 26, 2020, except for the effects of the reverse unit split described in Note 18, which is as of May 26, 2020 with respect to the consolidated financial statements incorporated by reference herein.</w:t>
      </w:r>
    </w:p>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Our report contains an explanatory paragraph that refers to a change in the method of accounting for leases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 2020</w:t>
      </w:r>
    </w:p>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ZoomInfo Technologies Inc. of our report dated November 22, 2019, relating to the consolidated financial statements of Zoom Information, Inc. and Subsidiaries appearing in Amendment No. 4 to the Registration Statement (No. 333-236674) on Form S-1 of ZoomInfo Technologies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RMS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Roman"/>
      <w:start w:val="2"/>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17" Type="http://schemas.openxmlformats.org/officeDocument/2006/relationships/hyperlink" Target="http://www.sec.gov/Archives/edgar/data/1794515/000162828020007502/exhibit31s-1a1formofamende.htm" TargetMode="External"/><Relationship Id="rId18" Type="http://schemas.openxmlformats.org/officeDocument/2006/relationships/hyperlink" Target="http://www.sec.gov/Archives/edgar/data/1794515/000162828020007502/exhibit32s-1a1formofamende.htm" TargetMode="External"/><Relationship Id="rId19" Type="http://schemas.openxmlformats.org/officeDocument/2006/relationships/hyperlink" Target="http://www.sec.gov/Archives/edgar/data/1794515/000162828020008317/exhibit1072020omnibusincen.htm" TargetMode="External"/><Relationship Id="rId20" Type="http://schemas.openxmlformats.org/officeDocument/2006/relationships/hyperlink" Target="http://www.sec.gov/Archives/edgar/data/1794515/000162828020008317/exhibit108employeestockpu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2020-06-03T16:12:13Z</dcterms:created>
  <dcterms:modified xsi:type="dcterms:W3CDTF">2020-06-03T16:12:13Z</dcterms:modified>
</cp:coreProperties>
</file>