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November 24, 2020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VIA EDGAR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230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ZoomInfo Technologies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Registration Statement on Form S-1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File No. 333-250905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Office of Technology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N.E.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c/o Edwin Kim, Attorney-Advisor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Ladies and Gentlemen: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firstLine="648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Rule 461 under the Securities Act of 1933, as amended, ZoomInfo Technologies Inc. (the “Company”) hereby requests that the effective date of the above-referenced Registration Statement be accelerated so that it may become effective at 9:00 a.m., New York, NY time, on November 27, 2020, or as soon as possible thereafter. In this regard, the Company is aware of its obligations under the Securities Act.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[Signature Page Follows]</w:t>
      </w:r>
    </w:p>
    <w:p>
      <w:pPr>
        <w:sectPr>
          <w:pgSz w:w="11900" w:h="16838" w:orient="portrait"/>
          <w:cols w:equalWidth="0" w:num="1">
            <w:col w:w="11220"/>
          </w:cols>
          <w:pgMar w:left="320" w:top="1440" w:right="359" w:bottom="1440" w:gutter="0" w:footer="0" w:header="0"/>
        </w:sectPr>
      </w:pPr>
    </w:p>
    <w:bookmarkStart w:id="1" w:name="page2"/>
    <w:bookmarkEnd w:id="1"/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center"/>
        <w:ind w:right="-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Very truly yours,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ZOOMINFO TECHNOLOGIES INC.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380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By:</w:t>
        <w:tab/>
        <w:t>/s/ Anthony Stark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2757170</wp:posOffset>
            </wp:positionH>
            <wp:positionV relativeFrom="paragraph">
              <wp:posOffset>24130</wp:posOffset>
            </wp:positionV>
            <wp:extent cx="366903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Name: Anthony Stark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Title:  General Counsel and Corporate Secretary</w:t>
      </w:r>
    </w:p>
    <w:sectPr>
      <w:pgSz w:w="11900" w:h="16838" w:orient="portrait"/>
      <w:cols w:equalWidth="0" w:num="1">
        <w:col w:w="9019"/>
      </w:cols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2020-12-28T23:06:40Z</dcterms:created>
  <dcterms:modified xsi:type="dcterms:W3CDTF">2020-12-28T23:06:40Z</dcterms:modified>
</cp:coreProperties>
</file>