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Carlyle Group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
        <w:spacing w:after="0" w:line="395" w:lineRule="auto"/>
        <w:rPr>
          <w:sz w:val="20"/>
          <w:szCs w:val="20"/>
          <w:color w:val="auto"/>
        </w:rPr>
      </w:pPr>
      <w:r>
        <w:rPr>
          <w:rFonts w:ascii="Arial" w:cs="Arial" w:eastAsia="Arial" w:hAnsi="Arial"/>
          <w:sz w:val="16"/>
          <w:szCs w:val="16"/>
          <w:color w:val="0000FF"/>
        </w:rPr>
        <w:t>C/O THE CARLYLE GROUP, 1001 PENNSYLVANIA AVE. NW, SUITE 220 SOUTH</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ZoomInfo Technologies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00" w:type="dxa"/>
            <w:vAlign w:val="bottom"/>
            <w:gridSpan w:val="3"/>
          </w:tcPr>
          <w:p>
            <w:pPr>
              <w:ind w:left="80"/>
              <w:spacing w:after="0"/>
              <w:rPr>
                <w:sz w:val="20"/>
                <w:szCs w:val="20"/>
                <w:color w:val="auto"/>
              </w:rPr>
            </w:pPr>
            <w:r>
              <w:rPr>
                <w:rFonts w:ascii="Arial" w:cs="Arial" w:eastAsia="Arial" w:hAnsi="Arial"/>
                <w:sz w:val="17"/>
                <w:szCs w:val="17"/>
                <w:color w:val="0000FF"/>
              </w:rPr>
              <w:t>10/14/2021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3"/>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0000FF"/>
                <w:w w:val="91"/>
              </w:rPr>
              <w:t>10/14/2021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Pr>
          <w:p>
            <w:pPr>
              <w:spacing w:after="0"/>
              <w:rPr>
                <w:sz w:val="22"/>
                <w:szCs w:val="22"/>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7"/>
                <w:szCs w:val="17"/>
                <w:color w:val="0000FF"/>
              </w:rPr>
              <w:t>109,899</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67.0742</w:t>
            </w:r>
            <w:r>
              <w:rPr>
                <w:rFonts w:ascii="Arial" w:cs="Arial" w:eastAsia="Arial" w:hAnsi="Arial"/>
                <w:sz w:val="22"/>
                <w:szCs w:val="22"/>
                <w:color w:val="008000"/>
                <w:w w:val="87"/>
                <w:vertAlign w:val="superscript"/>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58,766,429</w:t>
            </w:r>
          </w:p>
        </w:tc>
        <w:tc>
          <w:tcPr>
            <w:tcW w:w="34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10/14/2021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right"/>
              <w:ind w:right="47"/>
              <w:spacing w:after="0"/>
              <w:rPr>
                <w:sz w:val="20"/>
                <w:szCs w:val="20"/>
                <w:color w:val="auto"/>
              </w:rPr>
            </w:pPr>
            <w:r>
              <w:rPr>
                <w:rFonts w:ascii="Arial" w:cs="Arial" w:eastAsia="Arial" w:hAnsi="Arial"/>
                <w:sz w:val="17"/>
                <w:szCs w:val="17"/>
                <w:color w:val="0000FF"/>
              </w:rPr>
              <w:t>140,267</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67.8464</w:t>
            </w:r>
            <w:r>
              <w:rPr>
                <w:rFonts w:ascii="Arial" w:cs="Arial" w:eastAsia="Arial" w:hAnsi="Arial"/>
                <w:sz w:val="22"/>
                <w:szCs w:val="22"/>
                <w:color w:val="008000"/>
                <w:w w:val="87"/>
                <w:vertAlign w:val="superscript"/>
              </w:rPr>
              <w:t>(5)</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58,626,162</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right"/>
              <w:ind w:right="47"/>
              <w:spacing w:after="0"/>
              <w:rPr>
                <w:sz w:val="20"/>
                <w:szCs w:val="20"/>
                <w:color w:val="auto"/>
              </w:rPr>
            </w:pPr>
            <w:r>
              <w:rPr>
                <w:rFonts w:ascii="Arial" w:cs="Arial" w:eastAsia="Arial" w:hAnsi="Arial"/>
                <w:sz w:val="17"/>
                <w:szCs w:val="17"/>
                <w:color w:val="0000FF"/>
              </w:rPr>
              <w:t>101,931</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67.0759</w:t>
            </w:r>
            <w:r>
              <w:rPr>
                <w:rFonts w:ascii="Arial" w:cs="Arial" w:eastAsia="Arial" w:hAnsi="Arial"/>
                <w:sz w:val="22"/>
                <w:szCs w:val="22"/>
                <w:color w:val="008000"/>
                <w:w w:val="87"/>
                <w:vertAlign w:val="superscript"/>
              </w:rPr>
              <w:t>(6)</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58,524,231</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right"/>
              <w:ind w:right="47"/>
              <w:spacing w:after="0"/>
              <w:rPr>
                <w:sz w:val="20"/>
                <w:szCs w:val="20"/>
                <w:color w:val="auto"/>
              </w:rPr>
            </w:pPr>
            <w:r>
              <w:rPr>
                <w:rFonts w:ascii="Arial" w:cs="Arial" w:eastAsia="Arial" w:hAnsi="Arial"/>
                <w:sz w:val="17"/>
                <w:szCs w:val="17"/>
                <w:color w:val="0000FF"/>
              </w:rPr>
              <w:t>165,314</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67.5908</w:t>
            </w:r>
            <w:r>
              <w:rPr>
                <w:rFonts w:ascii="Arial" w:cs="Arial" w:eastAsia="Arial" w:hAnsi="Arial"/>
                <w:sz w:val="22"/>
                <w:szCs w:val="22"/>
                <w:color w:val="008000"/>
                <w:w w:val="87"/>
                <w:vertAlign w:val="superscript"/>
              </w:rPr>
              <w:t>(7)</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58,358,917</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6"/>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6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3"/>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Carlyle Group Inc.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Arial" w:cs="Arial" w:eastAsia="Arial" w:hAnsi="Arial"/>
                <w:sz w:val="17"/>
                <w:szCs w:val="17"/>
                <w:color w:val="0000FF"/>
                <w:w w:val="96"/>
              </w:rPr>
              <w:t>C/O THE CARLYLE GROUP, 1001</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PENNSYLVANIA AVE. NW, SUITE 220 SOUTH</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WASHINGTON</w:t>
            </w: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DC</w:t>
            </w:r>
          </w:p>
        </w:tc>
        <w:tc>
          <w:tcPr>
            <w:tcW w:w="1080" w:type="dxa"/>
            <w:vAlign w:val="bottom"/>
          </w:tcPr>
          <w:p>
            <w:pPr>
              <w:ind w:left="220"/>
              <w:spacing w:after="0"/>
              <w:rPr>
                <w:sz w:val="20"/>
                <w:szCs w:val="20"/>
                <w:color w:val="auto"/>
              </w:rPr>
            </w:pPr>
            <w:r>
              <w:rPr>
                <w:rFonts w:ascii="Arial" w:cs="Arial" w:eastAsia="Arial" w:hAnsi="Arial"/>
                <w:sz w:val="17"/>
                <w:szCs w:val="17"/>
                <w:color w:val="0000FF"/>
                <w:w w:val="92"/>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Carlyle Holdings I GP Inc.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WASHINGTON</w:t>
        <w:tab/>
        <w:t>DC</w:t>
      </w:r>
      <w:r>
        <w:rPr>
          <w:sz w:val="20"/>
          <w:szCs w:val="20"/>
          <w:color w:val="auto"/>
        </w:rPr>
        <w:tab/>
      </w:r>
      <w:r>
        <w:rPr>
          <w:rFonts w:ascii="Arial" w:cs="Arial" w:eastAsia="Arial" w:hAnsi="Arial"/>
          <w:sz w:val="15"/>
          <w:szCs w:val="15"/>
          <w:color w:val="0000FF"/>
        </w:rPr>
        <w:t>20004-2505</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78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377825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Carlyle Holdings I GP Sub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Carlyle Holdings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0"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$66.32 to $67.315.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29,260,412 shares of Class A Common Stock held of record by CP VI Evergreen Holdings, L.P. ("CP VI Evergreen") and (ii) 29,098,505 shares of Class A Common Stock held of record by Carlyle Partners VI Evergreen Holdings, L.P. ("Carlyle Evergreen").</w:t>
      </w:r>
    </w:p>
    <w:p>
      <w:pPr>
        <w:spacing w:after="0" w:line="1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Carlyle Group Inc., which is a publicly traded entity listed on the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9"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$67.32 to $68.175.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$66.31 to $67.305.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$67.31 to $67.98.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60"/>
        <w:spacing w:after="0" w:line="266" w:lineRule="auto"/>
        <w:rPr>
          <w:sz w:val="20"/>
          <w:szCs w:val="20"/>
          <w:color w:val="auto"/>
        </w:rPr>
      </w:pPr>
      <w:r>
        <w:rPr>
          <w:rFonts w:ascii="Arial" w:cs="Arial" w:eastAsia="Arial" w:hAnsi="Arial"/>
          <w:sz w:val="13"/>
          <w:szCs w:val="13"/>
          <w:color w:val="008000"/>
        </w:rPr>
        <w:t>Due to the limitations of the electronic filing system, each of CG Subsidiary Holdings L.L.C., TC Group, L.L.C., TC Group Sub L.P., TC Group VI S1, L.L.C., TC Group VI S1, L.P., Carlyle Partners VI Evergreen Holdings, L.P., and CP VI Evergreen Holdings, L.P. are filing a separate Form 4.</w:t>
      </w:r>
    </w:p>
    <w:p>
      <w:pPr>
        <w:sectPr>
          <w:pgSz w:w="11900" w:h="16838" w:orient="portrait"/>
          <w:cols w:equalWidth="0" w:num="1">
            <w:col w:w="10880"/>
          </w:cols>
          <w:pgMar w:left="480" w:top="179" w:right="539" w:bottom="357"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Carlyle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1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8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2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Carlyle Holdings I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96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25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 for Curtis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Buser, 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Carlyle Holdings I GP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855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L.L.C., By: Carlyle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GP Inc., its sole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7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1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8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7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2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Carlyle Holdings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12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Anne Frederick,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1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8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10/18/2021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10/18/2021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10/18/2021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20"/>
          </w:cols>
          <w:pgMar w:left="480" w:top="179" w:right="539" w:bottom="357"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79" w:right="539" w:bottom="3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2" Type="http://schemas.openxmlformats.org/officeDocument/2006/relationships/hyperlink" Target="http://www.sec.gov/cgi-bin/browse-edgar?action=getcompany&amp;CIK=0001527166" TargetMode="External"/><Relationship Id="rId13" Type="http://schemas.openxmlformats.org/officeDocument/2006/relationships/hyperlink" Target="http://www.sec.gov/cgi-bin/browse-edgar?action=getcompany&amp;CIK=0001794515" TargetMode="External"/><Relationship Id="rId14" Type="http://schemas.openxmlformats.org/officeDocument/2006/relationships/hyperlink" Target="http://www.sec.gov/cgi-bin/browse-edgar?action=getcompany&amp;CIK=0001548626" TargetMode="External"/><Relationship Id="rId17" Type="http://schemas.openxmlformats.org/officeDocument/2006/relationships/hyperlink" Target="http://www.sec.gov/cgi-bin/browse-edgar?action=getcompany&amp;CIK=0001548627" TargetMode="External"/><Relationship Id="rId18" Type="http://schemas.openxmlformats.org/officeDocument/2006/relationships/hyperlink" Target="http://www.sec.gov/cgi-bin/browse-edgar?action=getcompany&amp;CIK=0001548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2021-10-18T16:17:40Z</dcterms:created>
  <dcterms:modified xsi:type="dcterms:W3CDTF">2021-10-18T16:17:40Z</dcterms:modified>
</cp:coreProperties>
</file>