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9955998.xml.htm"/>
      <w:bookmarkStart w:id="1" w:name="kswkform4_17199559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Hyzer Peter Cameron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805 BROADWAY STREET, 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ZI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749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38,142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1,317,165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36,764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1,353,929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29,911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12.77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1,324,018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38,142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38,142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76,286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36,764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36,764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257,354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to cover the Reporting Person's tax liability in connection with the vesting of the restricted stock units reported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received an original grant of 305,141 restricted stock units, which vest in equal quarterly installments during the 2 years following January 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 received an original grant of 294,118 restricted stock units, which will vest in equal quarterly installments during the 2 years following April 1,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Ashley McGrane,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813397" TargetMode="External"/><Relationship Id="rId4" Type="http://schemas.openxmlformats.org/officeDocument/2006/relationships/hyperlink" Target="http://www.sec.gov/cgi-bin/browse-edgar?action=getcompany&amp;CIK=0001794515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704</Words>
  <Characters>3858</Characters>
  <CharactersWithSpaces>4467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