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8-K</w:t>
      </w:r>
    </w:p>
    <w:p>
      <w:pPr>
        <w:pStyle w:val="TextBody"/>
        <w:bidi w:val="0"/>
        <w:spacing w:before="0" w:after="0"/>
        <w:jc w:val="center"/>
        <w:rPr/>
      </w:pPr>
      <w:r>
        <w:rPr/>
      </w:r>
    </w:p>
    <w:p>
      <w:pPr>
        <w:pStyle w:val="TextBody"/>
        <w:bidi w:val="0"/>
        <w:spacing w:lineRule="auto" w:line="288" w:before="0" w:after="0"/>
        <w:jc w:val="center"/>
        <w:rPr/>
      </w:pPr>
      <w:r>
        <w:rPr>
          <w:color w:val="000000"/>
        </w:rPr>
        <w:t> </w:t>
      </w: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May 14, 2025</w:t>
      </w:r>
    </w:p>
    <w:p>
      <w:pPr>
        <w:pStyle w:val="TextBody"/>
        <w:bidi w:val="0"/>
        <w:spacing w:lineRule="auto" w:line="288" w:before="0" w:after="20"/>
        <w:jc w:val="center"/>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ZoomInfo Technologies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0" w:after="20"/>
        <w:jc w:val="center"/>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483" w:type="dxa"/>
        <w:jc w:val="center"/>
        <w:tblInd w:w="0" w:type="dxa"/>
        <w:tblLayout w:type="fixed"/>
        <w:tblCellMar>
          <w:top w:w="28" w:type="dxa"/>
          <w:left w:w="28" w:type="dxa"/>
          <w:bottom w:w="28" w:type="dxa"/>
          <w:right w:w="28" w:type="dxa"/>
        </w:tblCellMar>
      </w:tblPr>
      <w:tblGrid>
        <w:gridCol w:w="829"/>
        <w:gridCol w:w="729"/>
        <w:gridCol w:w="736"/>
        <w:gridCol w:w="762"/>
        <w:gridCol w:w="762"/>
        <w:gridCol w:w="770"/>
        <w:gridCol w:w="845"/>
        <w:gridCol w:w="845"/>
        <w:gridCol w:w="1205"/>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001-39310</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87-3037521</w:t>
            </w:r>
          </w:p>
        </w:tc>
      </w:tr>
      <w:tr>
        <w:trPr/>
        <w:tc>
          <w:tcPr>
            <w:tcW w:w="22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805 Broadway Street, Suite 900, Vancouver, Washington 98660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(800) 914-1220</w:t>
      </w:r>
    </w:p>
    <w:p>
      <w:pPr>
        <w:pStyle w:val="TextBody"/>
        <w:bidi w:val="0"/>
        <w:spacing w:lineRule="auto" w:line="288" w:before="0" w:after="20"/>
        <w:jc w:val="center"/>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0" w:after="100"/>
        <w:ind w:left="0" w:right="0" w:hanging="360"/>
        <w:jc w:val="left"/>
        <w:rPr>
          <w:color w:val="000000"/>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100" w:after="100"/>
        <w:ind w:left="0" w:right="0" w:hanging="360"/>
        <w:jc w:val="left"/>
        <w:rPr>
          <w:color w:val="000000"/>
        </w:rPr>
      </w:pPr>
      <w:r>
        <w:rPr>
          <w:color w:val="000000"/>
        </w:rPr>
        <w:t xml:space="preserve">☐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100" w:after="100"/>
        <w:ind w:left="0" w:right="0" w:hanging="360"/>
        <w:jc w:val="left"/>
        <w:rPr>
          <w:color w:val="000000"/>
        </w:rPr>
      </w:pPr>
      <w:r>
        <w:rPr>
          <w:color w:val="000000"/>
        </w:rPr>
        <w:t xml:space="preserve">☐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100" w:after="100"/>
        <w:ind w:left="0" w:right="0" w:hanging="360"/>
        <w:jc w:val="left"/>
        <w:rPr>
          <w:color w:val="000000"/>
        </w:rPr>
      </w:pPr>
      <w:r>
        <w:rPr>
          <w:color w:val="000000"/>
        </w:rPr>
        <w:t xml:space="preserve">☐ </w:t>
      </w:r>
      <w:r>
        <w:rPr>
          <w:rFonts w:ascii="Times New Roman;sans-serif" w:hAnsi="Times New Roman;sans-serif"/>
          <w:b w:val="false"/>
          <w:color w:val="000000"/>
          <w:sz w:val="20"/>
        </w:rPr>
        <w:t>Pre−commencement communications pursuant to Rule 13e−4(c) under the Exchange Act (17 CFR 240.13e− 4(c))</w:t>
      </w:r>
    </w:p>
    <w:p>
      <w:pPr>
        <w:pStyle w:val="TextBody"/>
        <w:bidi w:val="0"/>
        <w:spacing w:lineRule="auto" w:line="288"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18" w:type="dxa"/>
        <w:jc w:val="left"/>
        <w:tblInd w:w="0" w:type="dxa"/>
        <w:tblLayout w:type="fixed"/>
        <w:tblCellMar>
          <w:top w:w="28" w:type="dxa"/>
          <w:left w:w="28" w:type="dxa"/>
          <w:bottom w:w="28" w:type="dxa"/>
          <w:right w:w="28" w:type="dxa"/>
        </w:tblCellMar>
      </w:tblPr>
      <w:tblGrid>
        <w:gridCol w:w="1263"/>
        <w:gridCol w:w="1109"/>
        <w:gridCol w:w="1122"/>
        <w:gridCol w:w="499"/>
        <w:gridCol w:w="499"/>
        <w:gridCol w:w="501"/>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4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14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GTM</w:t>
            </w:r>
          </w:p>
        </w:tc>
        <w:tc>
          <w:tcPr>
            <w:tcW w:w="38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before="0" w:after="120"/>
        <w:jc w:val="left"/>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5.07.    Submission of Matters to a Vote of Security Holders.</w:t>
      </w:r>
    </w:p>
    <w:p>
      <w:pPr>
        <w:pStyle w:val="TextBody"/>
        <w:bidi w:val="0"/>
        <w:spacing w:lineRule="auto" w:line="288" w:before="0" w:after="22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ZoomInfo Technologies Inc. (“ZoomInfo”) held its 2025 Annual Meeting of Stockholders (the “Annual Meeting”) on May 14, 2025. The matters voted upon at the Annual Meeting and the final voting results were as stated below. Holders of the shares of ZoomInfo’s common stock were entitled to one vote per share held as of the close of business on March 17, 2025 (the “Record Date”). The proposals related to each matter are described in detail in ZoomInfo's definitive proxy statement for the Annual Meeting filed on March 27, 2025. </w:t>
      </w:r>
    </w:p>
    <w:p>
      <w:pPr>
        <w:pStyle w:val="TextBody"/>
        <w:bidi w:val="0"/>
        <w:spacing w:lineRule="auto" w:line="288" w:before="220" w:after="220"/>
        <w:jc w:val="left"/>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Proposal No. 1 - Election of Directors</w:t>
      </w:r>
    </w:p>
    <w:p>
      <w:pPr>
        <w:pStyle w:val="TextBody"/>
        <w:bidi w:val="0"/>
        <w:spacing w:lineRule="auto" w:line="288" w:before="0" w:after="220"/>
        <w:ind w:left="0" w:right="0" w:firstLine="720"/>
        <w:jc w:val="both"/>
        <w:rPr/>
      </w:pPr>
      <w:r>
        <w:rPr>
          <w:rFonts w:ascii="Times New Roman;sans-serif" w:hAnsi="Times New Roman;sans-serif"/>
          <w:b w:val="false"/>
          <w:color w:val="000000"/>
          <w:sz w:val="22"/>
          <w:shd w:fill="FFFFFF" w:val="clear"/>
        </w:rPr>
        <w:t xml:space="preserve">The following nominees were each elected to serve as a Class II director for a </w:t>
      </w:r>
      <w:r>
        <w:rPr>
          <w:rFonts w:ascii="Times New Roman;sans-serif" w:hAnsi="Times New Roman;sans-serif"/>
          <w:b w:val="false"/>
          <w:color w:val="000000"/>
          <w:sz w:val="22"/>
        </w:rPr>
        <w:t>three-year</w:t>
      </w:r>
      <w:r>
        <w:rPr>
          <w:color w:val="000000"/>
          <w:shd w:fill="FFFFFF" w:val="clear"/>
        </w:rPr>
        <w:t xml:space="preserve"> </w:t>
      </w:r>
      <w:r>
        <w:rPr>
          <w:rFonts w:ascii="Times New Roman;sans-serif" w:hAnsi="Times New Roman;sans-serif"/>
          <w:b w:val="false"/>
          <w:color w:val="000000"/>
          <w:sz w:val="22"/>
          <w:shd w:fill="FFFFFF" w:val="clear"/>
        </w:rPr>
        <w:t>term expiring at the 2028 annual meeting of stockholders or until his or her successor has been duly elected and qualified. The voting results were as follows:</w:t>
      </w:r>
    </w:p>
    <w:tbl>
      <w:tblPr>
        <w:tblW w:w="6824" w:type="dxa"/>
        <w:jc w:val="left"/>
        <w:tblInd w:w="0" w:type="dxa"/>
        <w:tblLayout w:type="fixed"/>
        <w:tblCellMar>
          <w:top w:w="28" w:type="dxa"/>
          <w:left w:w="28" w:type="dxa"/>
          <w:bottom w:w="28" w:type="dxa"/>
          <w:right w:w="28" w:type="dxa"/>
        </w:tblCellMar>
      </w:tblPr>
      <w:tblGrid>
        <w:gridCol w:w="711"/>
        <w:gridCol w:w="626"/>
        <w:gridCol w:w="628"/>
        <w:gridCol w:w="434"/>
        <w:gridCol w:w="434"/>
        <w:gridCol w:w="438"/>
        <w:gridCol w:w="534"/>
        <w:gridCol w:w="534"/>
        <w:gridCol w:w="536"/>
        <w:gridCol w:w="570"/>
        <w:gridCol w:w="570"/>
        <w:gridCol w:w="809"/>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Director Nominee</w:t>
            </w:r>
          </w:p>
        </w:tc>
        <w:tc>
          <w:tcPr>
            <w:tcW w:w="13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Votes For</w:t>
            </w:r>
          </w:p>
        </w:tc>
        <w:tc>
          <w:tcPr>
            <w:tcW w:w="1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Votes Withheld</w:t>
            </w:r>
          </w:p>
        </w:tc>
        <w:tc>
          <w:tcPr>
            <w:tcW w:w="19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Broker Non-Votes</w:t>
            </w:r>
          </w:p>
        </w:tc>
      </w:tr>
      <w:tr>
        <w:trPr/>
        <w:tc>
          <w:tcPr>
            <w:tcW w:w="19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Ashley S. Evans</w:t>
            </w:r>
          </w:p>
        </w:tc>
        <w:tc>
          <w:tcPr>
            <w:tcW w:w="13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254,836,383</w:t>
            </w:r>
          </w:p>
        </w:tc>
        <w:tc>
          <w:tcPr>
            <w:tcW w:w="1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9,888,934</w:t>
            </w:r>
          </w:p>
        </w:tc>
        <w:tc>
          <w:tcPr>
            <w:tcW w:w="19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21,338,448</w:t>
            </w:r>
          </w:p>
        </w:tc>
      </w:tr>
      <w:tr>
        <w:trPr/>
        <w:tc>
          <w:tcPr>
            <w:tcW w:w="19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Robert Keith Giglio</w:t>
            </w:r>
          </w:p>
        </w:tc>
        <w:tc>
          <w:tcPr>
            <w:tcW w:w="13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261,642,833</w:t>
            </w:r>
          </w:p>
        </w:tc>
        <w:tc>
          <w:tcPr>
            <w:tcW w:w="1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3,082,484</w:t>
            </w:r>
          </w:p>
        </w:tc>
        <w:tc>
          <w:tcPr>
            <w:tcW w:w="19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21,338,448</w:t>
            </w:r>
          </w:p>
        </w:tc>
      </w:tr>
      <w:tr>
        <w:trPr/>
        <w:tc>
          <w:tcPr>
            <w:tcW w:w="19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Alison Gleeson</w:t>
            </w:r>
          </w:p>
        </w:tc>
        <w:tc>
          <w:tcPr>
            <w:tcW w:w="13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199,755,723</w:t>
            </w:r>
          </w:p>
        </w:tc>
        <w:tc>
          <w:tcPr>
            <w:tcW w:w="1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64,969,594</w:t>
            </w:r>
          </w:p>
        </w:tc>
        <w:tc>
          <w:tcPr>
            <w:tcW w:w="19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21,338,448</w:t>
            </w:r>
          </w:p>
        </w:tc>
      </w:tr>
      <w:tr>
        <w:trPr/>
        <w:tc>
          <w:tcPr>
            <w:tcW w:w="196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Mark Mader</w:t>
            </w:r>
          </w:p>
        </w:tc>
        <w:tc>
          <w:tcPr>
            <w:tcW w:w="13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255,449,154</w:t>
            </w:r>
          </w:p>
        </w:tc>
        <w:tc>
          <w:tcPr>
            <w:tcW w:w="1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9,276,163</w:t>
            </w:r>
          </w:p>
        </w:tc>
        <w:tc>
          <w:tcPr>
            <w:tcW w:w="19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21,338,448</w:t>
            </w:r>
          </w:p>
        </w:tc>
      </w:tr>
    </w:tbl>
    <w:p>
      <w:pPr>
        <w:pStyle w:val="TextBody"/>
        <w:bidi w:val="0"/>
        <w:spacing w:lineRule="auto" w:line="288" w:before="220" w:after="220"/>
        <w:jc w:val="left"/>
        <w:rPr>
          <w:rFonts w:ascii="Times New Roman;sans-serif" w:hAnsi="Times New Roman;sans-serif"/>
          <w:b/>
          <w:color w:val="000000"/>
          <w:sz w:val="22"/>
        </w:rPr>
      </w:pPr>
      <w:r>
        <w:rPr>
          <w:rFonts w:ascii="Times New Roman;sans-serif" w:hAnsi="Times New Roman;sans-serif"/>
          <w:b/>
          <w:color w:val="000000"/>
          <w:sz w:val="22"/>
        </w:rPr>
        <w:t>Proposal No. 2 – Ratification of Independent Registered Public Accounting Firm</w:t>
      </w:r>
    </w:p>
    <w:p>
      <w:pPr>
        <w:pStyle w:val="TextBody"/>
        <w:bidi w:val="0"/>
        <w:spacing w:lineRule="auto" w:line="288" w:before="0" w:after="220"/>
        <w:jc w:val="both"/>
        <w:rPr>
          <w:color w:val="000000"/>
        </w:rPr>
      </w:pPr>
      <w:r>
        <w:rPr>
          <w:color w:val="000000"/>
        </w:rPr>
        <w:t>    </w:t>
      </w:r>
      <w:r>
        <w:rPr>
          <w:rFonts w:ascii="Times New Roman;sans-serif" w:hAnsi="Times New Roman;sans-serif"/>
          <w:b w:val="false"/>
          <w:color w:val="000000"/>
          <w:sz w:val="22"/>
        </w:rPr>
        <w:t>The appointment of KPMG LLP as the independent registered public accounting firm for ZoomInfo for 2025 was ratified. The voting results were as follows:</w:t>
      </w:r>
    </w:p>
    <w:tbl>
      <w:tblPr>
        <w:tblW w:w="5985" w:type="dxa"/>
        <w:jc w:val="left"/>
        <w:tblInd w:w="0" w:type="dxa"/>
        <w:tblLayout w:type="fixed"/>
        <w:tblCellMar>
          <w:top w:w="28" w:type="dxa"/>
          <w:left w:w="28" w:type="dxa"/>
          <w:bottom w:w="28" w:type="dxa"/>
          <w:right w:w="28" w:type="dxa"/>
        </w:tblCellMar>
      </w:tblPr>
      <w:tblGrid>
        <w:gridCol w:w="478"/>
        <w:gridCol w:w="420"/>
        <w:gridCol w:w="423"/>
        <w:gridCol w:w="489"/>
        <w:gridCol w:w="489"/>
        <w:gridCol w:w="491"/>
        <w:gridCol w:w="415"/>
        <w:gridCol w:w="415"/>
        <w:gridCol w:w="416"/>
        <w:gridCol w:w="570"/>
        <w:gridCol w:w="570"/>
        <w:gridCol w:w="809"/>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Votes For</w:t>
            </w:r>
          </w:p>
        </w:tc>
        <w:tc>
          <w:tcPr>
            <w:tcW w:w="14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Votes Against</w:t>
            </w:r>
          </w:p>
        </w:tc>
        <w:tc>
          <w:tcPr>
            <w:tcW w:w="12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Abstentions</w:t>
            </w:r>
          </w:p>
        </w:tc>
        <w:tc>
          <w:tcPr>
            <w:tcW w:w="19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Broker Non-Votes</w:t>
            </w:r>
          </w:p>
        </w:tc>
      </w:tr>
      <w:tr>
        <w:trPr/>
        <w:tc>
          <w:tcPr>
            <w:tcW w:w="132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285,082,369</w:t>
            </w:r>
          </w:p>
        </w:tc>
        <w:tc>
          <w:tcPr>
            <w:tcW w:w="146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104,704</w:t>
            </w:r>
          </w:p>
        </w:tc>
        <w:tc>
          <w:tcPr>
            <w:tcW w:w="124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876,692</w:t>
            </w:r>
          </w:p>
        </w:tc>
        <w:tc>
          <w:tcPr>
            <w:tcW w:w="19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N/A</w:t>
            </w:r>
          </w:p>
        </w:tc>
      </w:tr>
    </w:tbl>
    <w:p>
      <w:pPr>
        <w:pStyle w:val="TextBody"/>
        <w:bidi w:val="0"/>
        <w:spacing w:lineRule="auto" w:line="288" w:before="220" w:after="220"/>
        <w:jc w:val="both"/>
        <w:rPr>
          <w:rFonts w:ascii="Times New Roman;sans-serif" w:hAnsi="Times New Roman;sans-serif"/>
          <w:b/>
          <w:color w:val="000000"/>
          <w:sz w:val="22"/>
        </w:rPr>
      </w:pPr>
      <w:r>
        <w:rPr>
          <w:rFonts w:ascii="Times New Roman;sans-serif" w:hAnsi="Times New Roman;sans-serif"/>
          <w:b/>
          <w:color w:val="000000"/>
          <w:sz w:val="22"/>
        </w:rPr>
        <w:t>Proposal No. 3 – Advisory, non-binding vote on the compensation of ZoomInfo’s named executive officers</w:t>
      </w:r>
    </w:p>
    <w:p>
      <w:pPr>
        <w:pStyle w:val="TextBody"/>
        <w:bidi w:val="0"/>
        <w:spacing w:lineRule="auto" w:line="288" w:before="0" w:after="2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ZoomInfo’s stockholders approved, on a non-binding, advisory basis, the compensation of ZoomInfo’s named executive officers. The voting results were as follows:</w:t>
      </w:r>
    </w:p>
    <w:tbl>
      <w:tblPr>
        <w:tblW w:w="5985" w:type="dxa"/>
        <w:jc w:val="left"/>
        <w:tblInd w:w="0" w:type="dxa"/>
        <w:tblLayout w:type="fixed"/>
        <w:tblCellMar>
          <w:top w:w="28" w:type="dxa"/>
          <w:left w:w="28" w:type="dxa"/>
          <w:bottom w:w="28" w:type="dxa"/>
          <w:right w:w="28" w:type="dxa"/>
        </w:tblCellMar>
      </w:tblPr>
      <w:tblGrid>
        <w:gridCol w:w="478"/>
        <w:gridCol w:w="420"/>
        <w:gridCol w:w="423"/>
        <w:gridCol w:w="489"/>
        <w:gridCol w:w="489"/>
        <w:gridCol w:w="491"/>
        <w:gridCol w:w="415"/>
        <w:gridCol w:w="415"/>
        <w:gridCol w:w="416"/>
        <w:gridCol w:w="570"/>
        <w:gridCol w:w="570"/>
        <w:gridCol w:w="809"/>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Votes For</w:t>
            </w:r>
          </w:p>
        </w:tc>
        <w:tc>
          <w:tcPr>
            <w:tcW w:w="14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Votes Against</w:t>
            </w:r>
          </w:p>
        </w:tc>
        <w:tc>
          <w:tcPr>
            <w:tcW w:w="12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Abstentions</w:t>
            </w:r>
          </w:p>
        </w:tc>
        <w:tc>
          <w:tcPr>
            <w:tcW w:w="19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Broker Non-Votes</w:t>
            </w:r>
          </w:p>
        </w:tc>
      </w:tr>
      <w:tr>
        <w:trPr/>
        <w:tc>
          <w:tcPr>
            <w:tcW w:w="132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261,047,298</w:t>
            </w:r>
          </w:p>
        </w:tc>
        <w:tc>
          <w:tcPr>
            <w:tcW w:w="146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1,257,452</w:t>
            </w:r>
          </w:p>
        </w:tc>
        <w:tc>
          <w:tcPr>
            <w:tcW w:w="124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2,420,567</w:t>
            </w:r>
          </w:p>
        </w:tc>
        <w:tc>
          <w:tcPr>
            <w:tcW w:w="19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21,338,448</w:t>
            </w:r>
          </w:p>
        </w:tc>
      </w:tr>
    </w:tbl>
    <w:p>
      <w:pPr>
        <w:pStyle w:val="TextBody"/>
        <w:bidi w:val="0"/>
        <w:spacing w:before="220" w:after="220"/>
        <w:jc w:val="left"/>
        <w:rPr/>
      </w:pPr>
      <w:r>
        <w:rPr/>
      </w:r>
    </w:p>
    <w:p>
      <w:pPr>
        <w:pStyle w:val="TextBody"/>
        <w:bidi w:val="0"/>
        <w:spacing w:before="220" w:after="2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60" w:before="0" w:after="0"/>
        <w:ind w:left="0" w:right="0" w:firstLine="5040"/>
        <w:jc w:val="left"/>
        <w:rPr>
          <w:rFonts w:ascii="Times New Roman;sans-serif" w:hAnsi="Times New Roman;sans-serif"/>
          <w:b w:val="false"/>
          <w:color w:val="000000"/>
          <w:sz w:val="22"/>
        </w:rPr>
      </w:pPr>
      <w:r>
        <w:rPr>
          <w:rFonts w:ascii="Times New Roman;sans-serif" w:hAnsi="Times New Roman;sans-serif"/>
          <w:b w:val="false"/>
          <w:color w:val="000000"/>
          <w:sz w:val="22"/>
        </w:rPr>
        <w:t>ZoomInfo Technologies Inc.</w:t>
      </w:r>
    </w:p>
    <w:p>
      <w:pPr>
        <w:pStyle w:val="TextBody"/>
        <w:bidi w:val="0"/>
        <w:spacing w:lineRule="auto" w:line="46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Date: May 16, 2025</w:t>
      </w:r>
    </w:p>
    <w:p>
      <w:pPr>
        <w:pStyle w:val="TextBody"/>
        <w:bidi w:val="0"/>
        <w:spacing w:lineRule="auto" w:line="460" w:before="0" w:after="0"/>
        <w:ind w:left="0" w:right="0" w:firstLine="5040"/>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Ashley McGrane     </w:t>
      </w:r>
    </w:p>
    <w:p>
      <w:pPr>
        <w:pStyle w:val="TextBody"/>
        <w:bidi w:val="0"/>
        <w:spacing w:lineRule="auto" w:line="460" w:before="0" w:after="0"/>
        <w:ind w:left="0" w:right="0" w:firstLine="5040"/>
        <w:jc w:val="left"/>
        <w:rPr>
          <w:rFonts w:ascii="Times New Roman;sans-serif" w:hAnsi="Times New Roman;sans-serif"/>
          <w:b w:val="false"/>
          <w:color w:val="000000"/>
          <w:sz w:val="22"/>
        </w:rPr>
      </w:pPr>
      <w:r>
        <w:rPr>
          <w:rFonts w:ascii="Times New Roman;sans-serif" w:hAnsi="Times New Roman;sans-serif"/>
          <w:b w:val="false"/>
          <w:color w:val="000000"/>
          <w:sz w:val="22"/>
        </w:rPr>
        <w:t>Name:  Ashley McGrane</w:t>
      </w:r>
    </w:p>
    <w:p>
      <w:pPr>
        <w:pStyle w:val="TextBody"/>
        <w:bidi w:val="0"/>
        <w:spacing w:lineRule="auto" w:line="460"/>
        <w:ind w:left="0" w:right="0" w:firstLine="5040"/>
        <w:jc w:val="left"/>
        <w:rPr>
          <w:rFonts w:ascii="Times New Roman;sans-serif" w:hAnsi="Times New Roman;sans-serif"/>
          <w:b w:val="false"/>
          <w:color w:val="000000"/>
          <w:sz w:val="22"/>
        </w:rPr>
      </w:pPr>
      <w:r>
        <w:rPr>
          <w:rFonts w:ascii="Times New Roman;sans-serif" w:hAnsi="Times New Roman;sans-serif"/>
          <w:b w:val="false"/>
          <w:color w:val="000000"/>
          <w:sz w:val="22"/>
        </w:rPr>
        <w:t>Title:   General Counsel and Corporate Secretary</w:t>
      </w:r>
    </w:p>
    <w:p>
      <w:pPr>
        <w:pStyle w:val="TextBody"/>
        <w:bidi w:val="0"/>
        <w:spacing w:before="0" w:after="283"/>
        <w:ind w:left="0" w:right="0" w:firstLine="504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3.7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3508</Characters>
  <CharactersWithSpaces>4079</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