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40" w:right="60"/>
        <w:spacing w:after="0" w:line="25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-228600</wp:posOffset>
            </wp:positionV>
            <wp:extent cx="121285" cy="121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ind w:left="34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-570230</wp:posOffset>
            </wp:positionV>
            <wp:extent cx="121285" cy="121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7"/>
        </w:trPr>
        <w:tc>
          <w:tcPr>
            <w:tcW w:w="624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7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5230495</wp:posOffset>
            </wp:positionH>
            <wp:positionV relativeFrom="paragraph">
              <wp:posOffset>-617220</wp:posOffset>
            </wp:positionV>
            <wp:extent cx="57785" cy="6305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0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3955415</wp:posOffset>
            </wp:positionH>
            <wp:positionV relativeFrom="paragraph">
              <wp:posOffset>-617220</wp:posOffset>
            </wp:positionV>
            <wp:extent cx="57785" cy="6305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0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-1674495</wp:posOffset>
            </wp:positionH>
            <wp:positionV relativeFrom="paragraph">
              <wp:posOffset>731520</wp:posOffset>
            </wp:positionV>
            <wp:extent cx="6995795" cy="56642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795" cy="5664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340"/>
            <w:col w:w="8460"/>
          </w:cols>
          <w:pgMar w:left="460" w:top="216" w:right="359" w:bottom="1440" w:gutter="0" w:footer="0" w:header="0"/>
        </w:sectPr>
      </w:pP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O'Brien Michael Graham</w:t>
        </w:r>
      </w:hyperlink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120" w:right="160"/>
        <w:spacing w:after="0" w:line="34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C/O ZOOMINFO TECHNOLOGIES INC., 330 W COLUMBIA WAY, FLOOR 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jc w:val="center"/>
        <w:ind w:right="126"/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ZoomInfo Technologies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GTM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-6" w:right="680" w:firstLine="6"/>
        <w:spacing w:after="0" w:line="252" w:lineRule="auto"/>
        <w:tabs>
          <w:tab w:leader="none" w:pos="13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14"/>
        <w:spacing w:after="0"/>
        <w:tabs>
          <w:tab w:leader="none" w:pos="207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514"/>
        <w:spacing w:after="0"/>
        <w:tabs>
          <w:tab w:leader="none" w:pos="207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43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CFO</w:t>
      </w:r>
    </w:p>
    <w:p>
      <w:pPr>
        <w:spacing w:after="0" w:line="42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6" w:space="720"/>
            <w:col w:w="3354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ind w:left="160"/>
              <w:spacing w:after="0" w:line="10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3220" w:type="dxa"/>
            <w:vAlign w:val="bottom"/>
          </w:tcPr>
          <w:p>
            <w:pPr>
              <w:ind w:left="300"/>
              <w:spacing w:after="0" w:line="10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20" w:type="dxa"/>
            <w:vAlign w:val="bottom"/>
            <w:vMerge w:val="restart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VANCOUVER   WA</w:t>
            </w:r>
          </w:p>
        </w:tc>
        <w:tc>
          <w:tcPr>
            <w:tcW w:w="1660" w:type="dxa"/>
            <w:vAlign w:val="bottom"/>
            <w:vMerge w:val="restart"/>
          </w:tcPr>
          <w:p>
            <w:pPr>
              <w:jc w:val="right"/>
              <w:ind w:right="6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98660</w:t>
            </w: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vMerge w:val="restart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20" w:type="dxa"/>
            <w:vAlign w:val="bottom"/>
            <w:vMerge w:val="restart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80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06/01/2026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6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6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214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207,015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06/01/2026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6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6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328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207,343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06/01/2026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90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(2)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268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3.33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207,075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3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393,750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05/29/2026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right="323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393,750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23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8"/>
              </w:rPr>
              <w:t>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center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393,750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3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6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6"/>
              </w:rPr>
              <w:t>(1)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(4)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214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jc w:val="center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06/01/2026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214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jc w:val="center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8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201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214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3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6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6"/>
              </w:rPr>
              <w:t>(1)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(5)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328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jc w:val="center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06/01/2026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328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jc w:val="center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8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201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656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-2432050</wp:posOffset>
            </wp:positionV>
            <wp:extent cx="28575" cy="243776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2437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the Issuer's Common Stock.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shares withheld to cover the Reporting Person's tax liability in connection with the vesting of the restricted stock units reported herein.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received an original grant of 393,750 restricted stock units, which vests in equal quarterly installments during the 24 months following April 1, 2026.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received an original grant of restricted stock units on September 1, 2022, which vest in equal quarterly installments during the 21 months following December 1, 2024.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received an original grant of restricted stock units on December 1, 2022, which vest in equal quarterly installments during the 24 months following December 1, 2024.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Meredith Weisshaar, as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2"/>
              </w:rPr>
              <w:t>06/02/2026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72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31" w:lineRule="auto"/>
        <w:tabs>
          <w:tab w:leader="none" w:pos="174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34804" TargetMode="External"/><Relationship Id="rId14" Type="http://schemas.openxmlformats.org/officeDocument/2006/relationships/hyperlink" Target="http://www.sec.gov/cgi-bin/browse-edgar?action=getcompany&amp;CIK=00017945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2026-06-02T15:27:50Z</dcterms:created>
  <dcterms:modified xsi:type="dcterms:W3CDTF">2026-06-02T15:27:50Z</dcterms:modified>
</cp:coreProperties>
</file>