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CG Subsidiary Holdings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
        <w:spacing w:after="0" w:line="395" w:lineRule="auto"/>
        <w:rPr>
          <w:sz w:val="20"/>
          <w:szCs w:val="20"/>
          <w:color w:val="auto"/>
        </w:rPr>
      </w:pPr>
      <w:r>
        <w:rPr>
          <w:rFonts w:ascii="Arial" w:cs="Arial" w:eastAsia="Arial" w:hAnsi="Arial"/>
          <w:sz w:val="16"/>
          <w:szCs w:val="16"/>
          <w:color w:val="0000FF"/>
        </w:rPr>
        <w:t>C/O THE CARLYLE GROUP, 1001 PENNSYLVANIA AVE. NW, SUITE 220 SOUTH</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WASHINGTON DC</w:t>
            </w:r>
          </w:p>
        </w:tc>
        <w:tc>
          <w:tcPr>
            <w:tcW w:w="1600" w:type="dxa"/>
            <w:vAlign w:val="bottom"/>
          </w:tcPr>
          <w:p>
            <w:pPr>
              <w:ind w:left="400"/>
              <w:spacing w:after="0"/>
              <w:rPr>
                <w:sz w:val="20"/>
                <w:szCs w:val="20"/>
                <w:color w:val="auto"/>
              </w:rPr>
            </w:pPr>
            <w:r>
              <w:rPr>
                <w:rFonts w:ascii="Arial" w:cs="Arial" w:eastAsia="Arial" w:hAnsi="Arial"/>
                <w:sz w:val="17"/>
                <w:szCs w:val="17"/>
                <w:color w:val="0000FF"/>
              </w:rPr>
              <w:t>20004-2505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ZoomInfo Technologies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ZI</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30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500" w:type="dxa"/>
            <w:vAlign w:val="bottom"/>
            <w:gridSpan w:val="3"/>
          </w:tcPr>
          <w:p>
            <w:pPr>
              <w:ind w:left="80"/>
              <w:spacing w:after="0"/>
              <w:rPr>
                <w:sz w:val="20"/>
                <w:szCs w:val="20"/>
                <w:color w:val="auto"/>
              </w:rPr>
            </w:pPr>
            <w:r>
              <w:rPr>
                <w:rFonts w:ascii="Arial" w:cs="Arial" w:eastAsia="Arial" w:hAnsi="Arial"/>
                <w:sz w:val="17"/>
                <w:szCs w:val="17"/>
                <w:color w:val="0000FF"/>
              </w:rPr>
              <w:t>10/18/2021</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2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5"/>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0"/>
                <w:szCs w:val="10"/>
                <w:color w:val="auto"/>
              </w:rPr>
            </w:pPr>
          </w:p>
        </w:tc>
        <w:tc>
          <w:tcPr>
            <w:tcW w:w="100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1000" w:type="dxa"/>
            <w:vAlign w:val="bottom"/>
            <w:gridSpan w:val="3"/>
            <w:vMerge w:val="continue"/>
          </w:tcPr>
          <w:p>
            <w:pPr>
              <w:spacing w:after="0"/>
              <w:rPr>
                <w:sz w:val="6"/>
                <w:szCs w:val="6"/>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10/18/2021</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80" w:type="dxa"/>
            <w:vAlign w:val="bottom"/>
          </w:tcPr>
          <w:p>
            <w:pPr>
              <w:spacing w:after="0"/>
              <w:rPr>
                <w:sz w:val="22"/>
                <w:szCs w:val="22"/>
                <w:color w:val="auto"/>
              </w:rPr>
            </w:pP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94"/>
              </w:rPr>
              <w:t>163,484</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vMerge w:val="restart"/>
          </w:tcPr>
          <w:p>
            <w:pPr>
              <w:jc w:val="center"/>
              <w:ind w:left="33"/>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67.702</w:t>
            </w:r>
            <w:r>
              <w:rPr>
                <w:rFonts w:ascii="Arial" w:cs="Arial" w:eastAsia="Arial" w:hAnsi="Arial"/>
                <w:sz w:val="22"/>
                <w:szCs w:val="22"/>
                <w:color w:val="008000"/>
                <w:w w:val="88"/>
                <w:vertAlign w:val="superscript"/>
              </w:rPr>
              <w:t>(2)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7"/>
                <w:szCs w:val="17"/>
                <w:color w:val="0000FF"/>
              </w:rPr>
              <w:t>58,195,433</w:t>
            </w:r>
          </w:p>
        </w:tc>
        <w:tc>
          <w:tcPr>
            <w:tcW w:w="34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91"/>
              </w:rPr>
              <w:t>10/18/2021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8"/>
              </w:rPr>
              <w:t>92,939</w:t>
            </w: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top w:val="single" w:sz="8" w:color="2C2C2C"/>
            </w:tcBorders>
            <w:vMerge w:val="restart"/>
          </w:tcPr>
          <w:p>
            <w:pPr>
              <w:jc w:val="center"/>
              <w:ind w:left="33"/>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68.3316</w:t>
            </w:r>
            <w:r>
              <w:rPr>
                <w:rFonts w:ascii="Arial" w:cs="Arial" w:eastAsia="Arial" w:hAnsi="Arial"/>
                <w:sz w:val="22"/>
                <w:szCs w:val="22"/>
                <w:color w:val="008000"/>
                <w:w w:val="87"/>
                <w:vertAlign w:val="superscript"/>
              </w:rPr>
              <w:t>(5)</w:t>
            </w: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7"/>
                <w:szCs w:val="17"/>
                <w:color w:val="0000FF"/>
              </w:rPr>
              <w:t>58,102,494</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91"/>
              </w:rPr>
              <w:t>10/19/2021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8"/>
              </w:rPr>
              <w:t>32,430</w:t>
            </w: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top w:val="single" w:sz="8" w:color="2C2C2C"/>
            </w:tcBorders>
            <w:vMerge w:val="restart"/>
          </w:tcPr>
          <w:p>
            <w:pPr>
              <w:jc w:val="center"/>
              <w:ind w:left="33"/>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68.7356</w:t>
            </w:r>
            <w:r>
              <w:rPr>
                <w:rFonts w:ascii="Arial" w:cs="Arial" w:eastAsia="Arial" w:hAnsi="Arial"/>
                <w:sz w:val="22"/>
                <w:szCs w:val="22"/>
                <w:color w:val="008000"/>
                <w:w w:val="87"/>
                <w:vertAlign w:val="superscript"/>
              </w:rPr>
              <w:t>(6)</w:t>
            </w: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7"/>
                <w:szCs w:val="17"/>
                <w:color w:val="0000FF"/>
              </w:rPr>
              <w:t>58,070,064</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91"/>
              </w:rPr>
              <w:t>10/19/2021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7"/>
              </w:rPr>
              <w:t>211,334</w:t>
            </w: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top w:val="single" w:sz="8" w:color="2C2C2C"/>
            </w:tcBorders>
            <w:vMerge w:val="restart"/>
          </w:tcPr>
          <w:p>
            <w:pPr>
              <w:jc w:val="center"/>
              <w:ind w:left="33"/>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69.7101</w:t>
            </w:r>
            <w:r>
              <w:rPr>
                <w:rFonts w:ascii="Arial" w:cs="Arial" w:eastAsia="Arial" w:hAnsi="Arial"/>
                <w:sz w:val="22"/>
                <w:szCs w:val="22"/>
                <w:color w:val="008000"/>
                <w:w w:val="87"/>
                <w:vertAlign w:val="superscript"/>
              </w:rPr>
              <w:t>(7)</w:t>
            </w: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7"/>
                <w:szCs w:val="17"/>
                <w:color w:val="0000FF"/>
              </w:rPr>
              <w:t>57,858,730</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91"/>
              </w:rPr>
              <w:t>10/19/2021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8"/>
              </w:rPr>
              <w:t>22,378</w:t>
            </w: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top w:val="single" w:sz="8" w:color="2C2C2C"/>
            </w:tcBorders>
            <w:vMerge w:val="restart"/>
          </w:tcPr>
          <w:p>
            <w:pPr>
              <w:jc w:val="center"/>
              <w:ind w:left="33"/>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70.088</w:t>
            </w:r>
            <w:r>
              <w:rPr>
                <w:rFonts w:ascii="Arial" w:cs="Arial" w:eastAsia="Arial" w:hAnsi="Arial"/>
                <w:sz w:val="22"/>
                <w:szCs w:val="22"/>
                <w:color w:val="008000"/>
                <w:w w:val="88"/>
                <w:vertAlign w:val="superscript"/>
              </w:rPr>
              <w:t>(8)</w:t>
            </w: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7"/>
                <w:szCs w:val="17"/>
                <w:color w:val="0000FF"/>
              </w:rPr>
              <w:t>57,836,352</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60" w:type="dxa"/>
            <w:vAlign w:val="bottom"/>
            <w:gridSpan w:val="17"/>
          </w:tcPr>
          <w:p>
            <w:pPr>
              <w:jc w:val="center"/>
              <w:ind w:left="41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00" w:type="dxa"/>
            <w:vAlign w:val="bottom"/>
            <w:gridSpan w:val="13"/>
          </w:tcPr>
          <w:p>
            <w:pPr>
              <w:jc w:val="center"/>
              <w:ind w:left="24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CG Subsidiary Holdings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Arial" w:cs="Arial" w:eastAsia="Arial" w:hAnsi="Arial"/>
                <w:sz w:val="17"/>
                <w:szCs w:val="17"/>
                <w:color w:val="0000FF"/>
                <w:w w:val="96"/>
              </w:rPr>
              <w:t>C/O THE CARLYLE GROUP, 1001</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PENNSYLVANIA AVE. NW, SUITE 220 SOUTH</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7"/>
                <w:szCs w:val="17"/>
                <w:color w:val="0000FF"/>
              </w:rPr>
              <w:t>WASHINGTON</w:t>
            </w:r>
          </w:p>
        </w:tc>
        <w:tc>
          <w:tcPr>
            <w:tcW w:w="1180" w:type="dxa"/>
            <w:vAlign w:val="bottom"/>
          </w:tcPr>
          <w:p>
            <w:pPr>
              <w:spacing w:after="0"/>
              <w:rPr>
                <w:sz w:val="20"/>
                <w:szCs w:val="20"/>
                <w:color w:val="auto"/>
              </w:rPr>
            </w:pPr>
            <w:r>
              <w:rPr>
                <w:rFonts w:ascii="Arial" w:cs="Arial" w:eastAsia="Arial" w:hAnsi="Arial"/>
                <w:sz w:val="17"/>
                <w:szCs w:val="17"/>
                <w:color w:val="0000FF"/>
              </w:rPr>
              <w:t>DC</w:t>
            </w:r>
          </w:p>
        </w:tc>
        <w:tc>
          <w:tcPr>
            <w:tcW w:w="1080" w:type="dxa"/>
            <w:vAlign w:val="bottom"/>
            <w:gridSpan w:val="2"/>
          </w:tcPr>
          <w:p>
            <w:pPr>
              <w:ind w:left="220"/>
              <w:spacing w:after="0"/>
              <w:rPr>
                <w:sz w:val="20"/>
                <w:szCs w:val="20"/>
                <w:color w:val="auto"/>
              </w:rPr>
            </w:pPr>
            <w:r>
              <w:rPr>
                <w:rFonts w:ascii="Arial" w:cs="Arial" w:eastAsia="Arial" w:hAnsi="Arial"/>
                <w:sz w:val="17"/>
                <w:szCs w:val="17"/>
                <w:color w:val="0000FF"/>
                <w:w w:val="92"/>
              </w:rPr>
              <w:t>20004-2505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spacing w:after="0" w:line="221" w:lineRule="exact"/>
              <w:rPr>
                <w:rFonts w:ascii="Arial" w:cs="Arial" w:eastAsia="Arial" w:hAnsi="Arial"/>
                <w:sz w:val="21"/>
                <w:szCs w:val="21"/>
                <w:color w:val="0000EE"/>
                <w:w w:val="96"/>
              </w:rPr>
            </w:pPr>
            <w:hyperlink r:id="rId14">
              <w:r>
                <w:rPr>
                  <w:rFonts w:ascii="Arial" w:cs="Arial" w:eastAsia="Arial" w:hAnsi="Arial"/>
                  <w:sz w:val="21"/>
                  <w:szCs w:val="21"/>
                  <w:color w:val="0000EE"/>
                  <w:w w:val="96"/>
                </w:rPr>
                <w:t>TC Group, LLC</w:t>
              </w:r>
            </w:hyperlink>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-4234180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C/O THE CARLYLE GROUP, 1001</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PENNSYLVANIA AVE., N.W., SUITE 220 SOUTH</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DC</w:t>
            </w:r>
          </w:p>
        </w:tc>
        <w:tc>
          <w:tcPr>
            <w:tcW w:w="1500" w:type="dxa"/>
            <w:vAlign w:val="bottom"/>
          </w:tcPr>
          <w:p>
            <w:pPr>
              <w:ind w:left="140"/>
              <w:spacing w:after="0"/>
              <w:rPr>
                <w:sz w:val="20"/>
                <w:szCs w:val="20"/>
                <w:color w:val="auto"/>
              </w:rPr>
            </w:pPr>
            <w:r>
              <w:rPr>
                <w:rFonts w:ascii="Arial" w:cs="Arial" w:eastAsia="Arial" w:hAnsi="Arial"/>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TC Group Sub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565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956564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0000FF"/>
        </w:rPr>
        <w:t>C/O THE CARLYLE GROUP, 1001</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PENNSYLVANIA AVE., N.W. SUITE 220 SOUTH</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DC</w:t>
            </w:r>
          </w:p>
        </w:tc>
        <w:tc>
          <w:tcPr>
            <w:tcW w:w="1500" w:type="dxa"/>
            <w:vAlign w:val="bottom"/>
          </w:tcPr>
          <w:p>
            <w:pPr>
              <w:ind w:left="140"/>
              <w:spacing w:after="0"/>
              <w:rPr>
                <w:sz w:val="20"/>
                <w:szCs w:val="20"/>
                <w:color w:val="auto"/>
              </w:rPr>
            </w:pPr>
            <w:r>
              <w:rPr>
                <w:rFonts w:ascii="Arial" w:cs="Arial" w:eastAsia="Arial" w:hAnsi="Arial"/>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TC Group VI S1,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THE CARLYLE GROUP, 1001</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PENNSYLVANIA AVE., N.W., SUITE 220 SOUTH</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DC</w:t>
            </w:r>
          </w:p>
        </w:tc>
        <w:tc>
          <w:tcPr>
            <w:tcW w:w="1500" w:type="dxa"/>
            <w:vAlign w:val="bottom"/>
          </w:tcPr>
          <w:p>
            <w:pPr>
              <w:ind w:left="140"/>
              <w:spacing w:after="0"/>
              <w:rPr>
                <w:sz w:val="20"/>
                <w:szCs w:val="20"/>
                <w:color w:val="auto"/>
              </w:rPr>
            </w:pPr>
            <w:r>
              <w:rPr>
                <w:rFonts w:ascii="Arial" w:cs="Arial" w:eastAsia="Arial" w:hAnsi="Arial"/>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TC Group VI S1,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THE CARLYLE GROUP, 1001</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PENNSYLVANIA AVE., N.W., SUITE 220 SOUTH</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020" w:type="dxa"/>
            <w:vAlign w:val="bottom"/>
          </w:tcPr>
          <w:p>
            <w:pPr>
              <w:ind w:left="120"/>
              <w:spacing w:after="0"/>
              <w:rPr>
                <w:sz w:val="20"/>
                <w:szCs w:val="20"/>
                <w:color w:val="auto"/>
              </w:rPr>
            </w:pPr>
            <w:r>
              <w:rPr>
                <w:rFonts w:ascii="Arial" w:cs="Arial" w:eastAsia="Arial" w:hAnsi="Arial"/>
                <w:sz w:val="17"/>
                <w:szCs w:val="17"/>
                <w:color w:val="0000FF"/>
              </w:rPr>
              <w:t>DC</w:t>
            </w:r>
          </w:p>
        </w:tc>
        <w:tc>
          <w:tcPr>
            <w:tcW w:w="1860" w:type="dxa"/>
            <w:vAlign w:val="bottom"/>
          </w:tcPr>
          <w:p>
            <w:pPr>
              <w:ind w:left="500"/>
              <w:spacing w:after="0"/>
              <w:rPr>
                <w:sz w:val="20"/>
                <w:szCs w:val="20"/>
                <w:color w:val="auto"/>
              </w:rPr>
            </w:pPr>
            <w:r>
              <w:rPr>
                <w:rFonts w:ascii="Arial" w:cs="Arial" w:eastAsia="Arial" w:hAnsi="Arial"/>
                <w:sz w:val="17"/>
                <w:szCs w:val="17"/>
                <w:color w:val="0000FF"/>
              </w:rPr>
              <w:t>20004-2505</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Carlyle Partners VI Evergreen Holdings, L.P.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THE CARLYLE GROUP, 1001</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PENNSYLVANIA AVE., N.W., SUITE 220 SOUTH</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460" w:type="dxa"/>
            <w:vAlign w:val="bottom"/>
          </w:tcPr>
          <w:p>
            <w:pPr>
              <w:ind w:left="120"/>
              <w:spacing w:after="0"/>
              <w:rPr>
                <w:sz w:val="20"/>
                <w:szCs w:val="20"/>
                <w:color w:val="auto"/>
              </w:rPr>
            </w:pPr>
            <w:r>
              <w:rPr>
                <w:rFonts w:ascii="Arial" w:cs="Arial" w:eastAsia="Arial" w:hAnsi="Arial"/>
                <w:sz w:val="17"/>
                <w:szCs w:val="17"/>
                <w:color w:val="0000FF"/>
              </w:rPr>
              <w:t>DC</w:t>
            </w:r>
          </w:p>
        </w:tc>
        <w:tc>
          <w:tcPr>
            <w:tcW w:w="1420" w:type="dxa"/>
            <w:vAlign w:val="bottom"/>
          </w:tcPr>
          <w:p>
            <w:pPr>
              <w:ind w:left="60"/>
              <w:spacing w:after="0"/>
              <w:rPr>
                <w:sz w:val="20"/>
                <w:szCs w:val="20"/>
                <w:color w:val="auto"/>
              </w:rPr>
            </w:pPr>
            <w:r>
              <w:rPr>
                <w:rFonts w:ascii="Arial" w:cs="Arial" w:eastAsia="Arial" w:hAnsi="Arial"/>
                <w:sz w:val="17"/>
                <w:szCs w:val="17"/>
                <w:color w:val="0000FF"/>
              </w:rPr>
              <w:t>20004-2505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4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40" w:type="dxa"/>
            <w:vAlign w:val="bottom"/>
            <w:tcBorders>
              <w:bottom w:val="single" w:sz="8" w:color="0000EE"/>
            </w:tcBorders>
            <w:gridSpan w:val="2"/>
          </w:tcPr>
          <w:p>
            <w:pPr>
              <w:spacing w:after="0" w:line="221" w:lineRule="exact"/>
              <w:rPr>
                <w:rFonts w:ascii="Arial" w:cs="Arial" w:eastAsia="Arial" w:hAnsi="Arial"/>
                <w:sz w:val="21"/>
                <w:szCs w:val="21"/>
                <w:color w:val="0000EE"/>
                <w:w w:val="92"/>
              </w:rPr>
            </w:pPr>
            <w:hyperlink r:id="rId21">
              <w:r>
                <w:rPr>
                  <w:rFonts w:ascii="Arial" w:cs="Arial" w:eastAsia="Arial" w:hAnsi="Arial"/>
                  <w:sz w:val="21"/>
                  <w:szCs w:val="21"/>
                  <w:color w:val="0000EE"/>
                  <w:w w:val="92"/>
                </w:rPr>
                <w:t>CP VI Evergreen Holdings, L.P.</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THE CARLYLE GROUP, 1001</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PENNSYLVANIA AVE., N.W., SUITE 220 SOUTH</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WASHINGTON</w:t>
            </w:r>
          </w:p>
        </w:tc>
        <w:tc>
          <w:tcPr>
            <w:tcW w:w="1020" w:type="dxa"/>
            <w:vAlign w:val="bottom"/>
          </w:tcPr>
          <w:p>
            <w:pPr>
              <w:ind w:left="120"/>
              <w:spacing w:after="0"/>
              <w:rPr>
                <w:sz w:val="20"/>
                <w:szCs w:val="20"/>
                <w:color w:val="auto"/>
              </w:rPr>
            </w:pPr>
            <w:r>
              <w:rPr>
                <w:rFonts w:ascii="Arial" w:cs="Arial" w:eastAsia="Arial" w:hAnsi="Arial"/>
                <w:sz w:val="17"/>
                <w:szCs w:val="17"/>
                <w:color w:val="0000FF"/>
              </w:rPr>
              <w:t>DC</w:t>
            </w:r>
          </w:p>
        </w:tc>
        <w:tc>
          <w:tcPr>
            <w:tcW w:w="1860" w:type="dxa"/>
            <w:vAlign w:val="bottom"/>
          </w:tcPr>
          <w:p>
            <w:pPr>
              <w:ind w:left="500"/>
              <w:spacing w:after="0"/>
              <w:rPr>
                <w:sz w:val="20"/>
                <w:szCs w:val="20"/>
                <w:color w:val="auto"/>
              </w:rPr>
            </w:pPr>
            <w:r>
              <w:rPr>
                <w:rFonts w:ascii="Arial" w:cs="Arial" w:eastAsia="Arial" w:hAnsi="Arial"/>
                <w:sz w:val="17"/>
                <w:szCs w:val="17"/>
                <w:color w:val="0000FF"/>
              </w:rPr>
              <w:t>20004-2505</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50"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$67.07 to $68.06.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20" w:right="4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Following the transactions reported herein, includes (i) 28,998,405 shares of Class A Common Stock held of record by CP VI Evergreen Holdings, L.P. ("CP VI Evergreen") and (ii) 28,837,947 shares of Class A Common Stock held of record by Carlyle Partners VI Evergreen Holdings, L.P. ("Carlyle Evergreen").</w:t>
      </w:r>
    </w:p>
    <w:p>
      <w:pPr>
        <w:spacing w:after="0" w:line="15"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Carlyle Group Inc., which is a publicly traded entity listed on the Nasdaq, is the sole shareholder of Carlyle Holdings I GP Inc., which is the sole member of Carlyle Holdings I GP Sub L.L.C.,</w:t>
      </w:r>
    </w:p>
    <w:p>
      <w:pPr>
        <w:sectPr>
          <w:pgSz w:w="11900" w:h="16838" w:orient="portrait"/>
          <w:cols w:equalWidth="0" w:num="1">
            <w:col w:w="10840"/>
          </w:cols>
          <w:pgMar w:left="480" w:top="140" w:right="579" w:bottom="0" w:gutter="0" w:footer="0" w:header="0"/>
        </w:sectPr>
      </w:pPr>
    </w:p>
    <w:bookmarkStart w:id="2" w:name="page3"/>
    <w:bookmarkEnd w:id="2"/>
    <w:p>
      <w:pPr>
        <w:spacing w:after="0" w:line="250" w:lineRule="auto"/>
        <w:rPr>
          <w:sz w:val="20"/>
          <w:szCs w:val="20"/>
          <w:color w:val="auto"/>
        </w:rPr>
      </w:pPr>
      <w:r>
        <w:rPr>
          <w:rFonts w:ascii="Arial" w:cs="Arial" w:eastAsia="Arial" w:hAnsi="Arial"/>
          <w:sz w:val="13"/>
          <w:szCs w:val="13"/>
          <w:color w:val="008000"/>
        </w:rPr>
        <w:t>which is the general partner of Carlyle Holdings I L.P., which, with respect to the securities held of record by Carlyle Evergreen and CP VI Evergreen, is the managing member of CG Subsidiary Holdings L.L.C., which is the managing member of TC Group, L.L.C., which is the general partner of TC Group Sub L.P., which is the managing member of TC Group VI S1, L.L.C., which is the general partner of TC Group VI S1, L.P., which is the general partner of Carlyle Evergreen and CP VI Evergreen.</w:t>
      </w:r>
    </w:p>
    <w:p>
      <w:pPr>
        <w:spacing w:after="0" w:line="26" w:lineRule="exact"/>
        <w:rPr>
          <w:sz w:val="20"/>
          <w:szCs w:val="20"/>
          <w:color w:val="auto"/>
        </w:rPr>
      </w:pPr>
    </w:p>
    <w:p>
      <w:pPr>
        <w:ind w:right="4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$68.07 to $68.86.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right="4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$68.04 to $69.02.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right="4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$69.04 to $70.035.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right="4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$70.04 to $70.20.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right="20"/>
        <w:spacing w:after="0" w:line="266" w:lineRule="auto"/>
        <w:rPr>
          <w:sz w:val="20"/>
          <w:szCs w:val="20"/>
          <w:color w:val="auto"/>
        </w:rPr>
      </w:pPr>
      <w:r>
        <w:rPr>
          <w:rFonts w:ascii="Arial" w:cs="Arial" w:eastAsia="Arial" w:hAnsi="Arial"/>
          <w:sz w:val="13"/>
          <w:szCs w:val="13"/>
          <w:color w:val="008000"/>
        </w:rPr>
        <w:t>Due to the limitations of the electronic filing system, each of The Carlyle Group Inc., Carlyle Holdings I GP Inc., Carlyle Holdings I GP Sub L.L.C., and Carlyle Holdings I L.P. are filing a separate Form 4.</w:t>
      </w:r>
    </w:p>
    <w:p>
      <w:pPr>
        <w:sectPr>
          <w:pgSz w:w="11900" w:h="16838" w:orient="portrait"/>
          <w:cols w:equalWidth="0" w:num="1">
            <w:col w:w="10860"/>
          </w:cols>
          <w:pgMar w:left="500" w:top="131" w:right="539" w:bottom="1440" w:gutter="0" w:footer="0" w:header="0"/>
        </w:sectPr>
      </w:pPr>
    </w:p>
    <w:p>
      <w:pPr>
        <w:spacing w:after="0" w:line="42"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CG Subsidiary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1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1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Frederick,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468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Curtis L. Buser,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1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TC Group,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98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Anne Frederick,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 for Curtis L. Buser,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64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TC Group Sub L.P., By: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280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Group,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66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8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Frederick,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4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Curtis L. Buser,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15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TC Group VI S1,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954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Jeremy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01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16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TC Group VI S1, L.P.,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081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Jeremy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16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Carlyle Partners VI Evergreen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328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Holdings, L.P., By: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201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VI S1,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82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/s/ Jeremy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668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16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0000FF"/>
        </w:rPr>
        <w:t>10/20/2021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10/20/2021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10/20/2021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10/20/2021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10/20/2021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10/20/2021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0" w:lineRule="exact"/>
        <w:rPr>
          <w:sz w:val="20"/>
          <w:szCs w:val="20"/>
          <w:color w:val="auto"/>
        </w:rPr>
      </w:pPr>
    </w:p>
    <w:p>
      <w:pPr>
        <w:sectPr>
          <w:pgSz w:w="11900" w:h="16838" w:orient="portrait"/>
          <w:cols w:equalWidth="0" w:num="2">
            <w:col w:w="8680" w:space="60"/>
            <w:col w:w="2120"/>
          </w:cols>
          <w:pgMar w:left="500" w:top="131" w:right="539" w:bottom="1440" w:gutter="0" w:footer="0" w:header="0"/>
          <w:type w:val="continuous"/>
        </w:sectPr>
      </w:pPr>
    </w:p>
    <w:p>
      <w:pPr>
        <w:ind w:left="6540"/>
        <w:spacing w:after="0"/>
        <w:rPr>
          <w:sz w:val="20"/>
          <w:szCs w:val="20"/>
          <w:color w:val="auto"/>
        </w:rPr>
      </w:pPr>
      <w:r>
        <w:rPr>
          <w:rFonts w:ascii="Arial" w:cs="Arial" w:eastAsia="Arial" w:hAnsi="Arial"/>
          <w:sz w:val="17"/>
          <w:szCs w:val="17"/>
          <w:color w:val="0000FF"/>
        </w:rPr>
        <w:t>CP VI Evergreen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141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TC Group VI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6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L.P., its general partner, By: /s/ 10/20/2021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Jeremy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16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1"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12" Type="http://schemas.openxmlformats.org/officeDocument/2006/relationships/hyperlink" Target="http://www.sec.gov/cgi-bin/browse-edgar?action=getcompany&amp;CIK=0001790577" TargetMode="External"/><Relationship Id="rId13" Type="http://schemas.openxmlformats.org/officeDocument/2006/relationships/hyperlink" Target="http://www.sec.gov/cgi-bin/browse-edgar?action=getcompany&amp;CIK=0001794515" TargetMode="External"/><Relationship Id="rId14" Type="http://schemas.openxmlformats.org/officeDocument/2006/relationships/hyperlink" Target="http://www.sec.gov/cgi-bin/browse-edgar?action=getcompany&amp;CIK=0000933790" TargetMode="External"/><Relationship Id="rId16" Type="http://schemas.openxmlformats.org/officeDocument/2006/relationships/hyperlink" Target="http://www.sec.gov/cgi-bin/browse-edgar?action=getcompany&amp;CIK=0001548639" TargetMode="External"/><Relationship Id="rId18" Type="http://schemas.openxmlformats.org/officeDocument/2006/relationships/hyperlink" Target="http://www.sec.gov/cgi-bin/browse-edgar?action=getcompany&amp;CIK=0001766541" TargetMode="External"/><Relationship Id="rId19" Type="http://schemas.openxmlformats.org/officeDocument/2006/relationships/hyperlink" Target="http://www.sec.gov/cgi-bin/browse-edgar?action=getcompany&amp;CIK=0001766496" TargetMode="External"/><Relationship Id="rId20" Type="http://schemas.openxmlformats.org/officeDocument/2006/relationships/hyperlink" Target="http://www.sec.gov/cgi-bin/browse-edgar?action=getcompany&amp;CIK=0001802267" TargetMode="External"/><Relationship Id="rId21" Type="http://schemas.openxmlformats.org/officeDocument/2006/relationships/hyperlink" Target="http://www.sec.gov/cgi-bin/browse-edgar?action=getcompany&amp;CIK=00018139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2021-10-20T15:34:25Z</dcterms:created>
  <dcterms:modified xsi:type="dcterms:W3CDTF">2021-10-20T15:34:25Z</dcterms:modified>
</cp:coreProperties>
</file>