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TA ASSOCIATES, L.P.</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11"/>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ZoomInfo Technologies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gridSpan w:val="3"/>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46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460" w:type="dxa"/>
            <w:vAlign w:val="bottom"/>
          </w:tcPr>
          <w:p>
            <w:pPr>
              <w:spacing w:after="0"/>
              <w:rPr>
                <w:sz w:val="7"/>
                <w:szCs w:val="7"/>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12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11"/>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46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200 CLARENDON STREET</w:t>
            </w:r>
          </w:p>
        </w:tc>
        <w:tc>
          <w:tcPr>
            <w:tcW w:w="1340" w:type="dxa"/>
            <w:vAlign w:val="bottom"/>
          </w:tcPr>
          <w:p>
            <w:pPr>
              <w:spacing w:after="0"/>
              <w:rPr>
                <w:sz w:val="19"/>
                <w:szCs w:val="19"/>
                <w:color w:val="auto"/>
              </w:rPr>
            </w:pPr>
          </w:p>
        </w:tc>
        <w:tc>
          <w:tcPr>
            <w:tcW w:w="1080" w:type="dxa"/>
            <w:vAlign w:val="bottom"/>
            <w:gridSpan w:val="8"/>
          </w:tcPr>
          <w:p>
            <w:pPr>
              <w:ind w:left="160"/>
              <w:spacing w:after="0"/>
              <w:rPr>
                <w:sz w:val="20"/>
                <w:szCs w:val="20"/>
                <w:color w:val="auto"/>
              </w:rPr>
            </w:pPr>
            <w:r>
              <w:rPr>
                <w:rFonts w:ascii="Arial" w:cs="Arial" w:eastAsia="Arial" w:hAnsi="Arial"/>
                <w:sz w:val="17"/>
                <w:szCs w:val="17"/>
                <w:color w:val="0000FF"/>
              </w:rPr>
              <w:t>09/17/2021</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56TH FLOOR</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5"/>
                <w:szCs w:val="5"/>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12"/>
            <w:vMerge w:val="continue"/>
          </w:tcPr>
          <w:p>
            <w:pPr>
              <w:spacing w:after="0"/>
              <w:rPr>
                <w:sz w:val="13"/>
                <w:szCs w:val="13"/>
                <w:color w:val="auto"/>
              </w:rPr>
            </w:pPr>
          </w:p>
        </w:tc>
        <w:tc>
          <w:tcPr>
            <w:tcW w:w="340" w:type="dxa"/>
            <w:vAlign w:val="bottom"/>
          </w:tcPr>
          <w:p>
            <w:pPr>
              <w:spacing w:after="0"/>
              <w:rPr>
                <w:sz w:val="13"/>
                <w:szCs w:val="13"/>
                <w:color w:val="auto"/>
              </w:rPr>
            </w:pPr>
          </w:p>
        </w:tc>
        <w:tc>
          <w:tcPr>
            <w:tcW w:w="342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gridSpan w:val="3"/>
          </w:tcPr>
          <w:p>
            <w:pPr>
              <w:ind w:left="80"/>
              <w:spacing w:after="0" w:line="120" w:lineRule="exact"/>
              <w:rPr>
                <w:sz w:val="20"/>
                <w:szCs w:val="20"/>
                <w:color w:val="auto"/>
              </w:rPr>
            </w:pPr>
            <w:r>
              <w:rPr>
                <w:rFonts w:ascii="Arial" w:cs="Arial" w:eastAsia="Arial" w:hAnsi="Arial"/>
                <w:sz w:val="13"/>
                <w:szCs w:val="13"/>
                <w:color w:val="auto"/>
              </w:rPr>
              <w:t>Line)</w:t>
            </w:r>
          </w:p>
        </w:tc>
        <w:tc>
          <w:tcPr>
            <w:tcW w:w="30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MA</w:t>
            </w:r>
          </w:p>
        </w:tc>
        <w:tc>
          <w:tcPr>
            <w:tcW w:w="1340" w:type="dxa"/>
            <w:vAlign w:val="bottom"/>
          </w:tcPr>
          <w:p>
            <w:pPr>
              <w:ind w:left="140"/>
              <w:spacing w:after="0"/>
              <w:rPr>
                <w:sz w:val="20"/>
                <w:szCs w:val="20"/>
                <w:color w:val="auto"/>
              </w:rPr>
            </w:pPr>
            <w:r>
              <w:rPr>
                <w:rFonts w:ascii="Arial" w:cs="Arial" w:eastAsia="Arial" w:hAnsi="Arial"/>
                <w:sz w:val="17"/>
                <w:szCs w:val="17"/>
                <w:color w:val="0000FF"/>
              </w:rPr>
              <w:t>02116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30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32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23"/>
          </w:tcPr>
          <w:p>
            <w:pPr>
              <w:ind w:left="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40" w:type="dxa"/>
            <w:vAlign w:val="bottom"/>
          </w:tcPr>
          <w:p>
            <w:pPr>
              <w:ind w:left="260"/>
              <w:spacing w:after="0"/>
              <w:rPr>
                <w:sz w:val="20"/>
                <w:szCs w:val="20"/>
                <w:color w:val="auto"/>
              </w:rPr>
            </w:pPr>
            <w:r>
              <w:rPr>
                <w:rFonts w:ascii="Arial" w:cs="Arial" w:eastAsia="Arial" w:hAnsi="Arial"/>
                <w:sz w:val="12"/>
                <w:szCs w:val="12"/>
                <w:b w:val="1"/>
                <w:bCs w:val="1"/>
                <w:color w:val="auto"/>
              </w:rPr>
              <w:t>2. Transaction</w:t>
            </w:r>
          </w:p>
        </w:tc>
        <w:tc>
          <w:tcPr>
            <w:tcW w:w="20" w:type="dxa"/>
            <w:vAlign w:val="bottom"/>
          </w:tcPr>
          <w:p>
            <w:pPr>
              <w:spacing w:after="0"/>
              <w:rPr>
                <w:sz w:val="15"/>
                <w:szCs w:val="15"/>
                <w:color w:val="auto"/>
              </w:rPr>
            </w:pPr>
          </w:p>
        </w:tc>
        <w:tc>
          <w:tcPr>
            <w:tcW w:w="8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64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4. Securities Acquired (A) or</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160" w:type="dxa"/>
            <w:vAlign w:val="bottom"/>
            <w:gridSpan w:val="2"/>
          </w:tcPr>
          <w:p>
            <w:pPr>
              <w:ind w:left="36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ind w:left="2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100" w:type="dxa"/>
            <w:vAlign w:val="bottom"/>
            <w:gridSpan w:val="8"/>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jc w:val="center"/>
              <w:ind w:right="133"/>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360"/>
              <w:spacing w:after="0" w:line="131" w:lineRule="exact"/>
              <w:rPr>
                <w:sz w:val="20"/>
                <w:szCs w:val="20"/>
                <w:color w:val="auto"/>
              </w:rPr>
            </w:pPr>
            <w:r>
              <w:rPr>
                <w:rFonts w:ascii="Arial" w:cs="Arial" w:eastAsia="Arial" w:hAnsi="Arial"/>
                <w:sz w:val="12"/>
                <w:szCs w:val="12"/>
                <w:b w:val="1"/>
                <w:bCs w:val="1"/>
                <w:color w:val="auto"/>
              </w:rPr>
              <w:t>Form: Direct</w:t>
            </w:r>
          </w:p>
        </w:tc>
        <w:tc>
          <w:tcPr>
            <w:tcW w:w="5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jc w:val="center"/>
              <w:ind w:left="8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8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360"/>
              <w:spacing w:after="0" w:line="133" w:lineRule="exact"/>
              <w:rPr>
                <w:sz w:val="20"/>
                <w:szCs w:val="20"/>
                <w:color w:val="auto"/>
              </w:rPr>
            </w:pPr>
            <w:r>
              <w:rPr>
                <w:rFonts w:ascii="Arial" w:cs="Arial" w:eastAsia="Arial" w:hAnsi="Arial"/>
                <w:sz w:val="12"/>
                <w:szCs w:val="12"/>
                <w:b w:val="1"/>
                <w:bCs w:val="1"/>
                <w:color w:val="auto"/>
                <w:w w:val="99"/>
              </w:rPr>
              <w:t>(D) or</w:t>
            </w:r>
          </w:p>
        </w:tc>
        <w:tc>
          <w:tcPr>
            <w:tcW w:w="460" w:type="dxa"/>
            <w:vAlign w:val="bottom"/>
          </w:tcPr>
          <w:p>
            <w:pPr>
              <w:spacing w:after="0"/>
              <w:rPr>
                <w:sz w:val="11"/>
                <w:szCs w:val="11"/>
                <w:color w:val="auto"/>
              </w:rPr>
            </w:pPr>
          </w:p>
        </w:tc>
        <w:tc>
          <w:tcPr>
            <w:tcW w:w="12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11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Indirect (I)</w:t>
            </w:r>
          </w:p>
        </w:tc>
        <w:tc>
          <w:tcPr>
            <w:tcW w:w="12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11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4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gridSpan w:val="2"/>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380" w:type="dxa"/>
            <w:vAlign w:val="bottom"/>
            <w:vMerge w:val="continue"/>
          </w:tcPr>
          <w:p>
            <w:pPr>
              <w:spacing w:after="0"/>
              <w:rPr>
                <w:sz w:val="10"/>
                <w:szCs w:val="10"/>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3"/>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4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vMerge w:val="restart"/>
          </w:tcPr>
          <w:p>
            <w:pPr>
              <w:jc w:val="center"/>
              <w:ind w:left="83"/>
              <w:spacing w:after="0"/>
              <w:rPr>
                <w:sz w:val="20"/>
                <w:szCs w:val="20"/>
                <w:color w:val="auto"/>
              </w:rPr>
            </w:pPr>
            <w:r>
              <w:rPr>
                <w:rFonts w:ascii="Arial" w:cs="Arial" w:eastAsia="Arial" w:hAnsi="Arial"/>
                <w:sz w:val="17"/>
                <w:szCs w:val="17"/>
                <w:color w:val="0000FF"/>
                <w:w w:val="91"/>
              </w:rPr>
              <w:t>09/17/2021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Pr>
          <w:p>
            <w:pPr>
              <w:spacing w:after="0"/>
              <w:rPr>
                <w:sz w:val="22"/>
                <w:szCs w:val="22"/>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91"/>
              </w:rPr>
              <w:t>223,724</w:t>
            </w:r>
          </w:p>
        </w:tc>
        <w:tc>
          <w:tcPr>
            <w:tcW w:w="160" w:type="dxa"/>
            <w:vAlign w:val="bottom"/>
          </w:tcPr>
          <w:p>
            <w:pPr>
              <w:spacing w:after="0"/>
              <w:rPr>
                <w:sz w:val="22"/>
                <w:szCs w:val="22"/>
                <w:color w:val="auto"/>
              </w:rPr>
            </w:pPr>
          </w:p>
        </w:tc>
        <w:tc>
          <w:tcPr>
            <w:tcW w:w="3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68.1763</w:t>
            </w:r>
            <w:r>
              <w:rPr>
                <w:rFonts w:ascii="Arial" w:cs="Arial" w:eastAsia="Arial" w:hAnsi="Arial"/>
                <w:sz w:val="22"/>
                <w:szCs w:val="22"/>
                <w:color w:val="008000"/>
                <w:w w:val="94"/>
                <w:vertAlign w:val="superscript"/>
              </w:rPr>
              <w:t>(1)</w:t>
            </w:r>
          </w:p>
        </w:tc>
        <w:tc>
          <w:tcPr>
            <w:tcW w:w="1520" w:type="dxa"/>
            <w:vAlign w:val="bottom"/>
            <w:gridSpan w:val="4"/>
            <w:vMerge w:val="restart"/>
          </w:tcPr>
          <w:p>
            <w:pPr>
              <w:jc w:val="center"/>
              <w:ind w:right="320"/>
              <w:spacing w:after="0"/>
              <w:rPr>
                <w:sz w:val="20"/>
                <w:szCs w:val="20"/>
                <w:color w:val="auto"/>
              </w:rPr>
            </w:pPr>
            <w:r>
              <w:rPr>
                <w:rFonts w:ascii="Arial" w:cs="Arial" w:eastAsia="Arial" w:hAnsi="Arial"/>
                <w:sz w:val="17"/>
                <w:szCs w:val="17"/>
                <w:color w:val="0000FF"/>
                <w:w w:val="91"/>
              </w:rPr>
              <w:t>31,219,652</w:t>
            </w:r>
          </w:p>
        </w:tc>
        <w:tc>
          <w:tcPr>
            <w:tcW w:w="4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09/17/2021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5,776</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68.1763</w:t>
            </w:r>
            <w:r>
              <w:rPr>
                <w:rFonts w:ascii="Arial" w:cs="Arial" w:eastAsia="Arial" w:hAnsi="Arial"/>
                <w:sz w:val="22"/>
                <w:szCs w:val="22"/>
                <w:color w:val="008000"/>
                <w:w w:val="94"/>
                <w:vertAlign w:val="superscript"/>
              </w:rPr>
              <w:t>(1)</w:t>
            </w:r>
          </w:p>
        </w:tc>
        <w:tc>
          <w:tcPr>
            <w:tcW w:w="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2"/>
            <w:vMerge w:val="restart"/>
          </w:tcPr>
          <w:p>
            <w:pPr>
              <w:jc w:val="center"/>
              <w:ind w:right="600"/>
              <w:spacing w:after="0"/>
              <w:rPr>
                <w:sz w:val="20"/>
                <w:szCs w:val="20"/>
                <w:color w:val="auto"/>
              </w:rPr>
            </w:pPr>
            <w:r>
              <w:rPr>
                <w:rFonts w:ascii="Arial" w:cs="Arial" w:eastAsia="Arial" w:hAnsi="Arial"/>
                <w:sz w:val="17"/>
                <w:szCs w:val="17"/>
                <w:color w:val="0000FF"/>
                <w:w w:val="91"/>
              </w:rPr>
              <w:t>805,946</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09/17/2021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38,637</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68.1763</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4"/>
            <w:vMerge w:val="restart"/>
          </w:tcPr>
          <w:p>
            <w:pPr>
              <w:jc w:val="center"/>
              <w:ind w:right="340"/>
              <w:spacing w:after="0"/>
              <w:rPr>
                <w:sz w:val="20"/>
                <w:szCs w:val="20"/>
                <w:color w:val="auto"/>
              </w:rPr>
            </w:pPr>
            <w:r>
              <w:rPr>
                <w:rFonts w:ascii="Arial" w:cs="Arial" w:eastAsia="Arial" w:hAnsi="Arial"/>
                <w:sz w:val="17"/>
                <w:szCs w:val="17"/>
                <w:color w:val="0000FF"/>
                <w:w w:val="89"/>
              </w:rPr>
              <w:t>5,391,604</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09/17/2021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8,309</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68.1763</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4"/>
            <w:vMerge w:val="restart"/>
          </w:tcPr>
          <w:p>
            <w:pPr>
              <w:jc w:val="center"/>
              <w:ind w:right="340"/>
              <w:spacing w:after="0"/>
              <w:rPr>
                <w:sz w:val="20"/>
                <w:szCs w:val="20"/>
                <w:color w:val="auto"/>
              </w:rPr>
            </w:pPr>
            <w:r>
              <w:rPr>
                <w:rFonts w:ascii="Arial" w:cs="Arial" w:eastAsia="Arial" w:hAnsi="Arial"/>
                <w:sz w:val="17"/>
                <w:szCs w:val="17"/>
                <w:color w:val="0000FF"/>
                <w:w w:val="89"/>
              </w:rPr>
              <w:t>1,159,484</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09/17/2021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ind w:left="1"/>
              <w:spacing w:after="0"/>
              <w:rPr>
                <w:sz w:val="20"/>
                <w:szCs w:val="20"/>
                <w:color w:val="auto"/>
              </w:rPr>
            </w:pPr>
            <w:r>
              <w:rPr>
                <w:rFonts w:ascii="Arial" w:cs="Arial" w:eastAsia="Arial" w:hAnsi="Arial"/>
                <w:sz w:val="17"/>
                <w:szCs w:val="17"/>
                <w:color w:val="0000FF"/>
                <w:w w:val="91"/>
              </w:rPr>
              <w:t>276</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68.1763</w:t>
            </w:r>
            <w:r>
              <w:rPr>
                <w:rFonts w:ascii="Arial" w:cs="Arial" w:eastAsia="Arial" w:hAnsi="Arial"/>
                <w:sz w:val="22"/>
                <w:szCs w:val="22"/>
                <w:color w:val="008000"/>
                <w:w w:val="94"/>
                <w:vertAlign w:val="superscript"/>
              </w:rPr>
              <w:t>(1)</w:t>
            </w:r>
          </w:p>
        </w:tc>
        <w:tc>
          <w:tcPr>
            <w:tcW w:w="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38,497</w:t>
            </w:r>
          </w:p>
        </w:tc>
        <w:tc>
          <w:tcPr>
            <w:tcW w:w="7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(3)(7)</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09/17/2021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14,631</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68.1763</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4"/>
            <w:vMerge w:val="restart"/>
          </w:tcPr>
          <w:p>
            <w:pPr>
              <w:jc w:val="center"/>
              <w:ind w:right="340"/>
              <w:spacing w:after="0"/>
              <w:rPr>
                <w:sz w:val="20"/>
                <w:szCs w:val="20"/>
                <w:color w:val="auto"/>
              </w:rPr>
            </w:pPr>
            <w:r>
              <w:rPr>
                <w:rFonts w:ascii="Arial" w:cs="Arial" w:eastAsia="Arial" w:hAnsi="Arial"/>
                <w:sz w:val="17"/>
                <w:szCs w:val="17"/>
                <w:color w:val="0000FF"/>
                <w:w w:val="89"/>
              </w:rPr>
              <w:t>2,041,598</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09/17/2021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13,126</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68.1763</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4"/>
            <w:vMerge w:val="restart"/>
          </w:tcPr>
          <w:p>
            <w:pPr>
              <w:jc w:val="center"/>
              <w:ind w:right="340"/>
              <w:spacing w:after="0"/>
              <w:rPr>
                <w:sz w:val="20"/>
                <w:szCs w:val="20"/>
                <w:color w:val="auto"/>
              </w:rPr>
            </w:pPr>
            <w:r>
              <w:rPr>
                <w:rFonts w:ascii="Arial" w:cs="Arial" w:eastAsia="Arial" w:hAnsi="Arial"/>
                <w:sz w:val="17"/>
                <w:szCs w:val="17"/>
                <w:color w:val="0000FF"/>
                <w:w w:val="89"/>
              </w:rPr>
              <w:t>1,831,663</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(3)(9)</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09/17/2021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1,104</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68.1763</w:t>
            </w:r>
            <w:r>
              <w:rPr>
                <w:rFonts w:ascii="Arial" w:cs="Arial" w:eastAsia="Arial" w:hAnsi="Arial"/>
                <w:sz w:val="22"/>
                <w:szCs w:val="22"/>
                <w:color w:val="008000"/>
                <w:w w:val="94"/>
                <w:vertAlign w:val="superscript"/>
              </w:rPr>
              <w:t>(1)</w:t>
            </w:r>
          </w:p>
        </w:tc>
        <w:tc>
          <w:tcPr>
            <w:tcW w:w="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2"/>
            <w:vMerge w:val="restart"/>
          </w:tcPr>
          <w:p>
            <w:pPr>
              <w:jc w:val="center"/>
              <w:ind w:right="600"/>
              <w:spacing w:after="0"/>
              <w:rPr>
                <w:sz w:val="20"/>
                <w:szCs w:val="20"/>
                <w:color w:val="auto"/>
              </w:rPr>
            </w:pPr>
            <w:r>
              <w:rPr>
                <w:rFonts w:ascii="Arial" w:cs="Arial" w:eastAsia="Arial" w:hAnsi="Arial"/>
                <w:sz w:val="17"/>
                <w:szCs w:val="17"/>
                <w:color w:val="0000FF"/>
                <w:w w:val="91"/>
              </w:rPr>
              <w:t>153,995</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(3)(10)</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09/17/2021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58,522</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68.1763</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4"/>
            <w:vMerge w:val="restart"/>
          </w:tcPr>
          <w:p>
            <w:pPr>
              <w:jc w:val="center"/>
              <w:ind w:right="340"/>
              <w:spacing w:after="0"/>
              <w:rPr>
                <w:sz w:val="20"/>
                <w:szCs w:val="20"/>
                <w:color w:val="auto"/>
              </w:rPr>
            </w:pPr>
            <w:r>
              <w:rPr>
                <w:rFonts w:ascii="Arial" w:cs="Arial" w:eastAsia="Arial" w:hAnsi="Arial"/>
                <w:sz w:val="17"/>
                <w:szCs w:val="17"/>
                <w:color w:val="0000FF"/>
                <w:w w:val="89"/>
              </w:rPr>
              <w:t>8,166,397</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(3)(11)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vMerge w:val="restart"/>
          </w:tcPr>
          <w:p>
            <w:pPr>
              <w:jc w:val="center"/>
              <w:ind w:left="83"/>
              <w:spacing w:after="0"/>
              <w:rPr>
                <w:sz w:val="20"/>
                <w:szCs w:val="20"/>
                <w:color w:val="auto"/>
              </w:rPr>
            </w:pPr>
            <w:r>
              <w:rPr>
                <w:rFonts w:ascii="Arial" w:cs="Arial" w:eastAsia="Arial" w:hAnsi="Arial"/>
                <w:sz w:val="17"/>
                <w:szCs w:val="17"/>
                <w:color w:val="0000FF"/>
                <w:w w:val="91"/>
              </w:rPr>
              <w:t>09/17/2021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52,504</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68.1763</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4"/>
            <w:vMerge w:val="restart"/>
          </w:tcPr>
          <w:p>
            <w:pPr>
              <w:jc w:val="center"/>
              <w:ind w:right="340"/>
              <w:spacing w:after="0"/>
              <w:rPr>
                <w:sz w:val="20"/>
                <w:szCs w:val="20"/>
                <w:color w:val="auto"/>
              </w:rPr>
            </w:pPr>
            <w:r>
              <w:rPr>
                <w:rFonts w:ascii="Arial" w:cs="Arial" w:eastAsia="Arial" w:hAnsi="Arial"/>
                <w:sz w:val="17"/>
                <w:szCs w:val="17"/>
                <w:color w:val="0000FF"/>
                <w:w w:val="89"/>
              </w:rPr>
              <w:t>7,326,658</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(3)(12)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920" w:type="dxa"/>
            <w:vAlign w:val="bottom"/>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60" w:type="dxa"/>
            <w:vAlign w:val="bottom"/>
            <w:gridSpan w:val="2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56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jc w:val="center"/>
              <w:ind w:left="83"/>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Date</w:t>
            </w:r>
          </w:p>
        </w:tc>
        <w:tc>
          <w:tcPr>
            <w:tcW w:w="120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28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3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gridSpan w:val="4"/>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7"/>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TA ASSOCIATES, L.P.</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jc w:val="center"/>
              <w:ind w:left="63"/>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-2449195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200 CLARENDON STREET</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56TH FLOOR</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3"/>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TA XI DO AIV,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56TH FLOOR</w:t>
            </w: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3"/>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TA SDF III DO AIV,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56TH FLOOR</w:t>
            </w: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3"/>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TA Atlantic &amp; Pacific VII-A L.P.</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 CLARENDON STREET</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56TH FLOOR</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4"/>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5"/>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TA INVESTORS IV,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56TH FLOOR</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4"/>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5"/>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TA SDF III DO AIV II,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56TH FLOOR</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4"/>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5"/>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TA XI DO AIV II,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sectPr>
          <w:pgSz w:w="11900" w:h="16838" w:orient="portrait"/>
          <w:cols w:equalWidth="0" w:num="1">
            <w:col w:w="9979"/>
          </w:cols>
          <w:pgMar w:left="480" w:top="140" w:right="1440" w:bottom="0" w:gutter="0" w:footer="0" w:header="0"/>
        </w:sectPr>
      </w:pPr>
    </w:p>
    <w:p>
      <w:pPr>
        <w:ind w:left="100"/>
        <w:spacing w:after="0"/>
        <w:rPr>
          <w:sz w:val="20"/>
          <w:szCs w:val="20"/>
          <w:color w:val="auto"/>
        </w:rPr>
      </w:pPr>
      <w:r>
        <w:rPr>
          <w:rFonts w:ascii="Arial" w:cs="Arial" w:eastAsia="Arial" w:hAnsi="Arial"/>
          <w:sz w:val="16"/>
          <w:szCs w:val="16"/>
          <w:color w:val="0000FF"/>
        </w:rPr>
        <w:t>200 CLARENDON STREET</w:t>
      </w:r>
    </w:p>
    <w:p>
      <w:pPr>
        <w:sectPr>
          <w:pgSz w:w="11900" w:h="16838" w:orient="portrait"/>
          <w:cols w:equalWidth="0" w:num="1">
            <w:col w:w="9979"/>
          </w:cols>
          <w:pgMar w:left="480" w:top="140" w:right="1440" w:bottom="0" w:gutter="0" w:footer="0" w:header="0"/>
          <w:type w:val="continuous"/>
        </w:sectPr>
      </w:pPr>
    </w:p>
    <w:bookmarkStart w:id="2" w:name="page3"/>
    <w:bookmarkEnd w:id="2"/>
    <w:p>
      <w:pPr>
        <w:ind w:left="100"/>
        <w:spacing w:after="0"/>
        <w:rPr>
          <w:sz w:val="20"/>
          <w:szCs w:val="20"/>
          <w:color w:val="auto"/>
        </w:rPr>
      </w:pPr>
      <w:r>
        <w:rPr>
          <w:rFonts w:ascii="Arial" w:cs="Arial" w:eastAsia="Arial" w:hAnsi="Arial"/>
          <w:sz w:val="17"/>
          <w:szCs w:val="17"/>
          <w:color w:val="0000FF"/>
        </w:rPr>
        <w:t>56TH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6308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809240" cy="6308090"/>
                    </a:xfrm>
                    <a:prstGeom prst="rect">
                      <a:avLst/>
                    </a:prstGeom>
                    <a:noFill/>
                  </pic:spPr>
                </pic:pic>
              </a:graphicData>
            </a:graphic>
          </wp:anchor>
        </w:drawing>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3">
        <w:r>
          <w:rPr>
            <w:rFonts w:ascii="Arial" w:cs="Arial" w:eastAsia="Arial" w:hAnsi="Arial"/>
            <w:sz w:val="21"/>
            <w:szCs w:val="21"/>
            <w:u w:val="single" w:color="auto"/>
            <w:color w:val="0000EE"/>
          </w:rPr>
          <w:t>TA AP VII-B DO Subsidiary Partnership, L.P.</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 CLARENDON STREET</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56TH FLOOR</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3"/>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4">
              <w:r>
                <w:rPr>
                  <w:rFonts w:ascii="Arial" w:cs="Arial" w:eastAsia="Arial" w:hAnsi="Arial"/>
                  <w:sz w:val="21"/>
                  <w:szCs w:val="21"/>
                  <w:color w:val="0000EE"/>
                </w:rPr>
                <w:t>TA SDF III DO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56TH FLOOR</w:t>
            </w: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3"/>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5">
              <w:r>
                <w:rPr>
                  <w:rFonts w:ascii="Arial" w:cs="Arial" w:eastAsia="Arial" w:hAnsi="Arial"/>
                  <w:sz w:val="21"/>
                  <w:szCs w:val="21"/>
                  <w:color w:val="0000EE"/>
                </w:rPr>
                <w:t>TA XI DO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56TH FLOOR</w:t>
            </w: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BOSTON</w:t>
            </w:r>
          </w:p>
        </w:tc>
        <w:tc>
          <w:tcPr>
            <w:tcW w:w="1440" w:type="dxa"/>
            <w:vAlign w:val="bottom"/>
            <w:gridSpan w:val="3"/>
          </w:tcPr>
          <w:p>
            <w:pPr>
              <w:ind w:left="18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20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 weighted-average sale price. The shares were sold in multiple transactions at prices ranging from $68.00 to $69.72. The Reporting Persons will provide upon request to the Securities and Exchange Commission, the Company or security holder of the Company, full information regarding the number of shares sold at each separate price.</w:t>
      </w:r>
    </w:p>
    <w:p>
      <w:pPr>
        <w:spacing w:after="0" w:line="15"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AIV, L.P. ("XI DO AIV").</w:t>
      </w:r>
    </w:p>
    <w:p>
      <w:pPr>
        <w:spacing w:after="0" w:line="50"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TA Associates, L.P. is the ultimate general partner of each of XI DO, SDF III Feeder, Atlantic &amp; Pacific VII-B, XI DO AIV, SDF III DO, Atlantic &amp; Pacific VII-A, Investors IV, AP VII-B, SDF III DO AIV II and XI DO AIV II (collectively, the "TA Associates Funds"). Investment and voting control of the TA Associates Funds is held by TA Associates, L.P. Todd R. Crockett and Jason S. Mironov are directors of the Issuer and serve as representatives of TA Associates, L.P. and the TA Associates Funds on the Issuer's board of directors. TA Associates, L.P. disclaims beneficial ownership of such securities, except to the extent of its pecuniary interest in such securities, if any.</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SDF III DO AIV, L.P. ("SDF III DO").</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Atlantic &amp; Pacific VII-A, L.P. ("Atlantic &amp; Pacific VII-A").</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Investors IV, L.P. ("Investors IV").</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SDF III DO AIV II, L.P. ("SDF III DO AIV II").</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AIV II, L.P. ("XI DO AIV II").</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AP VII-B DO Subsidiary Partnership, L.P. ("AP VII-B").</w:t>
      </w:r>
    </w:p>
    <w:p>
      <w:pPr>
        <w:spacing w:after="0" w:line="50" w:lineRule="exact"/>
        <w:rPr>
          <w:rFonts w:ascii="Arial" w:cs="Arial" w:eastAsia="Arial" w:hAnsi="Arial"/>
          <w:sz w:val="13"/>
          <w:szCs w:val="13"/>
          <w:color w:val="008000"/>
        </w:rPr>
      </w:pPr>
    </w:p>
    <w:p>
      <w:pPr>
        <w:ind w:left="220" w:hanging="193"/>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SDF III DO Feeder, L.P. ("SDF III Feeder").</w:t>
      </w:r>
    </w:p>
    <w:p>
      <w:pPr>
        <w:spacing w:after="0" w:line="50" w:lineRule="exact"/>
        <w:rPr>
          <w:rFonts w:ascii="Arial" w:cs="Arial" w:eastAsia="Arial" w:hAnsi="Arial"/>
          <w:sz w:val="13"/>
          <w:szCs w:val="13"/>
          <w:color w:val="008000"/>
        </w:rPr>
      </w:pPr>
    </w:p>
    <w:p>
      <w:pPr>
        <w:ind w:left="220" w:hanging="193"/>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Feeder, L.P ("XI DO").</w:t>
      </w:r>
    </w:p>
    <w:p>
      <w:pPr>
        <w:spacing w:after="0" w:line="50" w:lineRule="exact"/>
        <w:rPr>
          <w:rFonts w:ascii="Arial" w:cs="Arial" w:eastAsia="Arial" w:hAnsi="Arial"/>
          <w:sz w:val="13"/>
          <w:szCs w:val="13"/>
          <w:color w:val="008000"/>
        </w:rPr>
      </w:pPr>
    </w:p>
    <w:p>
      <w:pPr>
        <w:ind w:left="220" w:hanging="193"/>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Atlantic &amp; Pacific VII-B, L.P. ("Atlantic &amp; Pacific VII-B").</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2"/>
          <w:szCs w:val="12"/>
          <w:color w:val="008000"/>
        </w:rPr>
        <w:t>Because no more than 10 reporting persons can file any one Form 4 through the Securities and Exchange Commission's EDGAR system, Atlantic &amp; Pacific VII-B has filed a separate Form 4.</w:t>
      </w:r>
    </w:p>
    <w:p>
      <w:pPr>
        <w:sectPr>
          <w:pgSz w:w="11900" w:h="16838" w:orient="portrait"/>
          <w:cols w:equalWidth="0" w:num="1">
            <w:col w:w="10840"/>
          </w:cols>
          <w:pgMar w:left="480" w:top="131" w:right="579" w:bottom="0" w:gutter="0" w:footer="0" w:header="0"/>
        </w:sectPr>
      </w:pPr>
    </w:p>
    <w:p>
      <w:pPr>
        <w:spacing w:after="0" w:line="8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TA Associates, L.P., by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57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 Hadden,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25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Counsel, /s/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481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spacing w:after="0" w:line="6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TA XI DO AIV, L.P.,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331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2331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Associates XI GP,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50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General Partner,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585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347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its General Counsel, /s/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6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705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TA SDF III DO AIV,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909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9095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TA Associates, SDF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82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1982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1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700" w:space="60"/>
            <w:col w:w="2080"/>
          </w:cols>
          <w:pgMar w:left="480" w:top="131" w:right="57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TA Associates,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1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General Partner, by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31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Hadden, its,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19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28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Atlantic &amp; Pacific VII-A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17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TA Associates 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30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VII GP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1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by TA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90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1690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1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Jeffrey C. Hadden,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74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9874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General Counsel, /s/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44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422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Investors IV, L.P.,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41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25412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47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its, General Counsel,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1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13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80137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SDF III DO AIV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80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by TA Associates SDF,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417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1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 Associates,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10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General Partner, by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31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Hadden, its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195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28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XI DO AIV II, L.P.,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481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Associates XI GP,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7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91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585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47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its General Counsel, /s/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69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705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Associates AP VII-B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807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2807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Subsidiary Partnership,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528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TA Associates AP VII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96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28968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1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 Associates,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10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General Partner, by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404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Hadden, its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22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28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SDF III DO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68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TA Associates SDF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81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1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 Associates,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10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General Partner, by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404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Hadden, its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22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28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TA XI DO Feeder, L.P.,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4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Associates XI GP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8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91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Partner, Jeffrey C. Hadden,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5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General Counsel, /s/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44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422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41" w:lineRule="exact"/>
        <w:rPr>
          <w:sz w:val="20"/>
          <w:szCs w:val="20"/>
          <w:color w:val="auto"/>
        </w:rPr>
      </w:pPr>
    </w:p>
    <w:p>
      <w:pPr>
        <w:sectPr>
          <w:pgSz w:w="11900" w:h="16838" w:orient="portrait"/>
          <w:cols w:equalWidth="0" w:num="2">
            <w:col w:w="8680" w:space="60"/>
            <w:col w:w="1440"/>
          </w:cols>
          <w:pgMar w:left="500" w:top="131"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22"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2" Type="http://schemas.openxmlformats.org/officeDocument/2006/relationships/hyperlink" Target="http://www.sec.gov/cgi-bin/browse-edgar?action=getcompany&amp;CIK=0001034569" TargetMode="External"/><Relationship Id="rId13" Type="http://schemas.openxmlformats.org/officeDocument/2006/relationships/hyperlink" Target="http://www.sec.gov/cgi-bin/browse-edgar?action=getcompany&amp;CIK=0001794515" TargetMode="External"/><Relationship Id="rId15" Type="http://schemas.openxmlformats.org/officeDocument/2006/relationships/hyperlink" Target="http://www.sec.gov/cgi-bin/browse-edgar?action=getcompany&amp;CIK=0001609536" TargetMode="External"/><Relationship Id="rId16" Type="http://schemas.openxmlformats.org/officeDocument/2006/relationships/hyperlink" Target="http://www.sec.gov/cgi-bin/browse-edgar?action=getcompany&amp;CIK=0001609553" TargetMode="External"/><Relationship Id="rId18" Type="http://schemas.openxmlformats.org/officeDocument/2006/relationships/hyperlink" Target="http://www.sec.gov/cgi-bin/browse-edgar?action=getcompany&amp;CIK=0001548681" TargetMode="External"/><Relationship Id="rId19" Type="http://schemas.openxmlformats.org/officeDocument/2006/relationships/hyperlink" Target="http://www.sec.gov/cgi-bin/browse-edgar?action=getcompany&amp;CIK=0001578035" TargetMode="External"/><Relationship Id="rId20" Type="http://schemas.openxmlformats.org/officeDocument/2006/relationships/hyperlink" Target="http://www.sec.gov/cgi-bin/browse-edgar?action=getcompany&amp;CIK=0001812605" TargetMode="External"/><Relationship Id="rId21" Type="http://schemas.openxmlformats.org/officeDocument/2006/relationships/hyperlink" Target="http://www.sec.gov/cgi-bin/browse-edgar?action=getcompany&amp;CIK=0001812606" TargetMode="External"/><Relationship Id="rId23" Type="http://schemas.openxmlformats.org/officeDocument/2006/relationships/hyperlink" Target="http://www.sec.gov/cgi-bin/browse-edgar?action=getcompany&amp;CIK=0001812579" TargetMode="External"/><Relationship Id="rId24" Type="http://schemas.openxmlformats.org/officeDocument/2006/relationships/hyperlink" Target="http://www.sec.gov/cgi-bin/browse-edgar?action=getcompany&amp;CIK=0001609557" TargetMode="External"/><Relationship Id="rId25" Type="http://schemas.openxmlformats.org/officeDocument/2006/relationships/hyperlink" Target="http://www.sec.gov/cgi-bin/browse-edgar?action=getcompany&amp;CIK=00016095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2021-09-21T16:12:13Z</dcterms:created>
  <dcterms:modified xsi:type="dcterms:W3CDTF">2021-09-21T16:12:13Z</dcterms:modified>
</cp:coreProperties>
</file>