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Carlyle Group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
        <w:spacing w:after="0" w:line="395" w:lineRule="auto"/>
        <w:rPr>
          <w:sz w:val="20"/>
          <w:szCs w:val="20"/>
          <w:color w:val="auto"/>
        </w:rPr>
      </w:pPr>
      <w:r>
        <w:rPr>
          <w:rFonts w:ascii="Arial" w:cs="Arial" w:eastAsia="Arial" w:hAnsi="Arial"/>
          <w:sz w:val="16"/>
          <w:szCs w:val="16"/>
          <w:color w:val="0000FF"/>
        </w:rPr>
        <w:t>C/O THE CARLYLE GROUP, 1001 PENNSYLVANIA AVE. NW, SUITE 220 SOUTH</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WASHINGTON DC</w:t>
            </w:r>
          </w:p>
        </w:tc>
        <w:tc>
          <w:tcPr>
            <w:tcW w:w="1600" w:type="dxa"/>
            <w:vAlign w:val="bottom"/>
          </w:tcPr>
          <w:p>
            <w:pPr>
              <w:ind w:left="4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ZoomInfo Technologies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500" w:type="dxa"/>
            <w:vAlign w:val="bottom"/>
            <w:gridSpan w:val="3"/>
          </w:tcPr>
          <w:p>
            <w:pPr>
              <w:ind w:left="80"/>
              <w:spacing w:after="0"/>
              <w:rPr>
                <w:sz w:val="20"/>
                <w:szCs w:val="20"/>
                <w:color w:val="auto"/>
              </w:rPr>
            </w:pPr>
            <w:r>
              <w:rPr>
                <w:rFonts w:ascii="Arial" w:cs="Arial" w:eastAsia="Arial" w:hAnsi="Arial"/>
                <w:sz w:val="17"/>
                <w:szCs w:val="17"/>
                <w:color w:val="0000FF"/>
              </w:rPr>
              <w:t>11/05/2021</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52"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2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1020" w:type="dxa"/>
            <w:vAlign w:val="bottom"/>
            <w:gridSpan w:val="3"/>
            <w:vMerge w:val="continue"/>
          </w:tcPr>
          <w:p>
            <w:pPr>
              <w:spacing w:after="0"/>
              <w:rPr>
                <w:sz w:val="6"/>
                <w:szCs w:val="6"/>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vMerge w:val="restart"/>
          </w:tcPr>
          <w:p>
            <w:pPr>
              <w:ind w:left="140"/>
              <w:spacing w:after="0"/>
              <w:rPr>
                <w:sz w:val="20"/>
                <w:szCs w:val="20"/>
                <w:color w:val="auto"/>
              </w:rPr>
            </w:pPr>
            <w:r>
              <w:rPr>
                <w:rFonts w:ascii="Arial" w:cs="Arial" w:eastAsia="Arial" w:hAnsi="Arial"/>
                <w:sz w:val="17"/>
                <w:szCs w:val="17"/>
                <w:color w:val="0000FF"/>
              </w:rPr>
              <w:t>11/05/2021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vMerge w:val="restart"/>
          </w:tcPr>
          <w:p>
            <w:pPr>
              <w:jc w:val="right"/>
              <w:ind w:right="62"/>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4"/>
              </w:rPr>
              <w:t>122,337</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72.3188</w:t>
            </w:r>
            <w:r>
              <w:rPr>
                <w:rFonts w:ascii="Arial" w:cs="Arial" w:eastAsia="Arial" w:hAnsi="Arial"/>
                <w:sz w:val="22"/>
                <w:szCs w:val="22"/>
                <w:color w:val="008000"/>
                <w:w w:val="87"/>
                <w:vertAlign w:val="superscript"/>
              </w:rPr>
              <w:t>(2)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53,513,127</w:t>
            </w:r>
          </w:p>
        </w:tc>
        <w:tc>
          <w:tcPr>
            <w:tcW w:w="340" w:type="dxa"/>
            <w:vAlign w:val="bottom"/>
          </w:tcPr>
          <w:p>
            <w:pPr>
              <w:spacing w:after="0"/>
              <w:rPr>
                <w:sz w:val="22"/>
                <w:szCs w:val="22"/>
                <w:color w:val="auto"/>
              </w:rPr>
            </w:pPr>
          </w:p>
        </w:tc>
        <w:tc>
          <w:tcPr>
            <w:tcW w:w="48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6"/>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11/05/2021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jc w:val="right"/>
              <w:ind w:right="62"/>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471,762</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73.1942</w:t>
            </w:r>
            <w:r>
              <w:rPr>
                <w:rFonts w:ascii="Arial" w:cs="Arial" w:eastAsia="Arial" w:hAnsi="Arial"/>
                <w:sz w:val="22"/>
                <w:szCs w:val="22"/>
                <w:color w:val="008000"/>
                <w:w w:val="87"/>
                <w:vertAlign w:val="superscript"/>
              </w:rPr>
              <w:t>(5)</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7"/>
                <w:szCs w:val="17"/>
                <w:color w:val="0000FF"/>
              </w:rPr>
              <w:t>53,041,365</w:t>
            </w:r>
          </w:p>
        </w:tc>
        <w:tc>
          <w:tcPr>
            <w:tcW w:w="3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6"/>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11/05/2021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jc w:val="right"/>
              <w:ind w:right="62"/>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6,700</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73.8369</w:t>
            </w:r>
            <w:r>
              <w:rPr>
                <w:rFonts w:ascii="Arial" w:cs="Arial" w:eastAsia="Arial" w:hAnsi="Arial"/>
                <w:sz w:val="22"/>
                <w:szCs w:val="22"/>
                <w:color w:val="008000"/>
                <w:w w:val="87"/>
                <w:vertAlign w:val="superscript"/>
              </w:rPr>
              <w:t>(6)</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7"/>
                <w:szCs w:val="17"/>
                <w:color w:val="0000FF"/>
              </w:rPr>
              <w:t>53,034,665</w:t>
            </w:r>
          </w:p>
        </w:tc>
        <w:tc>
          <w:tcPr>
            <w:tcW w:w="3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6"/>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11/08/2021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jc w:val="right"/>
              <w:ind w:right="62"/>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127,391</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72.9415</w:t>
            </w:r>
            <w:r>
              <w:rPr>
                <w:rFonts w:ascii="Arial" w:cs="Arial" w:eastAsia="Arial" w:hAnsi="Arial"/>
                <w:sz w:val="22"/>
                <w:szCs w:val="22"/>
                <w:color w:val="008000"/>
                <w:w w:val="87"/>
                <w:vertAlign w:val="superscript"/>
              </w:rPr>
              <w:t>(7)</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7"/>
                <w:szCs w:val="17"/>
                <w:color w:val="0000FF"/>
              </w:rPr>
              <w:t>52,907,274</w:t>
            </w:r>
          </w:p>
        </w:tc>
        <w:tc>
          <w:tcPr>
            <w:tcW w:w="3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6"/>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11/08/2021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jc w:val="right"/>
              <w:ind w:right="62"/>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226,423</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73.8257</w:t>
            </w:r>
            <w:r>
              <w:rPr>
                <w:rFonts w:ascii="Arial" w:cs="Arial" w:eastAsia="Arial" w:hAnsi="Arial"/>
                <w:sz w:val="22"/>
                <w:szCs w:val="22"/>
                <w:color w:val="008000"/>
                <w:w w:val="87"/>
                <w:vertAlign w:val="superscript"/>
              </w:rPr>
              <w:t>(8)</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7"/>
                <w:szCs w:val="17"/>
                <w:color w:val="0000FF"/>
              </w:rPr>
              <w:t>52,680,851</w:t>
            </w:r>
          </w:p>
        </w:tc>
        <w:tc>
          <w:tcPr>
            <w:tcW w:w="3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6"/>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11/08/2021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jc w:val="right"/>
              <w:ind w:right="62"/>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5,878</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74.1884</w:t>
            </w:r>
            <w:r>
              <w:rPr>
                <w:rFonts w:ascii="Arial" w:cs="Arial" w:eastAsia="Arial" w:hAnsi="Arial"/>
                <w:sz w:val="22"/>
                <w:szCs w:val="22"/>
                <w:color w:val="008000"/>
                <w:w w:val="87"/>
                <w:vertAlign w:val="superscript"/>
              </w:rPr>
              <w:t>(9)</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7"/>
                <w:szCs w:val="17"/>
                <w:color w:val="0000FF"/>
              </w:rPr>
              <w:t>52,674,973</w:t>
            </w:r>
          </w:p>
        </w:tc>
        <w:tc>
          <w:tcPr>
            <w:tcW w:w="3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6"/>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4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jc w:val="center"/>
              <w:ind w:right="60"/>
              <w:spacing w:after="0" w:line="133" w:lineRule="exact"/>
              <w:rPr>
                <w:sz w:val="20"/>
                <w:szCs w:val="20"/>
                <w:color w:val="auto"/>
              </w:rPr>
            </w:pPr>
            <w:r>
              <w:rPr>
                <w:rFonts w:ascii="Arial" w:cs="Arial" w:eastAsia="Arial" w:hAnsi="Arial"/>
                <w:sz w:val="12"/>
                <w:szCs w:val="12"/>
                <w:b w:val="1"/>
                <w:bCs w:val="1"/>
                <w:color w:val="auto"/>
                <w:w w:val="99"/>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jc w:val="center"/>
              <w:ind w:right="80"/>
              <w:spacing w:after="0" w:line="133" w:lineRule="exact"/>
              <w:rPr>
                <w:sz w:val="20"/>
                <w:szCs w:val="20"/>
                <w:color w:val="auto"/>
              </w:rPr>
            </w:pPr>
            <w:r>
              <w:rPr>
                <w:rFonts w:ascii="Arial" w:cs="Arial" w:eastAsia="Arial" w:hAnsi="Arial"/>
                <w:sz w:val="12"/>
                <w:szCs w:val="12"/>
                <w:b w:val="1"/>
                <w:bCs w:val="1"/>
                <w:color w:val="auto"/>
                <w:w w:val="87"/>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jc w:val="right"/>
              <w:ind w:right="62"/>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Carlyle Group Inc.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w w:val="95"/>
              </w:rPr>
              <w:t>C/O THE CARLYLE GROUP, 1001</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PENNSYLVANIA AVE. NW, SUITE 220 SOUTH</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WASHINGTON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DC</w:t>
            </w:r>
          </w:p>
        </w:tc>
        <w:tc>
          <w:tcPr>
            <w:tcW w:w="1100" w:type="dxa"/>
            <w:vAlign w:val="bottom"/>
          </w:tcPr>
          <w:p>
            <w:pPr>
              <w:ind w:left="240"/>
              <w:spacing w:after="0"/>
              <w:rPr>
                <w:sz w:val="20"/>
                <w:szCs w:val="20"/>
                <w:color w:val="auto"/>
              </w:rPr>
            </w:pPr>
            <w:r>
              <w:rPr>
                <w:rFonts w:ascii="Arial" w:cs="Arial" w:eastAsia="Arial" w:hAnsi="Arial"/>
                <w:sz w:val="17"/>
                <w:szCs w:val="17"/>
                <w:color w:val="0000FF"/>
                <w:w w:val="92"/>
              </w:rPr>
              <w:t>20004-2505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Carlyle Holdings I GP Inc.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52"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THE CARLYLE GROUP, 1001</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539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4539615"/>
                    </a:xfrm>
                    <a:prstGeom prst="rect">
                      <a:avLst/>
                    </a:prstGeom>
                    <a:noFill/>
                  </pic:spPr>
                </pic:pic>
              </a:graphicData>
            </a:graphic>
          </wp:anchor>
        </w:drawing>
        <w:t>PENNSYLVANIA AVE., N.W., SUITE 220 SOUTH</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020" w:type="dxa"/>
            <w:vAlign w:val="bottom"/>
          </w:tcPr>
          <w:p>
            <w:pPr>
              <w:ind w:left="120"/>
              <w:spacing w:after="0"/>
              <w:rPr>
                <w:sz w:val="20"/>
                <w:szCs w:val="20"/>
                <w:color w:val="auto"/>
              </w:rPr>
            </w:pPr>
            <w:r>
              <w:rPr>
                <w:rFonts w:ascii="Arial" w:cs="Arial" w:eastAsia="Arial" w:hAnsi="Arial"/>
                <w:sz w:val="17"/>
                <w:szCs w:val="17"/>
                <w:color w:val="0000FF"/>
              </w:rPr>
              <w:t>DC</w:t>
            </w:r>
          </w:p>
        </w:tc>
        <w:tc>
          <w:tcPr>
            <w:tcW w:w="1860" w:type="dxa"/>
            <w:vAlign w:val="bottom"/>
          </w:tcPr>
          <w:p>
            <w:pPr>
              <w:ind w:left="5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Carlyle Holdings I GP Sub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500" w:type="dxa"/>
            <w:vAlign w:val="bottom"/>
          </w:tcPr>
          <w:p>
            <w:pPr>
              <w:ind w:left="1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Carlyle Holdings 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020" w:type="dxa"/>
            <w:vAlign w:val="bottom"/>
          </w:tcPr>
          <w:p>
            <w:pPr>
              <w:ind w:left="120"/>
              <w:spacing w:after="0"/>
              <w:rPr>
                <w:sz w:val="20"/>
                <w:szCs w:val="20"/>
                <w:color w:val="auto"/>
              </w:rPr>
            </w:pPr>
            <w:r>
              <w:rPr>
                <w:rFonts w:ascii="Arial" w:cs="Arial" w:eastAsia="Arial" w:hAnsi="Arial"/>
                <w:sz w:val="17"/>
                <w:szCs w:val="17"/>
                <w:color w:val="0000FF"/>
              </w:rPr>
              <w:t>DC</w:t>
            </w:r>
          </w:p>
        </w:tc>
        <w:tc>
          <w:tcPr>
            <w:tcW w:w="1860" w:type="dxa"/>
            <w:vAlign w:val="bottom"/>
          </w:tcPr>
          <w:p>
            <w:pPr>
              <w:ind w:left="5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50"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$71.74 to $72.735.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Following the transactions reported herein, includes (i) 26,410,556 shares of Class A Common Stock held of record by CP VI Evergreen Holdings, L.P. ("CP VI Evergreen") and (ii) 26,264,417 shares of Class A Common Stock held of record by Carlyle Partners VI Evergreen Holdings, L.P. ("Carlyle Evergreen").</w:t>
      </w:r>
    </w:p>
    <w:p>
      <w:pPr>
        <w:spacing w:after="0" w:line="1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Carlyle Group Inc., which is a publicly traded entity listed on the Nasdaq, is the sole shareholder of Carlyle Holdings I GP Inc., which is the sole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29"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$72.74 to $73.73.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$73.74 to $73.90.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$72.18 to $73.17.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$73.18 to $74.175.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$74.18 to $74.30.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60"/>
        <w:spacing w:after="0" w:line="266" w:lineRule="auto"/>
        <w:rPr>
          <w:sz w:val="20"/>
          <w:szCs w:val="20"/>
          <w:color w:val="auto"/>
        </w:rPr>
      </w:pPr>
      <w:r>
        <w:rPr>
          <w:rFonts w:ascii="Arial" w:cs="Arial" w:eastAsia="Arial" w:hAnsi="Arial"/>
          <w:sz w:val="13"/>
          <w:szCs w:val="13"/>
          <w:color w:val="008000"/>
        </w:rPr>
        <w:t>Due to the limitations of the electronic filing system, each of CG Subsidiary Holdings L.L.C., TC Group, L.L.C., TC Group Sub L.P., TC Group VI S1, L.L.C., TC Group VI S1, L.P., Carlyle Partners VI Evergreen Holdings, L.P., and CP VI Evergreen Holdings, L.P. are filing a separate Form 4.</w:t>
      </w:r>
    </w:p>
    <w:p>
      <w:pPr>
        <w:sectPr>
          <w:pgSz w:w="11900" w:h="16838" w:orient="portrait"/>
          <w:cols w:equalWidth="0" w:num="1">
            <w:col w:w="10880"/>
          </w:cols>
          <w:pgMar w:left="480" w:top="158" w:right="53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The Carlyle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40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Anne Frederick,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1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8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7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524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Carlyle Holdings 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86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Inc.,By: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Attorney-in-fact for Curtis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Buser, 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Carlyle Holdings I GP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855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L.L.C., By: Carlyle Holdings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0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GP Inc., its sole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73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Anne Frederick,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1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8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79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52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Carlyle Holdings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312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Anne Frederick,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1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2">
            <w:col w:w="8700" w:space="60"/>
            <w:col w:w="2120"/>
          </w:cols>
          <w:pgMar w:left="480" w:top="158" w:right="53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in-fact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684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12" Type="http://schemas.openxmlformats.org/officeDocument/2006/relationships/hyperlink" Target="http://www.sec.gov/cgi-bin/browse-edgar?action=getcompany&amp;CIK=0001527166" TargetMode="External"/><Relationship Id="rId13" Type="http://schemas.openxmlformats.org/officeDocument/2006/relationships/hyperlink" Target="http://www.sec.gov/cgi-bin/browse-edgar?action=getcompany&amp;CIK=0001794515" TargetMode="External"/><Relationship Id="rId14" Type="http://schemas.openxmlformats.org/officeDocument/2006/relationships/hyperlink" Target="http://www.sec.gov/cgi-bin/browse-edgar?action=getcompany&amp;CIK=0001548626" TargetMode="External"/><Relationship Id="rId17" Type="http://schemas.openxmlformats.org/officeDocument/2006/relationships/hyperlink" Target="http://www.sec.gov/cgi-bin/browse-edgar?action=getcompany&amp;CIK=0001548627" TargetMode="External"/><Relationship Id="rId18" Type="http://schemas.openxmlformats.org/officeDocument/2006/relationships/hyperlink" Target="http://www.sec.gov/cgi-bin/browse-edgar?action=getcompany&amp;CIK=0001548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2021-11-09T16:49:41Z</dcterms:created>
  <dcterms:modified xsi:type="dcterms:W3CDTF">2021-11-09T16:49:41Z</dcterms:modified>
</cp:coreProperties>
</file>