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7217.xml.htm"/>
      <w:bookmarkStart w:id="1" w:name="kswkform4_17884672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Roth James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205,549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4.24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205,393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4.17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205,299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to cover the Reporting Person's tax liability in connection with the vesting of the restricted stock units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transaction reported in this Form 4 was effected pursuant to a Rule 10b5-1 trading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received an original grant of restricted stock units on September 1, 2022, which vest in equal quarterly installments during the 21 months following December 1,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57761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692</Words>
  <Characters>3725</Characters>
  <CharactersWithSpaces>4317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