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confidentially submitted with the Securities and Exchange Commission on January 10, 2020.</w:t>
      </w:r>
    </w:p>
    <w:p>
      <w:pPr>
        <w:spacing w:after="0" w:line="13" w:lineRule="exact"/>
        <w:rPr>
          <w:sz w:val="24"/>
          <w:szCs w:val="24"/>
          <w:color w:val="auto"/>
        </w:rPr>
      </w:pPr>
    </w:p>
    <w:p>
      <w:pPr>
        <w:ind w:left="996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86360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jc w:val="center"/>
        <w:spacing w:after="0"/>
        <w:rPr>
          <w:sz w:val="20"/>
          <w:szCs w:val="20"/>
          <w:color w:val="auto"/>
        </w:rPr>
      </w:pPr>
      <w:r>
        <w:rPr>
          <w:rFonts w:ascii="Arial" w:cs="Arial" w:eastAsia="Arial" w:hAnsi="Arial"/>
          <w:sz w:val="13"/>
          <w:szCs w:val="13"/>
          <w:b w:val="1"/>
          <w:bCs w:val="1"/>
          <w:color w:val="auto"/>
        </w:rPr>
        <w:t>Confidential Submission 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86360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ZoomInfo Technologies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87630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7" w:lineRule="exact"/>
        <w:rPr>
          <w:sz w:val="24"/>
          <w:szCs w:val="24"/>
          <w:color w:val="auto"/>
        </w:rPr>
      </w:pPr>
    </w:p>
    <w:tbl>
      <w:tblPr>
        <w:tblLayout w:type="fixed"/>
        <w:tblInd w:w="1140" w:type="dxa"/>
        <w:tblCellMar>
          <w:top w:w="0" w:type="dxa"/>
          <w:left w:w="0" w:type="dxa"/>
          <w:bottom w:w="0" w:type="dxa"/>
          <w:right w:w="0" w:type="dxa"/>
        </w:tblCellMar>
      </w:tblPr>
      <w:tr>
        <w:trPr>
          <w:trHeight w:val="164"/>
        </w:trPr>
        <w:tc>
          <w:tcPr>
            <w:tcW w:w="2680" w:type="dxa"/>
            <w:vAlign w:val="bottom"/>
          </w:tcPr>
          <w:p>
            <w:pPr>
              <w:jc w:val="center"/>
              <w:ind w:right="997"/>
              <w:spacing w:after="0"/>
              <w:rPr>
                <w:sz w:val="20"/>
                <w:szCs w:val="20"/>
                <w:color w:val="auto"/>
              </w:rPr>
            </w:pPr>
            <w:r>
              <w:rPr>
                <w:rFonts w:ascii="Arial" w:cs="Arial" w:eastAsia="Arial" w:hAnsi="Arial"/>
                <w:sz w:val="13"/>
                <w:szCs w:val="13"/>
                <w:b w:val="1"/>
                <w:bCs w:val="1"/>
                <w:color w:val="auto"/>
                <w:w w:val="87"/>
              </w:rPr>
              <w:t>Delaware</w:t>
            </w:r>
          </w:p>
        </w:tc>
        <w:tc>
          <w:tcPr>
            <w:tcW w:w="4000" w:type="dxa"/>
            <w:vAlign w:val="bottom"/>
          </w:tcPr>
          <w:p>
            <w:pPr>
              <w:jc w:val="center"/>
              <w:ind w:right="17"/>
              <w:spacing w:after="0"/>
              <w:rPr>
                <w:sz w:val="20"/>
                <w:szCs w:val="20"/>
                <w:color w:val="auto"/>
              </w:rPr>
            </w:pPr>
            <w:r>
              <w:rPr>
                <w:rFonts w:ascii="Arial" w:cs="Arial" w:eastAsia="Arial" w:hAnsi="Arial"/>
                <w:sz w:val="13"/>
                <w:szCs w:val="13"/>
                <w:b w:val="1"/>
                <w:bCs w:val="1"/>
                <w:color w:val="auto"/>
                <w:w w:val="82"/>
              </w:rPr>
              <w:t>7372</w:t>
            </w:r>
          </w:p>
        </w:tc>
        <w:tc>
          <w:tcPr>
            <w:tcW w:w="2220" w:type="dxa"/>
            <w:vAlign w:val="bottom"/>
          </w:tcPr>
          <w:p>
            <w:pPr>
              <w:jc w:val="center"/>
              <w:ind w:left="1157"/>
              <w:spacing w:after="0"/>
              <w:rPr>
                <w:sz w:val="20"/>
                <w:szCs w:val="20"/>
                <w:color w:val="auto"/>
              </w:rPr>
            </w:pPr>
            <w:r>
              <w:rPr>
                <w:rFonts w:ascii="Arial" w:cs="Arial" w:eastAsia="Arial" w:hAnsi="Arial"/>
                <w:sz w:val="13"/>
                <w:szCs w:val="13"/>
                <w:b w:val="1"/>
                <w:bCs w:val="1"/>
                <w:color w:val="auto"/>
                <w:w w:val="86"/>
              </w:rPr>
              <w:t>84-3721253</w:t>
            </w:r>
          </w:p>
        </w:tc>
      </w:tr>
      <w:tr>
        <w:trPr>
          <w:trHeight w:val="160"/>
        </w:trPr>
        <w:tc>
          <w:tcPr>
            <w:tcW w:w="2680" w:type="dxa"/>
            <w:vAlign w:val="bottom"/>
          </w:tcPr>
          <w:p>
            <w:pPr>
              <w:jc w:val="center"/>
              <w:ind w:right="997"/>
              <w:spacing w:after="0"/>
              <w:rPr>
                <w:sz w:val="20"/>
                <w:szCs w:val="20"/>
                <w:color w:val="auto"/>
              </w:rPr>
            </w:pPr>
            <w:r>
              <w:rPr>
                <w:rFonts w:ascii="Arial" w:cs="Arial" w:eastAsia="Arial" w:hAnsi="Arial"/>
                <w:sz w:val="13"/>
                <w:szCs w:val="13"/>
                <w:b w:val="1"/>
                <w:bCs w:val="1"/>
                <w:color w:val="auto"/>
                <w:w w:val="88"/>
              </w:rPr>
              <w:t>(State or other jurisdiction of</w:t>
            </w:r>
          </w:p>
        </w:tc>
        <w:tc>
          <w:tcPr>
            <w:tcW w:w="4000" w:type="dxa"/>
            <w:vAlign w:val="bottom"/>
          </w:tcPr>
          <w:p>
            <w:pPr>
              <w:jc w:val="center"/>
              <w:ind w:right="17"/>
              <w:spacing w:after="0"/>
              <w:rPr>
                <w:sz w:val="20"/>
                <w:szCs w:val="20"/>
                <w:color w:val="auto"/>
              </w:rPr>
            </w:pPr>
            <w:r>
              <w:rPr>
                <w:rFonts w:ascii="Arial" w:cs="Arial" w:eastAsia="Arial" w:hAnsi="Arial"/>
                <w:sz w:val="13"/>
                <w:szCs w:val="13"/>
                <w:b w:val="1"/>
                <w:bCs w:val="1"/>
                <w:color w:val="auto"/>
                <w:w w:val="91"/>
              </w:rPr>
              <w:t>(Primary Standard Industrial</w:t>
            </w:r>
          </w:p>
        </w:tc>
        <w:tc>
          <w:tcPr>
            <w:tcW w:w="2220" w:type="dxa"/>
            <w:vAlign w:val="bottom"/>
          </w:tcPr>
          <w:p>
            <w:pPr>
              <w:jc w:val="center"/>
              <w:ind w:left="1157"/>
              <w:spacing w:after="0"/>
              <w:rPr>
                <w:sz w:val="20"/>
                <w:szCs w:val="20"/>
                <w:color w:val="auto"/>
              </w:rPr>
            </w:pPr>
            <w:r>
              <w:rPr>
                <w:rFonts w:ascii="Arial" w:cs="Arial" w:eastAsia="Arial" w:hAnsi="Arial"/>
                <w:sz w:val="13"/>
                <w:szCs w:val="13"/>
                <w:b w:val="1"/>
                <w:bCs w:val="1"/>
                <w:color w:val="auto"/>
                <w:w w:val="92"/>
              </w:rPr>
              <w:t>(I.R.S. Employer</w:t>
            </w:r>
          </w:p>
        </w:tc>
      </w:tr>
      <w:tr>
        <w:trPr>
          <w:trHeight w:val="162"/>
        </w:trPr>
        <w:tc>
          <w:tcPr>
            <w:tcW w:w="2680" w:type="dxa"/>
            <w:vAlign w:val="bottom"/>
          </w:tcPr>
          <w:p>
            <w:pPr>
              <w:jc w:val="center"/>
              <w:ind w:right="977"/>
              <w:spacing w:after="0"/>
              <w:rPr>
                <w:sz w:val="20"/>
                <w:szCs w:val="20"/>
                <w:color w:val="auto"/>
              </w:rPr>
            </w:pPr>
            <w:r>
              <w:rPr>
                <w:rFonts w:ascii="Arial" w:cs="Arial" w:eastAsia="Arial" w:hAnsi="Arial"/>
                <w:sz w:val="13"/>
                <w:szCs w:val="13"/>
                <w:b w:val="1"/>
                <w:bCs w:val="1"/>
                <w:color w:val="auto"/>
                <w:w w:val="88"/>
              </w:rPr>
              <w:t>incorporation or organization)</w:t>
            </w:r>
          </w:p>
        </w:tc>
        <w:tc>
          <w:tcPr>
            <w:tcW w:w="400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Classification Code Number)</w:t>
            </w:r>
          </w:p>
        </w:tc>
        <w:tc>
          <w:tcPr>
            <w:tcW w:w="2220" w:type="dxa"/>
            <w:vAlign w:val="bottom"/>
          </w:tcPr>
          <w:p>
            <w:pPr>
              <w:jc w:val="center"/>
              <w:ind w:left="1157"/>
              <w:spacing w:after="0"/>
              <w:rPr>
                <w:sz w:val="20"/>
                <w:szCs w:val="20"/>
                <w:color w:val="auto"/>
              </w:rPr>
            </w:pPr>
            <w:r>
              <w:rPr>
                <w:rFonts w:ascii="Arial" w:cs="Arial" w:eastAsia="Arial" w:hAnsi="Arial"/>
                <w:sz w:val="13"/>
                <w:szCs w:val="13"/>
                <w:b w:val="1"/>
                <w:bCs w:val="1"/>
                <w:color w:val="auto"/>
                <w:w w:val="91"/>
              </w:rPr>
              <w:t>Identification No.)</w:t>
            </w:r>
          </w:p>
        </w:tc>
      </w:tr>
      <w:tr>
        <w:trPr>
          <w:trHeight w:val="149"/>
        </w:trPr>
        <w:tc>
          <w:tcPr>
            <w:tcW w:w="2680" w:type="dxa"/>
            <w:vAlign w:val="bottom"/>
          </w:tcPr>
          <w:p>
            <w:pPr>
              <w:spacing w:after="0"/>
              <w:rPr>
                <w:sz w:val="12"/>
                <w:szCs w:val="12"/>
                <w:color w:val="auto"/>
              </w:rPr>
            </w:pPr>
          </w:p>
        </w:tc>
        <w:tc>
          <w:tcPr>
            <w:tcW w:w="400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805 Broadway Street, Suite 900</w:t>
            </w:r>
          </w:p>
        </w:tc>
        <w:tc>
          <w:tcPr>
            <w:tcW w:w="2220" w:type="dxa"/>
            <w:vAlign w:val="bottom"/>
          </w:tcPr>
          <w:p>
            <w:pPr>
              <w:spacing w:after="0"/>
              <w:rPr>
                <w:sz w:val="12"/>
                <w:szCs w:val="12"/>
                <w:color w:val="auto"/>
              </w:rPr>
            </w:pPr>
          </w:p>
        </w:tc>
      </w:tr>
      <w:tr>
        <w:trPr>
          <w:trHeight w:val="149"/>
        </w:trPr>
        <w:tc>
          <w:tcPr>
            <w:tcW w:w="2680" w:type="dxa"/>
            <w:vAlign w:val="bottom"/>
          </w:tcPr>
          <w:p>
            <w:pPr>
              <w:spacing w:after="0"/>
              <w:rPr>
                <w:sz w:val="12"/>
                <w:szCs w:val="12"/>
                <w:color w:val="auto"/>
              </w:rPr>
            </w:pPr>
          </w:p>
        </w:tc>
        <w:tc>
          <w:tcPr>
            <w:tcW w:w="4000" w:type="dxa"/>
            <w:vAlign w:val="bottom"/>
          </w:tcPr>
          <w:p>
            <w:pPr>
              <w:jc w:val="center"/>
              <w:ind w:right="157"/>
              <w:spacing w:after="0"/>
              <w:rPr>
                <w:sz w:val="20"/>
                <w:szCs w:val="20"/>
                <w:color w:val="auto"/>
              </w:rPr>
            </w:pPr>
            <w:r>
              <w:rPr>
                <w:rFonts w:ascii="Arial" w:cs="Arial" w:eastAsia="Arial" w:hAnsi="Arial"/>
                <w:sz w:val="13"/>
                <w:szCs w:val="13"/>
                <w:b w:val="1"/>
                <w:bCs w:val="1"/>
                <w:color w:val="auto"/>
                <w:w w:val="86"/>
              </w:rPr>
              <w:t>Vancouver, Washington 98660</w:t>
            </w:r>
          </w:p>
        </w:tc>
        <w:tc>
          <w:tcPr>
            <w:tcW w:w="2220" w:type="dxa"/>
            <w:vAlign w:val="bottom"/>
          </w:tcPr>
          <w:p>
            <w:pPr>
              <w:spacing w:after="0"/>
              <w:rPr>
                <w:sz w:val="12"/>
                <w:szCs w:val="12"/>
                <w:color w:val="auto"/>
              </w:rPr>
            </w:pPr>
          </w:p>
        </w:tc>
      </w:tr>
      <w:tr>
        <w:trPr>
          <w:trHeight w:val="163"/>
        </w:trPr>
        <w:tc>
          <w:tcPr>
            <w:tcW w:w="2680" w:type="dxa"/>
            <w:vAlign w:val="bottom"/>
          </w:tcPr>
          <w:p>
            <w:pPr>
              <w:spacing w:after="0"/>
              <w:rPr>
                <w:sz w:val="14"/>
                <w:szCs w:val="14"/>
                <w:color w:val="auto"/>
              </w:rPr>
            </w:pPr>
          </w:p>
        </w:tc>
        <w:tc>
          <w:tcPr>
            <w:tcW w:w="4000" w:type="dxa"/>
            <w:vAlign w:val="bottom"/>
          </w:tcPr>
          <w:p>
            <w:pPr>
              <w:jc w:val="center"/>
              <w:ind w:right="157"/>
              <w:spacing w:after="0"/>
              <w:rPr>
                <w:sz w:val="20"/>
                <w:szCs w:val="20"/>
                <w:color w:val="auto"/>
              </w:rPr>
            </w:pPr>
            <w:r>
              <w:rPr>
                <w:rFonts w:ascii="Arial" w:cs="Arial" w:eastAsia="Arial" w:hAnsi="Arial"/>
                <w:sz w:val="13"/>
                <w:szCs w:val="13"/>
                <w:b w:val="1"/>
                <w:bCs w:val="1"/>
                <w:color w:val="auto"/>
                <w:w w:val="87"/>
              </w:rPr>
              <w:t>Telephone: (800) 914-1220</w:t>
            </w:r>
          </w:p>
        </w:tc>
        <w:tc>
          <w:tcPr>
            <w:tcW w:w="2220" w:type="dxa"/>
            <w:vAlign w:val="bottom"/>
          </w:tcPr>
          <w:p>
            <w:pPr>
              <w:spacing w:after="0"/>
              <w:rPr>
                <w:sz w:val="14"/>
                <w:szCs w:val="14"/>
                <w:color w:val="auto"/>
              </w:rPr>
            </w:pPr>
          </w:p>
        </w:tc>
      </w:tr>
    </w:tbl>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87630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Anthony Stark</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General Counsel</w:t>
      </w:r>
    </w:p>
    <w:p>
      <w:pPr>
        <w:jc w:val="center"/>
        <w:spacing w:after="0"/>
        <w:rPr>
          <w:sz w:val="20"/>
          <w:szCs w:val="20"/>
          <w:color w:val="auto"/>
        </w:rPr>
      </w:pPr>
      <w:r>
        <w:rPr>
          <w:rFonts w:ascii="Arial" w:cs="Arial" w:eastAsia="Arial" w:hAnsi="Arial"/>
          <w:sz w:val="13"/>
          <w:szCs w:val="13"/>
          <w:b w:val="1"/>
          <w:bCs w:val="1"/>
          <w:color w:val="auto"/>
        </w:rPr>
        <w:t>ZoomInfo Technologies Inc.</w:t>
      </w:r>
    </w:p>
    <w:p>
      <w:pPr>
        <w:jc w:val="center"/>
        <w:spacing w:after="0"/>
        <w:rPr>
          <w:sz w:val="20"/>
          <w:szCs w:val="20"/>
          <w:color w:val="auto"/>
        </w:rPr>
      </w:pPr>
      <w:r>
        <w:rPr>
          <w:rFonts w:ascii="Arial" w:cs="Arial" w:eastAsia="Arial" w:hAnsi="Arial"/>
          <w:sz w:val="13"/>
          <w:szCs w:val="13"/>
          <w:b w:val="1"/>
          <w:bCs w:val="1"/>
          <w:color w:val="auto"/>
        </w:rPr>
        <w:t>805 Broadway Street, Suite 900</w:t>
      </w:r>
    </w:p>
    <w:p>
      <w:pPr>
        <w:jc w:val="center"/>
        <w:spacing w:after="0"/>
        <w:rPr>
          <w:sz w:val="20"/>
          <w:szCs w:val="20"/>
          <w:color w:val="auto"/>
        </w:rPr>
      </w:pPr>
      <w:r>
        <w:rPr>
          <w:rFonts w:ascii="Arial" w:cs="Arial" w:eastAsia="Arial" w:hAnsi="Arial"/>
          <w:sz w:val="13"/>
          <w:szCs w:val="13"/>
          <w:b w:val="1"/>
          <w:bCs w:val="1"/>
          <w:color w:val="auto"/>
        </w:rPr>
        <w:t>Vancouver, Washington 98660</w:t>
      </w:r>
    </w:p>
    <w:p>
      <w:pPr>
        <w:jc w:val="center"/>
        <w:spacing w:after="0"/>
        <w:rPr>
          <w:sz w:val="20"/>
          <w:szCs w:val="20"/>
          <w:color w:val="auto"/>
        </w:rPr>
      </w:pPr>
      <w:r>
        <w:rPr>
          <w:rFonts w:ascii="Arial" w:cs="Arial" w:eastAsia="Arial" w:hAnsi="Arial"/>
          <w:sz w:val="13"/>
          <w:szCs w:val="13"/>
          <w:b w:val="1"/>
          <w:bCs w:val="1"/>
          <w:color w:val="auto"/>
        </w:rPr>
        <w:t>Telephone: (800) 914-1220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87630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5" w:lineRule="exact"/>
        <w:rPr>
          <w:sz w:val="24"/>
          <w:szCs w:val="24"/>
          <w:color w:val="auto"/>
        </w:rPr>
      </w:pPr>
    </w:p>
    <w:tbl>
      <w:tblPr>
        <w:tblLayout w:type="fixed"/>
        <w:tblInd w:w="1960" w:type="dxa"/>
        <w:tblCellMar>
          <w:top w:w="0" w:type="dxa"/>
          <w:left w:w="0" w:type="dxa"/>
          <w:bottom w:w="0" w:type="dxa"/>
          <w:right w:w="0" w:type="dxa"/>
        </w:tblCellMar>
      </w:tblPr>
      <w:tr>
        <w:trPr>
          <w:trHeight w:val="164"/>
        </w:trPr>
        <w:tc>
          <w:tcPr>
            <w:tcW w:w="2640" w:type="dxa"/>
            <w:vAlign w:val="bottom"/>
          </w:tcPr>
          <w:p>
            <w:pPr>
              <w:spacing w:after="0"/>
              <w:rPr>
                <w:sz w:val="14"/>
                <w:szCs w:val="14"/>
                <w:color w:val="auto"/>
              </w:rPr>
            </w:pPr>
          </w:p>
        </w:tc>
        <w:tc>
          <w:tcPr>
            <w:tcW w:w="4720" w:type="dxa"/>
            <w:vAlign w:val="bottom"/>
          </w:tcPr>
          <w:p>
            <w:pPr>
              <w:ind w:left="840"/>
              <w:spacing w:after="0"/>
              <w:rPr>
                <w:sz w:val="20"/>
                <w:szCs w:val="20"/>
                <w:color w:val="auto"/>
              </w:rPr>
            </w:pPr>
            <w:r>
              <w:rPr>
                <w:rFonts w:ascii="Arial" w:cs="Arial" w:eastAsia="Arial" w:hAnsi="Arial"/>
                <w:sz w:val="13"/>
                <w:szCs w:val="13"/>
                <w:b w:val="1"/>
                <w:bCs w:val="1"/>
                <w:color w:val="auto"/>
              </w:rPr>
              <w:t>Copies to:</w:t>
            </w:r>
          </w:p>
        </w:tc>
      </w:tr>
      <w:tr>
        <w:trPr>
          <w:trHeight w:val="281"/>
        </w:trPr>
        <w:tc>
          <w:tcPr>
            <w:tcW w:w="2640" w:type="dxa"/>
            <w:vAlign w:val="bottom"/>
          </w:tcPr>
          <w:p>
            <w:pPr>
              <w:jc w:val="center"/>
              <w:ind w:right="777"/>
              <w:spacing w:after="0"/>
              <w:rPr>
                <w:sz w:val="20"/>
                <w:szCs w:val="20"/>
                <w:color w:val="auto"/>
              </w:rPr>
            </w:pPr>
            <w:r>
              <w:rPr>
                <w:rFonts w:ascii="Arial" w:cs="Arial" w:eastAsia="Arial" w:hAnsi="Arial"/>
                <w:sz w:val="13"/>
                <w:szCs w:val="13"/>
                <w:b w:val="1"/>
                <w:bCs w:val="1"/>
                <w:color w:val="auto"/>
                <w:w w:val="88"/>
              </w:rPr>
              <w:t>Richard A. Fenyes</w:t>
            </w:r>
          </w:p>
        </w:tc>
        <w:tc>
          <w:tcPr>
            <w:tcW w:w="4720" w:type="dxa"/>
            <w:vAlign w:val="bottom"/>
          </w:tcPr>
          <w:p>
            <w:pPr>
              <w:jc w:val="center"/>
              <w:ind w:left="3157"/>
              <w:spacing w:after="0"/>
              <w:rPr>
                <w:sz w:val="20"/>
                <w:szCs w:val="20"/>
                <w:color w:val="auto"/>
              </w:rPr>
            </w:pPr>
            <w:r>
              <w:rPr>
                <w:rFonts w:ascii="Arial" w:cs="Arial" w:eastAsia="Arial" w:hAnsi="Arial"/>
                <w:sz w:val="13"/>
                <w:szCs w:val="13"/>
                <w:b w:val="1"/>
                <w:bCs w:val="1"/>
                <w:color w:val="auto"/>
                <w:w w:val="91"/>
              </w:rPr>
              <w:t>Marc D. Jaffe</w:t>
            </w:r>
          </w:p>
        </w:tc>
      </w:tr>
      <w:tr>
        <w:trPr>
          <w:trHeight w:val="135"/>
        </w:trPr>
        <w:tc>
          <w:tcPr>
            <w:tcW w:w="2640" w:type="dxa"/>
            <w:vAlign w:val="bottom"/>
          </w:tcPr>
          <w:p>
            <w:pPr>
              <w:jc w:val="center"/>
              <w:ind w:right="777"/>
              <w:spacing w:after="0" w:line="135" w:lineRule="exact"/>
              <w:rPr>
                <w:sz w:val="20"/>
                <w:szCs w:val="20"/>
                <w:color w:val="auto"/>
              </w:rPr>
            </w:pPr>
            <w:r>
              <w:rPr>
                <w:rFonts w:ascii="Arial" w:cs="Arial" w:eastAsia="Arial" w:hAnsi="Arial"/>
                <w:sz w:val="13"/>
                <w:szCs w:val="13"/>
                <w:b w:val="1"/>
                <w:bCs w:val="1"/>
                <w:color w:val="auto"/>
                <w:w w:val="90"/>
              </w:rPr>
              <w:t>Simpson Thacher &amp; Bartlett LLP</w:t>
            </w:r>
          </w:p>
        </w:tc>
        <w:tc>
          <w:tcPr>
            <w:tcW w:w="4720" w:type="dxa"/>
            <w:vAlign w:val="bottom"/>
          </w:tcPr>
          <w:p>
            <w:pPr>
              <w:jc w:val="center"/>
              <w:ind w:left="3157"/>
              <w:spacing w:after="0" w:line="135" w:lineRule="exact"/>
              <w:rPr>
                <w:sz w:val="20"/>
                <w:szCs w:val="20"/>
                <w:color w:val="auto"/>
              </w:rPr>
            </w:pPr>
            <w:r>
              <w:rPr>
                <w:rFonts w:ascii="Arial" w:cs="Arial" w:eastAsia="Arial" w:hAnsi="Arial"/>
                <w:sz w:val="13"/>
                <w:szCs w:val="13"/>
                <w:b w:val="1"/>
                <w:bCs w:val="1"/>
                <w:color w:val="auto"/>
                <w:w w:val="90"/>
              </w:rPr>
              <w:t>Jason M. Licht</w:t>
            </w:r>
          </w:p>
        </w:tc>
      </w:tr>
      <w:tr>
        <w:trPr>
          <w:trHeight w:val="135"/>
        </w:trPr>
        <w:tc>
          <w:tcPr>
            <w:tcW w:w="2640" w:type="dxa"/>
            <w:vAlign w:val="bottom"/>
          </w:tcPr>
          <w:p>
            <w:pPr>
              <w:jc w:val="center"/>
              <w:ind w:right="777"/>
              <w:spacing w:after="0" w:line="135" w:lineRule="exact"/>
              <w:rPr>
                <w:sz w:val="20"/>
                <w:szCs w:val="20"/>
                <w:color w:val="auto"/>
              </w:rPr>
            </w:pPr>
            <w:r>
              <w:rPr>
                <w:rFonts w:ascii="Arial" w:cs="Arial" w:eastAsia="Arial" w:hAnsi="Arial"/>
                <w:sz w:val="13"/>
                <w:szCs w:val="13"/>
                <w:b w:val="1"/>
                <w:bCs w:val="1"/>
                <w:color w:val="auto"/>
                <w:w w:val="86"/>
              </w:rPr>
              <w:t>425 Lexington Avenue</w:t>
            </w:r>
          </w:p>
        </w:tc>
        <w:tc>
          <w:tcPr>
            <w:tcW w:w="4720" w:type="dxa"/>
            <w:vAlign w:val="bottom"/>
          </w:tcPr>
          <w:p>
            <w:pPr>
              <w:jc w:val="center"/>
              <w:ind w:left="3157"/>
              <w:spacing w:after="0" w:line="135" w:lineRule="exact"/>
              <w:rPr>
                <w:sz w:val="20"/>
                <w:szCs w:val="20"/>
                <w:color w:val="auto"/>
              </w:rPr>
            </w:pPr>
            <w:r>
              <w:rPr>
                <w:rFonts w:ascii="Arial" w:cs="Arial" w:eastAsia="Arial" w:hAnsi="Arial"/>
                <w:sz w:val="13"/>
                <w:szCs w:val="13"/>
                <w:b w:val="1"/>
                <w:bCs w:val="1"/>
                <w:color w:val="auto"/>
                <w:w w:val="83"/>
              </w:rPr>
              <w:t>Stelios G. Saffos</w:t>
            </w:r>
          </w:p>
        </w:tc>
      </w:tr>
      <w:tr>
        <w:trPr>
          <w:trHeight w:val="135"/>
        </w:trPr>
        <w:tc>
          <w:tcPr>
            <w:tcW w:w="2640" w:type="dxa"/>
            <w:vAlign w:val="bottom"/>
          </w:tcPr>
          <w:p>
            <w:pPr>
              <w:jc w:val="center"/>
              <w:ind w:right="777"/>
              <w:spacing w:after="0" w:line="135" w:lineRule="exact"/>
              <w:rPr>
                <w:sz w:val="20"/>
                <w:szCs w:val="20"/>
                <w:color w:val="auto"/>
              </w:rPr>
            </w:pPr>
            <w:r>
              <w:rPr>
                <w:rFonts w:ascii="Arial" w:cs="Arial" w:eastAsia="Arial" w:hAnsi="Arial"/>
                <w:sz w:val="13"/>
                <w:szCs w:val="13"/>
                <w:b w:val="1"/>
                <w:bCs w:val="1"/>
                <w:color w:val="auto"/>
                <w:w w:val="89"/>
              </w:rPr>
              <w:t>New York, New York 10017</w:t>
            </w:r>
          </w:p>
        </w:tc>
        <w:tc>
          <w:tcPr>
            <w:tcW w:w="4720" w:type="dxa"/>
            <w:vAlign w:val="bottom"/>
          </w:tcPr>
          <w:p>
            <w:pPr>
              <w:jc w:val="center"/>
              <w:ind w:left="3177"/>
              <w:spacing w:after="0" w:line="135" w:lineRule="exact"/>
              <w:rPr>
                <w:sz w:val="20"/>
                <w:szCs w:val="20"/>
                <w:color w:val="auto"/>
              </w:rPr>
            </w:pPr>
            <w:r>
              <w:rPr>
                <w:rFonts w:ascii="Arial" w:cs="Arial" w:eastAsia="Arial" w:hAnsi="Arial"/>
                <w:sz w:val="13"/>
                <w:szCs w:val="13"/>
                <w:b w:val="1"/>
                <w:bCs w:val="1"/>
                <w:color w:val="auto"/>
                <w:w w:val="93"/>
              </w:rPr>
              <w:t>Latham &amp; Watkins LLP</w:t>
            </w:r>
          </w:p>
        </w:tc>
      </w:tr>
      <w:tr>
        <w:trPr>
          <w:trHeight w:val="135"/>
        </w:trPr>
        <w:tc>
          <w:tcPr>
            <w:tcW w:w="2640" w:type="dxa"/>
            <w:vAlign w:val="bottom"/>
          </w:tcPr>
          <w:p>
            <w:pPr>
              <w:jc w:val="center"/>
              <w:ind w:right="777"/>
              <w:spacing w:after="0" w:line="135" w:lineRule="exact"/>
              <w:rPr>
                <w:sz w:val="20"/>
                <w:szCs w:val="20"/>
                <w:color w:val="auto"/>
              </w:rPr>
            </w:pPr>
            <w:r>
              <w:rPr>
                <w:rFonts w:ascii="Arial" w:cs="Arial" w:eastAsia="Arial" w:hAnsi="Arial"/>
                <w:sz w:val="13"/>
                <w:szCs w:val="13"/>
                <w:b w:val="1"/>
                <w:bCs w:val="1"/>
                <w:color w:val="auto"/>
                <w:w w:val="86"/>
              </w:rPr>
              <w:t>Telephone: (212) 455-2000</w:t>
            </w:r>
          </w:p>
        </w:tc>
        <w:tc>
          <w:tcPr>
            <w:tcW w:w="4720" w:type="dxa"/>
            <w:vAlign w:val="bottom"/>
          </w:tcPr>
          <w:p>
            <w:pPr>
              <w:jc w:val="center"/>
              <w:ind w:left="3157"/>
              <w:spacing w:after="0" w:line="135" w:lineRule="exact"/>
              <w:rPr>
                <w:sz w:val="20"/>
                <w:szCs w:val="20"/>
                <w:color w:val="auto"/>
              </w:rPr>
            </w:pPr>
            <w:r>
              <w:rPr>
                <w:rFonts w:ascii="Arial" w:cs="Arial" w:eastAsia="Arial" w:hAnsi="Arial"/>
                <w:sz w:val="13"/>
                <w:szCs w:val="13"/>
                <w:b w:val="1"/>
                <w:bCs w:val="1"/>
                <w:color w:val="auto"/>
                <w:w w:val="90"/>
              </w:rPr>
              <w:t>885 Third Avenue</w:t>
            </w:r>
          </w:p>
        </w:tc>
      </w:tr>
      <w:tr>
        <w:trPr>
          <w:trHeight w:val="135"/>
        </w:trPr>
        <w:tc>
          <w:tcPr>
            <w:tcW w:w="2640" w:type="dxa"/>
            <w:vAlign w:val="bottom"/>
          </w:tcPr>
          <w:p>
            <w:pPr>
              <w:spacing w:after="0"/>
              <w:rPr>
                <w:sz w:val="11"/>
                <w:szCs w:val="11"/>
                <w:color w:val="auto"/>
              </w:rPr>
            </w:pPr>
          </w:p>
        </w:tc>
        <w:tc>
          <w:tcPr>
            <w:tcW w:w="4720" w:type="dxa"/>
            <w:vAlign w:val="bottom"/>
          </w:tcPr>
          <w:p>
            <w:pPr>
              <w:jc w:val="center"/>
              <w:ind w:left="3177"/>
              <w:spacing w:after="0" w:line="135" w:lineRule="exact"/>
              <w:rPr>
                <w:sz w:val="20"/>
                <w:szCs w:val="20"/>
                <w:color w:val="auto"/>
              </w:rPr>
            </w:pPr>
            <w:r>
              <w:rPr>
                <w:rFonts w:ascii="Arial" w:cs="Arial" w:eastAsia="Arial" w:hAnsi="Arial"/>
                <w:sz w:val="13"/>
                <w:szCs w:val="13"/>
                <w:b w:val="1"/>
                <w:bCs w:val="1"/>
                <w:color w:val="auto"/>
                <w:w w:val="89"/>
              </w:rPr>
              <w:t>New York, New York 10022</w:t>
            </w:r>
          </w:p>
        </w:tc>
      </w:tr>
      <w:tr>
        <w:trPr>
          <w:trHeight w:val="164"/>
        </w:trPr>
        <w:tc>
          <w:tcPr>
            <w:tcW w:w="2640" w:type="dxa"/>
            <w:vAlign w:val="bottom"/>
          </w:tcPr>
          <w:p>
            <w:pPr>
              <w:spacing w:after="0"/>
              <w:rPr>
                <w:sz w:val="14"/>
                <w:szCs w:val="14"/>
                <w:color w:val="auto"/>
              </w:rPr>
            </w:pPr>
          </w:p>
        </w:tc>
        <w:tc>
          <w:tcPr>
            <w:tcW w:w="4720" w:type="dxa"/>
            <w:vAlign w:val="bottom"/>
          </w:tcPr>
          <w:p>
            <w:pPr>
              <w:jc w:val="center"/>
              <w:ind w:left="3157"/>
              <w:spacing w:after="0"/>
              <w:rPr>
                <w:sz w:val="20"/>
                <w:szCs w:val="20"/>
                <w:color w:val="auto"/>
              </w:rPr>
            </w:pPr>
            <w:r>
              <w:rPr>
                <w:rFonts w:ascii="Arial" w:cs="Arial" w:eastAsia="Arial" w:hAnsi="Arial"/>
                <w:sz w:val="13"/>
                <w:szCs w:val="13"/>
                <w:b w:val="1"/>
                <w:bCs w:val="1"/>
                <w:color w:val="auto"/>
                <w:w w:val="87"/>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95885</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 xml:space="preserve">Approximate date of commencement of the proposed sale of the securities to the public: </w:t>
      </w:r>
      <w:r>
        <w:rPr>
          <w:rFonts w:ascii="Arial" w:cs="Arial" w:eastAsia="Arial" w:hAnsi="Arial"/>
          <w:sz w:val="13"/>
          <w:szCs w:val="13"/>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96520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29"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right="20" w:firstLine="324"/>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20"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20" w:firstLine="324"/>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9"/>
        </w:trPr>
        <w:tc>
          <w:tcPr>
            <w:tcW w:w="14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1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00"/>
              <w:spacing w:after="0"/>
              <w:rPr>
                <w:sz w:val="20"/>
                <w:szCs w:val="20"/>
                <w:color w:val="auto"/>
              </w:rPr>
            </w:pPr>
            <w:r>
              <w:rPr>
                <w:rFonts w:ascii="Arial" w:cs="Arial" w:eastAsia="Arial" w:hAnsi="Arial"/>
                <w:sz w:val="13"/>
                <w:szCs w:val="13"/>
                <w:color w:val="auto"/>
              </w:rPr>
              <w:t>Accelerated filer</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3"/>
        </w:trPr>
        <w:tc>
          <w:tcPr>
            <w:tcW w:w="1420" w:type="dxa"/>
            <w:vAlign w:val="bottom"/>
          </w:tcPr>
          <w:p>
            <w:pPr>
              <w:spacing w:after="0"/>
              <w:rPr>
                <w:sz w:val="20"/>
                <w:szCs w:val="20"/>
                <w:color w:val="auto"/>
              </w:rPr>
            </w:pPr>
            <w:r>
              <w:rPr>
                <w:rFonts w:ascii="Arial" w:cs="Arial" w:eastAsia="Arial" w:hAnsi="Arial"/>
                <w:sz w:val="13"/>
                <w:szCs w:val="13"/>
                <w:color w:val="auto"/>
              </w:rPr>
              <w:t>Non-accelerated filer</w:t>
            </w:r>
          </w:p>
        </w:tc>
        <w:tc>
          <w:tcPr>
            <w:tcW w:w="41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0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68"/>
        </w:trPr>
        <w:tc>
          <w:tcPr>
            <w:tcW w:w="14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5360" w:type="dxa"/>
            <w:vAlign w:val="bottom"/>
          </w:tcPr>
          <w:p>
            <w:pPr>
              <w:ind w:left="370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bl>
    <w:p>
      <w:pPr>
        <w:ind w:firstLine="324"/>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78740</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920" w:type="dxa"/>
            <w:vAlign w:val="bottom"/>
            <w:tcBorders>
              <w:top w:val="single" w:sz="8" w:color="auto"/>
              <w:bottom w:val="single" w:sz="8" w:color="auto"/>
            </w:tcBorders>
          </w:tcPr>
          <w:p>
            <w:pPr>
              <w:spacing w:after="0"/>
              <w:rPr>
                <w:sz w:val="3"/>
                <w:szCs w:val="3"/>
                <w:color w:val="auto"/>
              </w:rPr>
            </w:pPr>
          </w:p>
        </w:tc>
        <w:tc>
          <w:tcPr>
            <w:tcW w:w="3760" w:type="dxa"/>
            <w:vAlign w:val="bottom"/>
            <w:tcBorders>
              <w:top w:val="single" w:sz="8" w:color="auto"/>
              <w:bottom w:val="single" w:sz="8" w:color="auto"/>
            </w:tcBorders>
          </w:tcPr>
          <w:p>
            <w:pPr>
              <w:spacing w:after="0"/>
              <w:rPr>
                <w:sz w:val="3"/>
                <w:szCs w:val="3"/>
                <w:color w:val="auto"/>
              </w:rPr>
            </w:pPr>
          </w:p>
        </w:tc>
        <w:tc>
          <w:tcPr>
            <w:tcW w:w="3740" w:type="dxa"/>
            <w:vAlign w:val="bottom"/>
            <w:tcBorders>
              <w:top w:val="single" w:sz="8" w:color="auto"/>
              <w:bottom w:val="single" w:sz="8" w:color="auto"/>
            </w:tcBorders>
          </w:tcPr>
          <w:p>
            <w:pPr>
              <w:spacing w:after="0"/>
              <w:rPr>
                <w:sz w:val="3"/>
                <w:szCs w:val="3"/>
                <w:color w:val="auto"/>
              </w:rPr>
            </w:pPr>
          </w:p>
        </w:tc>
      </w:tr>
      <w:tr>
        <w:trPr>
          <w:trHeight w:val="124"/>
        </w:trPr>
        <w:tc>
          <w:tcPr>
            <w:tcW w:w="3920" w:type="dxa"/>
            <w:vAlign w:val="bottom"/>
            <w:tcBorders>
              <w:right w:val="single" w:sz="8" w:color="auto"/>
            </w:tcBorders>
          </w:tcPr>
          <w:p>
            <w:pPr>
              <w:ind w:left="1360"/>
              <w:spacing w:after="0" w:line="124" w:lineRule="exact"/>
              <w:rPr>
                <w:sz w:val="20"/>
                <w:szCs w:val="20"/>
                <w:color w:val="auto"/>
              </w:rPr>
            </w:pPr>
            <w:r>
              <w:rPr>
                <w:rFonts w:ascii="Arial" w:cs="Arial" w:eastAsia="Arial" w:hAnsi="Arial"/>
                <w:sz w:val="13"/>
                <w:szCs w:val="13"/>
                <w:b w:val="1"/>
                <w:bCs w:val="1"/>
                <w:color w:val="auto"/>
              </w:rPr>
              <w:t>Title of Each Class of</w:t>
            </w:r>
          </w:p>
        </w:tc>
        <w:tc>
          <w:tcPr>
            <w:tcW w:w="37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6"/>
              </w:rPr>
              <w:t>Proposed Maximum Aggregate</w:t>
            </w:r>
          </w:p>
        </w:tc>
        <w:tc>
          <w:tcPr>
            <w:tcW w:w="3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Amount of</w:t>
            </w:r>
          </w:p>
        </w:tc>
      </w:tr>
      <w:tr>
        <w:trPr>
          <w:trHeight w:val="174"/>
        </w:trPr>
        <w:tc>
          <w:tcPr>
            <w:tcW w:w="392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3"/>
                <w:szCs w:val="13"/>
                <w:b w:val="1"/>
                <w:bCs w:val="1"/>
                <w:color w:val="auto"/>
              </w:rPr>
              <w:t>Securities to be Registered</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Offering Price</w:t>
            </w:r>
            <w:r>
              <w:rPr>
                <w:rFonts w:ascii="Arial" w:cs="Arial" w:eastAsia="Arial" w:hAnsi="Arial"/>
                <w:sz w:val="8"/>
                <w:szCs w:val="8"/>
                <w:b w:val="1"/>
                <w:bCs w:val="1"/>
                <w:color w:val="auto"/>
                <w:w w:val="92"/>
              </w:rPr>
              <w:t>(1)(2)</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Registration Fee</w:t>
            </w:r>
            <w:r>
              <w:rPr>
                <w:rFonts w:ascii="Arial" w:cs="Arial" w:eastAsia="Arial" w:hAnsi="Arial"/>
                <w:sz w:val="8"/>
                <w:szCs w:val="8"/>
                <w:b w:val="1"/>
                <w:bCs w:val="1"/>
                <w:color w:val="auto"/>
                <w:w w:val="87"/>
              </w:rPr>
              <w:t>(3)</w:t>
            </w:r>
          </w:p>
        </w:tc>
      </w:tr>
      <w:tr>
        <w:trPr>
          <w:trHeight w:val="183"/>
        </w:trPr>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Class A Common Stock, par value $0.01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r>
    </w:tbl>
    <w:p>
      <w:pPr>
        <w:spacing w:after="0" w:line="13"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the registration fee in accordance with Rule 457(o)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320" w:val="left"/>
          <w:tab w:leader="none" w:pos="1580" w:val="left"/>
        </w:tabs>
        <w:rPr>
          <w:sz w:val="20"/>
          <w:szCs w:val="20"/>
          <w:color w:val="auto"/>
        </w:rPr>
      </w:pPr>
      <w:r>
        <w:rPr>
          <w:rFonts w:ascii="Arial" w:cs="Arial" w:eastAsia="Arial" w:hAnsi="Arial"/>
          <w:sz w:val="13"/>
          <w:szCs w:val="13"/>
          <w:color w:val="auto"/>
        </w:rPr>
        <w:t>(2)</w:t>
        <w:tab/>
        <w:t>Includes</w:t>
      </w:r>
      <w:r>
        <w:rPr>
          <w:sz w:val="20"/>
          <w:szCs w:val="20"/>
          <w:color w:val="auto"/>
        </w:rPr>
        <w:tab/>
      </w:r>
      <w:r>
        <w:rPr>
          <w:rFonts w:ascii="Arial" w:cs="Arial" w:eastAsia="Arial" w:hAnsi="Arial"/>
          <w:sz w:val="11"/>
          <w:szCs w:val="11"/>
          <w:color w:val="auto"/>
        </w:rPr>
        <w:t>shares of Class A common stock that are subject to the underwriters’ option to purchase additional shares.</w:t>
      </w: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be paid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87630</wp:posOffset>
            </wp:positionV>
            <wp:extent cx="1243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5" w:lineRule="exact"/>
        <w:rPr>
          <w:sz w:val="24"/>
          <w:szCs w:val="24"/>
          <w:color w:val="auto"/>
        </w:rPr>
      </w:pPr>
    </w:p>
    <w:p>
      <w:pPr>
        <w:jc w:val="both"/>
        <w:ind w:firstLine="324"/>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line="304" w:lineRule="auto"/>
        <w:rPr>
          <w:sz w:val="20"/>
          <w:szCs w:val="20"/>
          <w:color w:val="auto"/>
        </w:rPr>
      </w:pPr>
      <w:r>
        <w:rPr>
          <w:rFonts w:ascii="Arial" w:cs="Arial" w:eastAsia="Arial" w:hAnsi="Arial"/>
          <w:sz w:val="12"/>
          <w:szCs w:val="12"/>
          <w:b w:val="1"/>
          <w:bCs w:val="1"/>
          <w:color w:val="EE272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5"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EE2724"/>
        </w:rPr>
        <w:t>SUBJECT TO COMPLETION, DATED</w:t>
      </w:r>
      <w:r>
        <w:rPr>
          <w:sz w:val="20"/>
          <w:szCs w:val="20"/>
          <w:color w:val="auto"/>
        </w:rPr>
        <w:tab/>
      </w:r>
      <w:r>
        <w:rPr>
          <w:rFonts w:ascii="Arial" w:cs="Arial" w:eastAsia="Arial" w:hAnsi="Arial"/>
          <w:sz w:val="18"/>
          <w:szCs w:val="18"/>
          <w:color w:val="EE2724"/>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74930</wp:posOffset>
            </wp:positionV>
            <wp:extent cx="157797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9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ZoomInfo Technologies Inc.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Class A Common Stock</w:t>
      </w:r>
    </w:p>
    <w:p>
      <w:pPr>
        <w:sectPr>
          <w:pgSz w:w="11900" w:h="16838" w:orient="portrait"/>
          <w:cols w:equalWidth="0" w:num="1">
            <w:col w:w="11420"/>
          </w:cols>
          <w:pgMar w:left="240" w:top="337" w:right="239" w:bottom="1440" w:gutter="0" w:footer="0" w:header="0"/>
        </w:sectPr>
      </w:pP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7"/>
          <w:szCs w:val="17"/>
          <w:b w:val="1"/>
          <w:bCs w:val="1"/>
          <w:i w:val="1"/>
          <w:iCs w:val="1"/>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w:t>
      </w:r>
    </w:p>
    <w:p>
      <w:pPr>
        <w:spacing w:after="0" w:line="200" w:lineRule="exact"/>
        <w:rPr>
          <w:sz w:val="20"/>
          <w:szCs w:val="20"/>
          <w:color w:val="auto"/>
        </w:rPr>
      </w:pPr>
    </w:p>
    <w:p>
      <w:pPr>
        <w:sectPr>
          <w:pgSz w:w="11900" w:h="16838" w:orient="portrait"/>
          <w:cols w:equalWidth="0" w:num="2">
            <w:col w:w="5080" w:space="540"/>
            <w:col w:w="5800"/>
          </w:cols>
          <w:pgMar w:left="240" w:top="337" w:right="239" w:bottom="1440" w:gutter="0" w:footer="0" w:header="0"/>
          <w:type w:val="continuous"/>
        </w:sectPr>
      </w:pP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is the initial public offering of shares of Class A common stock of ZoomInfo Technologies Inc. We are selling shares of our Class A common stock. We currently expect the initial public offering price to be between $ and $ per share of Class A common stock. We intend to apply to list our shares of Class A common stock on the (the “ ”) under the trading symbol “ .”</w:t>
      </w:r>
    </w:p>
    <w:p>
      <w:pPr>
        <w:sectPr>
          <w:pgSz w:w="11900" w:h="16838" w:orient="portrait"/>
          <w:cols w:equalWidth="0" w:num="1">
            <w:col w:w="11420"/>
          </w:cols>
          <w:pgMar w:left="240" w:top="337" w:right="239" w:bottom="1440" w:gutter="0" w:footer="0" w:header="0"/>
          <w:type w:val="continuous"/>
        </w:sectPr>
      </w:pP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Each holder of Class B common stock shall be entitled, without regard to the number of shares of Class B common stock held by such holder,</w:t>
      </w:r>
    </w:p>
    <w:p>
      <w:pPr>
        <w:jc w:val="both"/>
        <w:spacing w:after="0" w:line="261" w:lineRule="auto"/>
        <w:rPr>
          <w:sz w:val="20"/>
          <w:szCs w:val="20"/>
          <w:color w:val="auto"/>
        </w:rPr>
      </w:pPr>
      <w:r>
        <w:rPr>
          <w:rFonts w:ascii="Arial" w:cs="Arial" w:eastAsia="Arial" w:hAnsi="Arial"/>
          <w:sz w:val="18"/>
          <w:szCs w:val="18"/>
          <w:color w:val="auto"/>
        </w:rPr>
        <w:t>to vote for each LLC Unit (as defined herein) held by such holder on all matters on which stockholders of ZoomInfo Technologies Inc. are entitled to vote generally. See “Description of Capital Stock.”</w:t>
      </w:r>
    </w:p>
    <w:p>
      <w:pPr>
        <w:spacing w:after="0" w:line="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After the completion of this offering, affiliates of each of TA Associates, Carlyle, 22C Capital, and our Founders (each as defined herein) will be parties to a stockholders agreement and will beneficially own approximately % of the combined voting power of our Class A and Class B common stock (or % if the underwriters exercise in full their option to purchase additional shares of Class A common stock). As a result, we will be a “controlled company” within the meaning of the corporate governance standards. See “Management—Controlled Company Exception” and “Principal Stockholders.”</w:t>
      </w:r>
    </w:p>
    <w:p>
      <w:pPr>
        <w:spacing w:after="0" w:line="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ZoomInfo Technologies Inc. will be a holding company whose sole material asset will be a controlling equity interest in ZoomInfo OpCo (as defined herein). We intend to use all of the net proceeds from this offering (including from any exercise by the underwriters of their option to purchase additional shares of Class A common stock) to purchase a number of newly issued LLC Units from ZoomInfo OpCo that is equivalent to the number of shares of Class A common stock that we offer and sell in this offering, as described under “Organizational Structure—Offering Transactions.” We intend to cause ZoomInfo</w:t>
      </w:r>
    </w:p>
    <w:p>
      <w:pPr>
        <w:spacing w:after="0" w:line="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OpCo to use these proceeds to</w:t>
      </w:r>
      <w:r>
        <w:rPr>
          <w:sz w:val="20"/>
          <w:szCs w:val="20"/>
          <w:color w:val="auto"/>
        </w:rPr>
        <w:tab/>
      </w:r>
      <w:r>
        <w:rPr>
          <w:rFonts w:ascii="Arial" w:cs="Arial" w:eastAsia="Arial" w:hAnsi="Arial"/>
          <w:sz w:val="16"/>
          <w:szCs w:val="16"/>
          <w:color w:val="auto"/>
        </w:rPr>
        <w:t>. See “Use of Proceeds.”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See “Summary—Implications of Being an Emerging Growth Company.”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shares of our Class A common stock involves risks. See “Risk Factors” beginning on page 21.</w:t>
      </w:r>
    </w:p>
    <w:p>
      <w:pPr>
        <w:spacing w:after="0" w:line="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r>
        <w:rPr>
          <w:rFonts w:ascii="Arial" w:cs="Arial" w:eastAsia="Arial" w:hAnsi="Arial"/>
          <w:sz w:val="18"/>
          <w:szCs w:val="18"/>
          <w:b w:val="1"/>
          <w:bCs w:val="1"/>
          <w:i w:val="1"/>
          <w:iCs w:val="1"/>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 Share</w:t>
            </w:r>
          </w:p>
        </w:tc>
        <w:tc>
          <w:tcPr>
            <w:tcW w:w="1480" w:type="dxa"/>
            <w:vAlign w:val="bottom"/>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23"/>
        </w:trPr>
        <w:tc>
          <w:tcPr>
            <w:tcW w:w="8340" w:type="dxa"/>
            <w:vAlign w:val="bottom"/>
          </w:tcPr>
          <w:p>
            <w:pPr>
              <w:ind w:left="20"/>
              <w:spacing w:after="0"/>
              <w:rPr>
                <w:sz w:val="20"/>
                <w:szCs w:val="20"/>
                <w:color w:val="auto"/>
              </w:rPr>
            </w:pPr>
            <w:r>
              <w:rPr>
                <w:rFonts w:ascii="Arial" w:cs="Arial" w:eastAsia="Arial" w:hAnsi="Arial"/>
                <w:sz w:val="16"/>
                <w:szCs w:val="16"/>
                <w:color w:val="auto"/>
              </w:rPr>
              <w:t>Initial public offering price</w:t>
            </w:r>
          </w:p>
        </w:tc>
        <w:tc>
          <w:tcPr>
            <w:tcW w:w="1480" w:type="dxa"/>
            <w:vAlign w:val="bottom"/>
            <w:tcBorders>
              <w:top w:val="single" w:sz="8" w:color="auto"/>
            </w:tcBorders>
          </w:tcPr>
          <w:p>
            <w:pPr>
              <w:jc w:val="right"/>
              <w:ind w:right="1301"/>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right"/>
              <w:ind w:right="1281"/>
              <w:spacing w:after="0"/>
              <w:rPr>
                <w:sz w:val="20"/>
                <w:szCs w:val="20"/>
                <w:color w:val="auto"/>
              </w:rPr>
            </w:pPr>
            <w:r>
              <w:rPr>
                <w:rFonts w:ascii="Arial" w:cs="Arial" w:eastAsia="Arial" w:hAnsi="Arial"/>
                <w:sz w:val="16"/>
                <w:szCs w:val="16"/>
                <w:color w:val="auto"/>
              </w:rPr>
              <w:t>$</w:t>
            </w:r>
          </w:p>
        </w:tc>
      </w:tr>
      <w:tr>
        <w:trPr>
          <w:trHeight w:val="334"/>
        </w:trPr>
        <w:tc>
          <w:tcPr>
            <w:tcW w:w="8340" w:type="dxa"/>
            <w:vAlign w:val="bottom"/>
          </w:tcPr>
          <w:p>
            <w:pPr>
              <w:ind w:left="20"/>
              <w:spacing w:after="0"/>
              <w:rPr>
                <w:sz w:val="20"/>
                <w:szCs w:val="20"/>
                <w:color w:val="auto"/>
              </w:rPr>
            </w:pPr>
            <w:r>
              <w:rPr>
                <w:rFonts w:ascii="Arial" w:cs="Arial" w:eastAsia="Arial" w:hAnsi="Arial"/>
                <w:sz w:val="16"/>
                <w:szCs w:val="16"/>
                <w:color w:val="auto"/>
              </w:rPr>
              <w:t>Underwriting discounts</w:t>
            </w:r>
            <w:r>
              <w:rPr>
                <w:rFonts w:ascii="Arial" w:cs="Arial" w:eastAsia="Arial" w:hAnsi="Arial"/>
                <w:sz w:val="21"/>
                <w:szCs w:val="21"/>
                <w:color w:val="auto"/>
                <w:vertAlign w:val="superscript"/>
              </w:rPr>
              <w:t>(1)</w:t>
            </w:r>
          </w:p>
        </w:tc>
        <w:tc>
          <w:tcPr>
            <w:tcW w:w="1480" w:type="dxa"/>
            <w:vAlign w:val="bottom"/>
          </w:tcPr>
          <w:p>
            <w:pPr>
              <w:jc w:val="right"/>
              <w:ind w:right="1301"/>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1480" w:type="dxa"/>
            <w:vAlign w:val="bottom"/>
          </w:tcPr>
          <w:p>
            <w:pPr>
              <w:jc w:val="right"/>
              <w:ind w:right="1281"/>
              <w:spacing w:after="0"/>
              <w:rPr>
                <w:sz w:val="20"/>
                <w:szCs w:val="20"/>
                <w:color w:val="auto"/>
              </w:rPr>
            </w:pPr>
            <w:r>
              <w:rPr>
                <w:rFonts w:ascii="Arial" w:cs="Arial" w:eastAsia="Arial" w:hAnsi="Arial"/>
                <w:sz w:val="16"/>
                <w:szCs w:val="16"/>
                <w:color w:val="auto"/>
              </w:rPr>
              <w:t>$</w:t>
            </w:r>
          </w:p>
        </w:tc>
      </w:tr>
      <w:tr>
        <w:trPr>
          <w:trHeight w:val="206"/>
        </w:trPr>
        <w:tc>
          <w:tcPr>
            <w:tcW w:w="8340" w:type="dxa"/>
            <w:vAlign w:val="bottom"/>
          </w:tcPr>
          <w:p>
            <w:pPr>
              <w:ind w:left="20"/>
              <w:spacing w:after="0"/>
              <w:rPr>
                <w:sz w:val="20"/>
                <w:szCs w:val="20"/>
                <w:color w:val="auto"/>
              </w:rPr>
            </w:pPr>
            <w:r>
              <w:rPr>
                <w:rFonts w:ascii="Arial" w:cs="Arial" w:eastAsia="Arial" w:hAnsi="Arial"/>
                <w:sz w:val="16"/>
                <w:szCs w:val="16"/>
                <w:color w:val="auto"/>
              </w:rPr>
              <w:t>Proceeds, before expenses, to ZoomInfo Technologies Inc.</w:t>
            </w:r>
          </w:p>
        </w:tc>
        <w:tc>
          <w:tcPr>
            <w:tcW w:w="1480" w:type="dxa"/>
            <w:vAlign w:val="bottom"/>
          </w:tcPr>
          <w:p>
            <w:pPr>
              <w:jc w:val="right"/>
              <w:ind w:right="1301"/>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1480" w:type="dxa"/>
            <w:vAlign w:val="bottom"/>
          </w:tcPr>
          <w:p>
            <w:pPr>
              <w:jc w:val="right"/>
              <w:ind w:right="1281"/>
              <w:spacing w:after="0"/>
              <w:rPr>
                <w:sz w:val="20"/>
                <w:szCs w:val="20"/>
                <w:color w:val="auto"/>
              </w:rPr>
            </w:pPr>
            <w:r>
              <w:rPr>
                <w:rFonts w:ascii="Arial" w:cs="Arial" w:eastAsia="Arial" w:hAnsi="Arial"/>
                <w:sz w:val="16"/>
                <w:szCs w:val="16"/>
                <w:color w:val="auto"/>
              </w:rPr>
              <w:t>$</w:t>
            </w:r>
          </w:p>
        </w:tc>
      </w:tr>
      <w:tr>
        <w:trPr>
          <w:trHeight w:val="188"/>
        </w:trPr>
        <w:tc>
          <w:tcPr>
            <w:tcW w:w="8340" w:type="dxa"/>
            <w:vAlign w:val="bottom"/>
          </w:tcPr>
          <w:p>
            <w:pPr>
              <w:spacing w:after="0"/>
              <w:rPr>
                <w:sz w:val="20"/>
                <w:szCs w:val="20"/>
                <w:color w:val="auto"/>
              </w:rPr>
            </w:pPr>
            <w:r>
              <w:rPr>
                <w:rFonts w:ascii="Arial" w:cs="Arial" w:eastAsia="Arial" w:hAnsi="Arial"/>
                <w:sz w:val="14"/>
                <w:szCs w:val="14"/>
                <w:color w:val="auto"/>
              </w:rPr>
              <w:t>________________</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Please see the section entitled “Underwriting” for a description of compensation payable to the underwriters.</w:t>
      </w:r>
    </w:p>
    <w:p>
      <w:pPr>
        <w:spacing w:after="0" w:line="101"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6"/>
          <w:szCs w:val="16"/>
          <w:color w:val="auto"/>
        </w:rPr>
        <w:t>shares of our Class A common stock, the underwriters have the option, within 30 days from the date</w:t>
      </w:r>
    </w:p>
    <w:p>
      <w:pPr>
        <w:spacing w:after="0" w:line="23"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of this prospectus, to purchase up to an additional</w:t>
      </w:r>
      <w:r>
        <w:rPr>
          <w:sz w:val="20"/>
          <w:szCs w:val="20"/>
          <w:color w:val="auto"/>
        </w:rPr>
        <w:tab/>
      </w:r>
      <w:r>
        <w:rPr>
          <w:rFonts w:ascii="Arial" w:cs="Arial" w:eastAsia="Arial" w:hAnsi="Arial"/>
          <w:sz w:val="16"/>
          <w:szCs w:val="16"/>
          <w:color w:val="auto"/>
        </w:rPr>
        <w:t>shares of our Class A common stock from us at the initial public offering price less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discount.</w:t>
      </w:r>
    </w:p>
    <w:p>
      <w:pPr>
        <w:spacing w:after="0" w:line="9" w:lineRule="exact"/>
        <w:rPr>
          <w:sz w:val="20"/>
          <w:szCs w:val="20"/>
          <w:color w:val="auto"/>
        </w:rPr>
      </w:pPr>
    </w:p>
    <w:p>
      <w:pPr>
        <w:spacing w:after="0"/>
        <w:tabs>
          <w:tab w:leader="none" w:pos="10060" w:val="left"/>
          <w:tab w:leader="none" w:pos="10560" w:val="left"/>
        </w:tabs>
        <w:rPr>
          <w:sz w:val="20"/>
          <w:szCs w:val="20"/>
          <w:color w:val="auto"/>
        </w:rPr>
      </w:pPr>
      <w:r>
        <w:rPr>
          <w:rFonts w:ascii="Arial" w:cs="Arial" w:eastAsia="Arial" w:hAnsi="Arial"/>
          <w:sz w:val="17"/>
          <w:szCs w:val="17"/>
          <w:color w:val="auto"/>
        </w:rPr>
        <w:t>The underwriters expect to deliver the shares of our Class A common stock against payment in New York, New York on or about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91440</wp:posOffset>
            </wp:positionV>
            <wp:extent cx="1166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59" w:lineRule="exact"/>
        <w:rPr>
          <w:sz w:val="20"/>
          <w:szCs w:val="20"/>
          <w:color w:val="auto"/>
        </w:rPr>
      </w:pPr>
    </w:p>
    <w:p>
      <w:pPr>
        <w:ind w:left="10100"/>
        <w:spacing w:after="0"/>
        <w:rPr>
          <w:sz w:val="20"/>
          <w:szCs w:val="20"/>
          <w:color w:val="auto"/>
        </w:rPr>
      </w:pPr>
      <w:r>
        <w:rPr>
          <w:rFonts w:ascii="Arial" w:cs="Arial" w:eastAsia="Arial" w:hAnsi="Arial"/>
          <w:sz w:val="19"/>
          <w:szCs w:val="19"/>
          <w:b w:val="1"/>
          <w:bCs w:val="1"/>
          <w:color w:val="auto"/>
        </w:rPr>
        <w:t>J.P. Morgan</w:t>
      </w:r>
      <w:r>
        <w:rPr>
          <w:rFonts w:ascii="Arial" w:cs="Arial" w:eastAsia="Arial" w:hAnsi="Arial"/>
          <w:sz w:val="25"/>
          <w:szCs w:val="25"/>
          <w:color w:val="auto"/>
          <w:vertAlign w:val="superscript"/>
        </w:rPr>
        <w:t>(1)</w:t>
      </w:r>
    </w:p>
    <w:p>
      <w:pPr>
        <w:spacing w:after="0" w:line="34" w:lineRule="exact"/>
        <w:rPr>
          <w:sz w:val="20"/>
          <w:szCs w:val="20"/>
          <w:color w:val="auto"/>
        </w:rPr>
      </w:pPr>
    </w:p>
    <w:p>
      <w:pPr>
        <w:ind w:left="9920"/>
        <w:spacing w:after="0"/>
        <w:rPr>
          <w:sz w:val="20"/>
          <w:szCs w:val="20"/>
          <w:color w:val="auto"/>
        </w:rPr>
      </w:pPr>
      <w:r>
        <w:rPr>
          <w:rFonts w:ascii="Arial" w:cs="Arial" w:eastAsia="Arial" w:hAnsi="Arial"/>
          <w:sz w:val="19"/>
          <w:szCs w:val="19"/>
          <w:b w:val="1"/>
          <w:bCs w:val="1"/>
          <w:color w:val="auto"/>
        </w:rPr>
        <w:t>Morgan Stanley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-98425</wp:posOffset>
            </wp:positionV>
            <wp:extent cx="1166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tabs>
          <w:tab w:leader="none" w:pos="320" w:val="left"/>
        </w:tabs>
        <w:rPr>
          <w:sz w:val="20"/>
          <w:szCs w:val="20"/>
          <w:color w:val="auto"/>
        </w:rPr>
      </w:pPr>
      <w:r>
        <w:rPr>
          <w:rFonts w:ascii="Arial" w:cs="Arial" w:eastAsia="Arial" w:hAnsi="Arial"/>
          <w:sz w:val="14"/>
          <w:szCs w:val="14"/>
          <w:color w:val="auto"/>
        </w:rPr>
        <w:t>(1)</w:t>
        <w:tab/>
        <w:t>In alphabetical order.</w:t>
      </w:r>
    </w:p>
    <w:p>
      <w:pPr>
        <w:sectPr>
          <w:pgSz w:w="11900" w:h="16838" w:orient="portrait"/>
          <w:cols w:equalWidth="0" w:num="1">
            <w:col w:w="11420"/>
          </w:cols>
          <w:pgMar w:left="240" w:top="337" w:right="239" w:bottom="1440" w:gutter="0" w:footer="0" w:header="0"/>
          <w:type w:val="continuous"/>
        </w:sectPr>
      </w:pPr>
    </w:p>
    <w:p>
      <w:pPr>
        <w:spacing w:after="0" w:line="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3">
            <w:col w:w="6280" w:space="440"/>
            <w:col w:w="40" w:space="460"/>
            <w:col w:w="4200"/>
          </w:cols>
          <w:pgMar w:left="240" w:top="337" w:right="23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226060</wp:posOffset>
            </wp:positionV>
            <wp:extent cx="6997700" cy="9056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226060</wp:posOffset>
            </wp:positionV>
            <wp:extent cx="6997700" cy="9056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80" w:type="dxa"/>
            <w:vAlign w:val="bottom"/>
            <w:gridSpan w:val="4"/>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56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r>
      <w:tr>
        <w:trPr>
          <w:trHeight w:val="202"/>
        </w:trPr>
        <w:tc>
          <w:tcPr>
            <w:tcW w:w="700" w:type="dxa"/>
            <w:vAlign w:val="bottom"/>
            <w:tcBorders>
              <w:bottom w:val="single" w:sz="8" w:color="0000EE"/>
            </w:tcBorders>
            <w:gridSpan w:val="4"/>
          </w:tcPr>
          <w:p>
            <w:pPr>
              <w:spacing w:after="0" w:line="20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Summary</w:t>
              </w:r>
            </w:hyperlink>
          </w:p>
        </w:tc>
        <w:tc>
          <w:tcPr>
            <w:tcW w:w="10120" w:type="dxa"/>
            <w:vAlign w:val="bottom"/>
            <w:gridSpan w:val="22"/>
          </w:tcPr>
          <w:p>
            <w:pPr>
              <w:spacing w:after="0"/>
              <w:rPr>
                <w:sz w:val="17"/>
                <w:szCs w:val="17"/>
                <w:color w:val="auto"/>
              </w:rPr>
            </w:pPr>
          </w:p>
        </w:tc>
        <w:tc>
          <w:tcPr>
            <w:tcW w:w="560" w:type="dxa"/>
            <w:vAlign w:val="bottom"/>
          </w:tcPr>
          <w:p>
            <w:pPr>
              <w:jc w:val="center"/>
              <w:spacing w:after="0" w:line="202" w:lineRule="exact"/>
              <w:rPr>
                <w:rFonts w:ascii="Arial" w:cs="Arial" w:eastAsia="Arial" w:hAnsi="Arial"/>
                <w:sz w:val="18"/>
                <w:szCs w:val="18"/>
                <w:color w:val="auto"/>
                <w:w w:val="79"/>
              </w:rPr>
            </w:pPr>
            <w:hyperlink w:anchor="page8">
              <w:r>
                <w:rPr>
                  <w:rFonts w:ascii="Arial" w:cs="Arial" w:eastAsia="Arial" w:hAnsi="Arial"/>
                  <w:sz w:val="18"/>
                  <w:szCs w:val="18"/>
                  <w:color w:val="auto"/>
                  <w:w w:val="79"/>
                </w:rPr>
                <w:t>1</w:t>
              </w:r>
            </w:hyperlink>
          </w:p>
        </w:tc>
      </w:tr>
      <w:tr>
        <w:trPr>
          <w:trHeight w:val="250"/>
        </w:trPr>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9920" w:type="dxa"/>
            <w:vAlign w:val="bottom"/>
            <w:gridSpan w:val="21"/>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21</w:t>
              </w:r>
            </w:hyperlink>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Forward-Looking Statements</w:t>
              </w:r>
            </w:hyperlink>
          </w:p>
        </w:tc>
        <w:tc>
          <w:tcPr>
            <w:tcW w:w="560" w:type="dxa"/>
            <w:vAlign w:val="bottom"/>
          </w:tcPr>
          <w:p>
            <w:pPr>
              <w:jc w:val="center"/>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63</w:t>
              </w:r>
            </w:hyperlink>
          </w:p>
        </w:tc>
      </w:tr>
      <w:tr>
        <w:trPr>
          <w:trHeight w:val="250"/>
        </w:trPr>
        <w:tc>
          <w:tcPr>
            <w:tcW w:w="2100" w:type="dxa"/>
            <w:vAlign w:val="bottom"/>
            <w:tcBorders>
              <w:top w:val="single" w:sz="8" w:color="0000EE"/>
            </w:tcBorders>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Market and Industry Data</w:t>
              </w:r>
            </w:hyperlink>
          </w:p>
        </w:tc>
        <w:tc>
          <w:tcPr>
            <w:tcW w:w="8720" w:type="dxa"/>
            <w:vAlign w:val="bottom"/>
            <w:gridSpan w:val="10"/>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65</w:t>
              </w:r>
            </w:hyperlink>
          </w:p>
        </w:tc>
      </w:tr>
      <w:tr>
        <w:trPr>
          <w:trHeight w:val="250"/>
        </w:trPr>
        <w:tc>
          <w:tcPr>
            <w:tcW w:w="1840" w:type="dxa"/>
            <w:vAlign w:val="bottom"/>
            <w:tcBorders>
              <w:top w:val="single" w:sz="8" w:color="0000EE"/>
            </w:tcBorders>
            <w:gridSpan w:val="14"/>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Organizational Structure</w:t>
              </w:r>
            </w:hyperlink>
          </w:p>
        </w:tc>
        <w:tc>
          <w:tcPr>
            <w:tcW w:w="8980" w:type="dxa"/>
            <w:vAlign w:val="bottom"/>
            <w:gridSpan w:val="12"/>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66</w:t>
              </w:r>
            </w:hyperlink>
          </w:p>
        </w:tc>
      </w:tr>
      <w:tr>
        <w:trPr>
          <w:trHeight w:val="250"/>
        </w:trPr>
        <w:tc>
          <w:tcPr>
            <w:tcW w:w="1760" w:type="dxa"/>
            <w:vAlign w:val="bottom"/>
            <w:tcBorders>
              <w:top w:val="single" w:sz="8" w:color="0000EE"/>
            </w:tcBorders>
            <w:gridSpan w:val="1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Use of Proceeds</w:t>
              </w:r>
            </w:hyperlink>
          </w:p>
        </w:tc>
        <w:tc>
          <w:tcPr>
            <w:tcW w:w="9060" w:type="dxa"/>
            <w:vAlign w:val="bottom"/>
            <w:gridSpan w:val="14"/>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78">
              <w:r>
                <w:rPr>
                  <w:rFonts w:ascii="Arial" w:cs="Arial" w:eastAsia="Arial" w:hAnsi="Arial"/>
                  <w:sz w:val="18"/>
                  <w:szCs w:val="18"/>
                  <w:color w:val="auto"/>
                  <w:w w:val="89"/>
                </w:rPr>
                <w:t>71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Dividend Policy</w:t>
              </w:r>
            </w:hyperlink>
          </w:p>
        </w:tc>
        <w:tc>
          <w:tcPr>
            <w:tcW w:w="560" w:type="dxa"/>
            <w:vAlign w:val="bottom"/>
          </w:tcPr>
          <w:p>
            <w:pPr>
              <w:jc w:val="center"/>
              <w:spacing w:after="0"/>
              <w:rPr>
                <w:rFonts w:ascii="Arial" w:cs="Arial" w:eastAsia="Arial" w:hAnsi="Arial"/>
                <w:sz w:val="18"/>
                <w:szCs w:val="18"/>
                <w:color w:val="auto"/>
                <w:w w:val="89"/>
              </w:rPr>
            </w:pPr>
            <w:hyperlink w:anchor="page79">
              <w:r>
                <w:rPr>
                  <w:rFonts w:ascii="Arial" w:cs="Arial" w:eastAsia="Arial" w:hAnsi="Arial"/>
                  <w:sz w:val="18"/>
                  <w:szCs w:val="18"/>
                  <w:color w:val="auto"/>
                  <w:w w:val="89"/>
                </w:rPr>
                <w:t>72</w:t>
              </w:r>
            </w:hyperlink>
          </w:p>
        </w:tc>
      </w:tr>
      <w:tr>
        <w:trPr>
          <w:trHeight w:val="250"/>
        </w:trPr>
        <w:tc>
          <w:tcPr>
            <w:tcW w:w="10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21"/>
                <w:szCs w:val="21"/>
                <w:color w:val="auto"/>
              </w:rPr>
            </w:pPr>
          </w:p>
        </w:tc>
        <w:tc>
          <w:tcPr>
            <w:tcW w:w="9660" w:type="dxa"/>
            <w:vAlign w:val="bottom"/>
            <w:gridSpan w:val="16"/>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73</w:t>
              </w:r>
            </w:hyperlink>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82">
              <w:r>
                <w:rPr>
                  <w:rFonts w:ascii="Arial" w:cs="Arial" w:eastAsia="Arial" w:hAnsi="Arial"/>
                  <w:sz w:val="18"/>
                  <w:szCs w:val="18"/>
                  <w:color w:val="0000EE"/>
                  <w:w w:val="96"/>
                </w:rPr>
                <w:t>Dilution</w:t>
              </w:r>
            </w:hyperlink>
          </w:p>
        </w:tc>
        <w:tc>
          <w:tcPr>
            <w:tcW w:w="10220" w:type="dxa"/>
            <w:vAlign w:val="bottom"/>
            <w:gridSpan w:val="24"/>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82">
              <w:r>
                <w:rPr>
                  <w:rFonts w:ascii="Arial" w:cs="Arial" w:eastAsia="Arial" w:hAnsi="Arial"/>
                  <w:sz w:val="18"/>
                  <w:szCs w:val="18"/>
                  <w:color w:val="auto"/>
                  <w:w w:val="89"/>
                </w:rPr>
                <w:t>75</w:t>
              </w:r>
            </w:hyperlink>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Unaudited Pro Forma Combined and Consolidated Financial Information</w:t>
              </w:r>
            </w:hyperlink>
          </w:p>
        </w:tc>
        <w:tc>
          <w:tcPr>
            <w:tcW w:w="560" w:type="dxa"/>
            <w:vAlign w:val="bottom"/>
          </w:tcPr>
          <w:p>
            <w:pPr>
              <w:jc w:val="center"/>
              <w:spacing w:after="0"/>
              <w:rPr>
                <w:rFonts w:ascii="Arial" w:cs="Arial" w:eastAsia="Arial" w:hAnsi="Arial"/>
                <w:sz w:val="18"/>
                <w:szCs w:val="18"/>
                <w:color w:val="auto"/>
                <w:w w:val="89"/>
              </w:rPr>
            </w:pPr>
            <w:hyperlink w:anchor="page84">
              <w:r>
                <w:rPr>
                  <w:rFonts w:ascii="Arial" w:cs="Arial" w:eastAsia="Arial" w:hAnsi="Arial"/>
                  <w:sz w:val="18"/>
                  <w:szCs w:val="18"/>
                  <w:color w:val="auto"/>
                  <w:w w:val="89"/>
                </w:rPr>
                <w:t>77</w:t>
              </w:r>
            </w:hyperlink>
          </w:p>
        </w:tc>
      </w:tr>
      <w:tr>
        <w:trPr>
          <w:trHeight w:val="250"/>
        </w:trPr>
        <w:tc>
          <w:tcPr>
            <w:tcW w:w="34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Selected Historical Consolidated Financial Data</w:t>
              </w:r>
            </w:hyperlink>
          </w:p>
        </w:tc>
        <w:tc>
          <w:tcPr>
            <w:tcW w:w="1800" w:type="dxa"/>
            <w:vAlign w:val="bottom"/>
            <w:tcBorders>
              <w:top w:val="single" w:sz="8" w:color="0000EE"/>
            </w:tcBorders>
            <w:gridSpan w:val="2"/>
          </w:tcPr>
          <w:p>
            <w:pPr>
              <w:spacing w:after="0"/>
              <w:rPr>
                <w:sz w:val="21"/>
                <w:szCs w:val="21"/>
                <w:color w:val="auto"/>
              </w:rPr>
            </w:pPr>
          </w:p>
        </w:tc>
        <w:tc>
          <w:tcPr>
            <w:tcW w:w="5560" w:type="dxa"/>
            <w:vAlign w:val="bottom"/>
            <w:gridSpan w:val="3"/>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86</w:t>
              </w:r>
            </w:hyperlink>
          </w:p>
        </w:tc>
      </w:tr>
      <w:tr>
        <w:trPr>
          <w:trHeight w:val="250"/>
        </w:trPr>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Management’s Discussion and Analysis of Financial Condition and Results of Operations</w:t>
              </w:r>
            </w:hyperlink>
          </w:p>
        </w:tc>
        <w:tc>
          <w:tcPr>
            <w:tcW w:w="4360" w:type="dxa"/>
            <w:vAlign w:val="bottom"/>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88</w:t>
              </w:r>
            </w:hyperlink>
          </w:p>
        </w:tc>
      </w:tr>
      <w:tr>
        <w:trPr>
          <w:trHeight w:val="250"/>
        </w:trPr>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119">
              <w:r>
                <w:rPr>
                  <w:rFonts w:ascii="Arial" w:cs="Arial" w:eastAsia="Arial" w:hAnsi="Arial"/>
                  <w:sz w:val="18"/>
                  <w:szCs w:val="18"/>
                  <w:color w:val="0000EE"/>
                  <w:w w:val="84"/>
                </w:rPr>
                <w:t>Business</w:t>
              </w:r>
            </w:hyperlink>
          </w:p>
        </w:tc>
        <w:tc>
          <w:tcPr>
            <w:tcW w:w="10180" w:type="dxa"/>
            <w:vAlign w:val="bottom"/>
            <w:gridSpan w:val="23"/>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6"/>
              </w:rPr>
            </w:pPr>
            <w:hyperlink w:anchor="page119">
              <w:r>
                <w:rPr>
                  <w:rFonts w:ascii="Arial" w:cs="Arial" w:eastAsia="Arial" w:hAnsi="Arial"/>
                  <w:sz w:val="18"/>
                  <w:szCs w:val="18"/>
                  <w:color w:val="auto"/>
                  <w:w w:val="86"/>
                </w:rPr>
                <w:t>112</w:t>
              </w:r>
            </w:hyperlink>
          </w:p>
        </w:tc>
      </w:tr>
      <w:tr>
        <w:trPr>
          <w:trHeight w:val="250"/>
        </w:trPr>
        <w:tc>
          <w:tcPr>
            <w:tcW w:w="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34">
              <w:r>
                <w:rPr>
                  <w:rFonts w:ascii="Arial" w:cs="Arial" w:eastAsia="Arial" w:hAnsi="Arial"/>
                  <w:sz w:val="18"/>
                  <w:szCs w:val="18"/>
                  <w:color w:val="0000EE"/>
                  <w:w w:val="87"/>
                </w:rPr>
                <w:t>Management</w:t>
              </w:r>
            </w:hyperlink>
          </w:p>
        </w:tc>
        <w:tc>
          <w:tcPr>
            <w:tcW w:w="9880" w:type="dxa"/>
            <w:vAlign w:val="bottom"/>
            <w:gridSpan w:val="20"/>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34">
              <w:r>
                <w:rPr>
                  <w:rFonts w:ascii="Arial" w:cs="Arial" w:eastAsia="Arial" w:hAnsi="Arial"/>
                  <w:sz w:val="18"/>
                  <w:szCs w:val="18"/>
                  <w:color w:val="auto"/>
                  <w:w w:val="93"/>
                </w:rPr>
                <w:t>127</w:t>
              </w:r>
            </w:hyperlink>
          </w:p>
        </w:tc>
      </w:tr>
      <w:tr>
        <w:trPr>
          <w:trHeight w:val="250"/>
        </w:trPr>
        <w:tc>
          <w:tcPr>
            <w:tcW w:w="1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38">
              <w:r>
                <w:rPr>
                  <w:rFonts w:ascii="Arial" w:cs="Arial" w:eastAsia="Arial" w:hAnsi="Arial"/>
                  <w:sz w:val="18"/>
                  <w:szCs w:val="18"/>
                  <w:color w:val="0000EE"/>
                  <w:w w:val="89"/>
                </w:rPr>
                <w:t>Executive Compensation</w:t>
              </w:r>
            </w:hyperlink>
          </w:p>
        </w:tc>
        <w:tc>
          <w:tcPr>
            <w:tcW w:w="9020" w:type="dxa"/>
            <w:vAlign w:val="bottom"/>
            <w:gridSpan w:val="13"/>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38">
              <w:r>
                <w:rPr>
                  <w:rFonts w:ascii="Arial" w:cs="Arial" w:eastAsia="Arial" w:hAnsi="Arial"/>
                  <w:sz w:val="18"/>
                  <w:szCs w:val="18"/>
                  <w:color w:val="auto"/>
                  <w:w w:val="93"/>
                </w:rPr>
                <w:t>131</w:t>
              </w:r>
            </w:hyperlink>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Certain Relationships and Related Person Transactions</w:t>
              </w:r>
            </w:hyperlink>
          </w:p>
        </w:tc>
        <w:tc>
          <w:tcPr>
            <w:tcW w:w="560" w:type="dxa"/>
            <w:vAlign w:val="bottom"/>
          </w:tcPr>
          <w:p>
            <w:pPr>
              <w:jc w:val="center"/>
              <w:spacing w:after="0"/>
              <w:rPr>
                <w:rFonts w:ascii="Arial" w:cs="Arial" w:eastAsia="Arial" w:hAnsi="Arial"/>
                <w:sz w:val="18"/>
                <w:szCs w:val="18"/>
                <w:color w:val="auto"/>
                <w:w w:val="93"/>
              </w:rPr>
            </w:pPr>
            <w:hyperlink w:anchor="page149">
              <w:r>
                <w:rPr>
                  <w:rFonts w:ascii="Arial" w:cs="Arial" w:eastAsia="Arial" w:hAnsi="Arial"/>
                  <w:sz w:val="18"/>
                  <w:szCs w:val="18"/>
                  <w:color w:val="auto"/>
                  <w:w w:val="93"/>
                </w:rPr>
                <w:t>142</w:t>
              </w:r>
            </w:hyperlink>
          </w:p>
        </w:tc>
      </w:tr>
      <w:tr>
        <w:trPr>
          <w:trHeight w:val="250"/>
        </w:trPr>
        <w:tc>
          <w:tcPr>
            <w:tcW w:w="3940" w:type="dxa"/>
            <w:vAlign w:val="bottom"/>
            <w:tcBorders>
              <w:top w:val="single" w:sz="8" w:color="0000EE"/>
            </w:tcBorders>
            <w:gridSpan w:val="22"/>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Principal Stockholders</w:t>
              </w:r>
            </w:hyperlink>
          </w:p>
        </w:tc>
        <w:tc>
          <w:tcPr>
            <w:tcW w:w="6880" w:type="dxa"/>
            <w:vAlign w:val="bottom"/>
            <w:gridSpan w:val="4"/>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54">
              <w:r>
                <w:rPr>
                  <w:rFonts w:ascii="Arial" w:cs="Arial" w:eastAsia="Arial" w:hAnsi="Arial"/>
                  <w:sz w:val="18"/>
                  <w:szCs w:val="18"/>
                  <w:color w:val="auto"/>
                  <w:w w:val="93"/>
                </w:rPr>
                <w:t>147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Description of Certain Indebtedness</w:t>
              </w:r>
            </w:hyperlink>
          </w:p>
        </w:tc>
        <w:tc>
          <w:tcPr>
            <w:tcW w:w="560" w:type="dxa"/>
            <w:vAlign w:val="bottom"/>
          </w:tcPr>
          <w:p>
            <w:pPr>
              <w:jc w:val="center"/>
              <w:spacing w:after="0"/>
              <w:rPr>
                <w:rFonts w:ascii="Arial" w:cs="Arial" w:eastAsia="Arial" w:hAnsi="Arial"/>
                <w:sz w:val="18"/>
                <w:szCs w:val="18"/>
                <w:color w:val="auto"/>
                <w:w w:val="93"/>
              </w:rPr>
            </w:pPr>
            <w:hyperlink w:anchor="page158">
              <w:r>
                <w:rPr>
                  <w:rFonts w:ascii="Arial" w:cs="Arial" w:eastAsia="Arial" w:hAnsi="Arial"/>
                  <w:sz w:val="18"/>
                  <w:szCs w:val="18"/>
                  <w:color w:val="auto"/>
                  <w:w w:val="93"/>
                </w:rPr>
                <w:t>151</w:t>
              </w:r>
            </w:hyperlink>
          </w:p>
        </w:tc>
      </w:tr>
      <w:tr>
        <w:trPr>
          <w:trHeight w:val="250"/>
        </w:trPr>
        <w:tc>
          <w:tcPr>
            <w:tcW w:w="2580" w:type="dxa"/>
            <w:vAlign w:val="bottom"/>
            <w:tcBorders>
              <w:top w:val="single" w:sz="8" w:color="0000EE"/>
            </w:tcBorders>
            <w:gridSpan w:val="1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Description of Capital Stock</w:t>
              </w:r>
            </w:hyperlink>
          </w:p>
        </w:tc>
        <w:tc>
          <w:tcPr>
            <w:tcW w:w="8240" w:type="dxa"/>
            <w:vAlign w:val="bottom"/>
            <w:gridSpan w:val="7"/>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62">
              <w:r>
                <w:rPr>
                  <w:rFonts w:ascii="Arial" w:cs="Arial" w:eastAsia="Arial" w:hAnsi="Arial"/>
                  <w:sz w:val="18"/>
                  <w:szCs w:val="18"/>
                  <w:color w:val="auto"/>
                  <w:w w:val="93"/>
                </w:rPr>
                <w:t>155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78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170">
              <w:r>
                <w:rPr>
                  <w:rFonts w:ascii="Arial" w:cs="Arial" w:eastAsia="Arial" w:hAnsi="Arial"/>
                  <w:sz w:val="18"/>
                  <w:szCs w:val="18"/>
                  <w:color w:val="0000EE"/>
                  <w:w w:val="89"/>
                </w:rPr>
                <w:t>Certain U.S. Federal Income and Estate Tax Consequences to Non-U.S. Holders</w:t>
              </w:r>
            </w:hyperlink>
          </w:p>
        </w:tc>
        <w:tc>
          <w:tcPr>
            <w:tcW w:w="5040" w:type="dxa"/>
            <w:vAlign w:val="bottom"/>
            <w:gridSpan w:val="2"/>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70">
              <w:r>
                <w:rPr>
                  <w:rFonts w:ascii="Arial" w:cs="Arial" w:eastAsia="Arial" w:hAnsi="Arial"/>
                  <w:sz w:val="18"/>
                  <w:szCs w:val="18"/>
                  <w:color w:val="auto"/>
                  <w:w w:val="93"/>
                </w:rPr>
                <w:t>163</w:t>
              </w:r>
            </w:hyperlink>
          </w:p>
        </w:tc>
      </w:tr>
      <w:tr>
        <w:trPr>
          <w:trHeight w:val="250"/>
        </w:trPr>
        <w:tc>
          <w:tcPr>
            <w:tcW w:w="22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3">
              <w:r>
                <w:rPr>
                  <w:rFonts w:ascii="Arial" w:cs="Arial" w:eastAsia="Arial" w:hAnsi="Arial"/>
                  <w:sz w:val="18"/>
                  <w:szCs w:val="18"/>
                  <w:color w:val="0000EE"/>
                  <w:w w:val="90"/>
                </w:rPr>
                <w:t>Shares Eligible for Future Sale</w:t>
              </w:r>
            </w:hyperlink>
          </w:p>
        </w:tc>
        <w:tc>
          <w:tcPr>
            <w:tcW w:w="8600" w:type="dxa"/>
            <w:vAlign w:val="bottom"/>
            <w:gridSpan w:val="8"/>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73">
              <w:r>
                <w:rPr>
                  <w:rFonts w:ascii="Arial" w:cs="Arial" w:eastAsia="Arial" w:hAnsi="Arial"/>
                  <w:sz w:val="18"/>
                  <w:szCs w:val="18"/>
                  <w:color w:val="auto"/>
                  <w:w w:val="93"/>
                </w:rPr>
                <w:t>166</w:t>
              </w:r>
            </w:hyperlink>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Underwriting</w:t>
              </w:r>
            </w:hyperlink>
          </w:p>
        </w:tc>
        <w:tc>
          <w:tcPr>
            <w:tcW w:w="560" w:type="dxa"/>
            <w:vAlign w:val="bottom"/>
          </w:tcPr>
          <w:p>
            <w:pPr>
              <w:jc w:val="center"/>
              <w:spacing w:after="0"/>
              <w:rPr>
                <w:rFonts w:ascii="Arial" w:cs="Arial" w:eastAsia="Arial" w:hAnsi="Arial"/>
                <w:sz w:val="18"/>
                <w:szCs w:val="18"/>
                <w:color w:val="auto"/>
                <w:w w:val="93"/>
              </w:rPr>
            </w:pPr>
            <w:hyperlink w:anchor="page175">
              <w:r>
                <w:rPr>
                  <w:rFonts w:ascii="Arial" w:cs="Arial" w:eastAsia="Arial" w:hAnsi="Arial"/>
                  <w:sz w:val="18"/>
                  <w:szCs w:val="18"/>
                  <w:color w:val="auto"/>
                  <w:w w:val="93"/>
                </w:rPr>
                <w:t>168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Legal Matters</w:t>
              </w:r>
            </w:hyperlink>
          </w:p>
        </w:tc>
        <w:tc>
          <w:tcPr>
            <w:tcW w:w="9820" w:type="dxa"/>
            <w:vAlign w:val="bottom"/>
            <w:gridSpan w:val="18"/>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83">
              <w:r>
                <w:rPr>
                  <w:rFonts w:ascii="Arial" w:cs="Arial" w:eastAsia="Arial" w:hAnsi="Arial"/>
                  <w:sz w:val="18"/>
                  <w:szCs w:val="18"/>
                  <w:color w:val="auto"/>
                  <w:w w:val="93"/>
                </w:rPr>
                <w:t>176</w:t>
              </w:r>
            </w:hyperlink>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Experts</w:t>
              </w:r>
            </w:hyperlink>
          </w:p>
        </w:tc>
        <w:tc>
          <w:tcPr>
            <w:tcW w:w="560" w:type="dxa"/>
            <w:vAlign w:val="bottom"/>
          </w:tcPr>
          <w:p>
            <w:pPr>
              <w:jc w:val="center"/>
              <w:spacing w:after="0"/>
              <w:rPr>
                <w:rFonts w:ascii="Arial" w:cs="Arial" w:eastAsia="Arial" w:hAnsi="Arial"/>
                <w:sz w:val="18"/>
                <w:szCs w:val="18"/>
                <w:color w:val="auto"/>
                <w:w w:val="93"/>
              </w:rPr>
            </w:pPr>
            <w:hyperlink w:anchor="page183">
              <w:r>
                <w:rPr>
                  <w:rFonts w:ascii="Arial" w:cs="Arial" w:eastAsia="Arial" w:hAnsi="Arial"/>
                  <w:sz w:val="18"/>
                  <w:szCs w:val="18"/>
                  <w:color w:val="auto"/>
                  <w:w w:val="93"/>
                </w:rPr>
                <w:t>176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820" w:type="dxa"/>
            <w:vAlign w:val="bottom"/>
            <w:gridSpan w:val="26"/>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Where You Can Find More Information</w:t>
              </w:r>
            </w:hyperlink>
          </w:p>
        </w:tc>
        <w:tc>
          <w:tcPr>
            <w:tcW w:w="560" w:type="dxa"/>
            <w:vAlign w:val="bottom"/>
          </w:tcPr>
          <w:p>
            <w:pPr>
              <w:jc w:val="center"/>
              <w:spacing w:after="0"/>
              <w:rPr>
                <w:rFonts w:ascii="Arial" w:cs="Arial" w:eastAsia="Arial" w:hAnsi="Arial"/>
                <w:sz w:val="18"/>
                <w:szCs w:val="18"/>
                <w:color w:val="auto"/>
                <w:w w:val="93"/>
              </w:rPr>
            </w:pPr>
            <w:hyperlink w:anchor="page183">
              <w:r>
                <w:rPr>
                  <w:rFonts w:ascii="Arial" w:cs="Arial" w:eastAsia="Arial" w:hAnsi="Arial"/>
                  <w:sz w:val="18"/>
                  <w:szCs w:val="18"/>
                  <w:color w:val="auto"/>
                  <w:w w:val="93"/>
                </w:rPr>
                <w:t>176</w:t>
              </w:r>
            </w:hyperlink>
          </w:p>
        </w:tc>
      </w:tr>
      <w:tr>
        <w:trPr>
          <w:trHeight w:val="250"/>
        </w:trPr>
        <w:tc>
          <w:tcPr>
            <w:tcW w:w="21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184">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3"/>
          </w:tcPr>
          <w:p>
            <w:pPr>
              <w:spacing w:after="0"/>
              <w:rPr>
                <w:sz w:val="21"/>
                <w:szCs w:val="21"/>
                <w:color w:val="auto"/>
              </w:rPr>
            </w:pPr>
          </w:p>
        </w:tc>
        <w:tc>
          <w:tcPr>
            <w:tcW w:w="7960" w:type="dxa"/>
            <w:vAlign w:val="bottom"/>
            <w:gridSpan w:val="6"/>
          </w:tcPr>
          <w:p>
            <w:pPr>
              <w:spacing w:after="0"/>
              <w:rPr>
                <w:sz w:val="21"/>
                <w:szCs w:val="21"/>
                <w:color w:val="auto"/>
              </w:rPr>
            </w:pPr>
          </w:p>
        </w:tc>
        <w:tc>
          <w:tcPr>
            <w:tcW w:w="560" w:type="dxa"/>
            <w:vAlign w:val="bottom"/>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184">
              <w:r>
                <w:rPr>
                  <w:rFonts w:ascii="Arial" w:cs="Arial" w:eastAsia="Arial" w:hAnsi="Arial"/>
                  <w:sz w:val="18"/>
                  <w:szCs w:val="18"/>
                  <w:color w:val="auto"/>
                </w:rPr>
                <w:t>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222885</wp:posOffset>
            </wp:positionV>
            <wp:extent cx="2933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You should rely only on the information contained in this prospectus, any amendment or supplement to this prospectus, or in any free writing prospectus we may authorize to be delivered or made available to you. This prospectus is an offer to sell only the shares offered hereby, but only under the circumstances and in jurisdictions where it is lawful to do so. Neither we nor the underwriters have authorized anyone to provide you with information different from that contained in this prospectus, any amendment or supplement to this prospectus, or any free writing prospectus prepared by us or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For Investors Outside the United States</w:t>
      </w:r>
      <w:r>
        <w:rPr>
          <w:rFonts w:ascii="Arial" w:cs="Arial" w:eastAsia="Arial" w:hAnsi="Arial"/>
          <w:sz w:val="18"/>
          <w:szCs w:val="18"/>
          <w:color w:val="auto"/>
        </w:rPr>
        <w:t>: We and the underwriters are offering to sell, and seeking offers to buy, shares of our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prospectus includes certain historical combined and consolidated financial and other data for ZoomInfo OpCo. Following this offering, ZoomInfo OpCo will be the predecessor of ZoomInfo Technologies Inc. for financial reporting purposes. 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of ZoomInfo OpCo and, through ZoomInfo OpCo and its subsidiaries, conduct our business. 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on its consolidated financial statements and record a non-controlling interest related to the LLC Units held by our pre-IPO owners (as defined below) on its consolidated balance sheet and statement of operations.</w:t>
      </w:r>
    </w:p>
    <w:p>
      <w:pPr>
        <w:spacing w:after="0" w:line="14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and its predecessor.</w:t>
      </w:r>
    </w:p>
    <w:p>
      <w:pPr>
        <w:spacing w:after="0" w:line="14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“ACV” refers to annual contract value, or the total annualized value that our customers have agreed to pay for subscription services at any particular point in time under contracts that are or were enforceable at that point in time.</w:t>
      </w:r>
    </w:p>
    <w:p>
      <w:pPr>
        <w:spacing w:after="0" w:line="89"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65"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“Blocker Companies” refers to certain of our Pre-IPO Shareholders that are taxable as corporations for U.S. federal income tax purposes.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“Carlyle” refers to investment funds associated with The Carlyle Group.</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P Units” refers to Class P Units of ZoomInfo OpCo.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37" w:right="239" w:bottom="1440" w:gutter="0" w:footer="0" w:header="0"/>
        </w:sectPr>
      </w:pPr>
    </w:p>
    <w:bookmarkStart w:id="6" w:name="page7"/>
    <w:bookmarkEnd w:id="6"/>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“customers” refers to companies that have contracted with us to use our services, and at the time of measurement, maintain one or more active paid subscriptions to our platform(s). Paid subscriptions will generally include access for any number of employees or other affiliated persons of the customer.</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“Datanyze” refers, collectively, to Datanyze, Inc. and Datanyze Rus, LLC.</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owners” or “pre-IPO owners” refer, collectively to the Sponsors, the Founders, and the management and other equity holders who are the owners of ZoomInfo OpCo immediately prior to the Offering Transactions (as defined herein).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“Founders” refers to Henry Schuck, our Chief Executive Officer, and Kirk Brown.</w:t>
      </w:r>
    </w:p>
    <w:p>
      <w:pPr>
        <w:spacing w:after="0" w:line="14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“LLC Units” refers to the single new class of units of ZoomInfo OpCo created by the Reclassification.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“NeverBounce” refers to Metrics Delivered LLC.</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“paid users” refers to employees or other affiliated persons of a customer that has been granted access to our system under the terms of a contract with a customer.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“Pre-IPO LLC Unitholders” refers to the pre-IPO owners that hold LLC Units.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“Pre-IPO Shareholders” refers to the pre-IPO owners that hold their interests in us through the Blocker Companies.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“RainKing” refers to Rain King Software, Inc.</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refers, collectively, to TA Associates, Carlyle, and 22C Capital.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 Associates” refers to investment funds associated with TA Associates.</w:t>
      </w:r>
    </w:p>
    <w:p>
      <w:pPr>
        <w:spacing w:after="0" w:line="144"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over 1,000 employees, multiplied by the average ACV that we generated from the top quartile of customers over 1,000 employees.</w:t>
      </w:r>
    </w:p>
    <w:p>
      <w:pPr>
        <w:spacing w:after="0" w:line="1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“ZoomInfo,” the “Company,” “we,” “us,” and “our” refer, (1) prior to the consummation of the Offering Transactions, to ZoomInfo OpCo and its consolidated subsidiaries and, (2) after the Offering Transactions, to ZoomInfo Technologies Inc. and its consolidated subsidiaries.</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“ZoomInfo OpCo” refers to DiscoverOrg Holdings,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186690</wp:posOffset>
            </wp:positionV>
            <wp:extent cx="14319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indicated otherwise, the information included in this prospectus assumes no exercise by the underwriters of their option to purchase up to an</w:t>
      </w:r>
    </w:p>
    <w:p>
      <w:pPr>
        <w:spacing w:after="0" w:line="46"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additional</w:t>
      </w:r>
      <w:r>
        <w:rPr>
          <w:sz w:val="20"/>
          <w:szCs w:val="20"/>
          <w:color w:val="auto"/>
        </w:rPr>
        <w:tab/>
      </w:r>
      <w:r>
        <w:rPr>
          <w:rFonts w:ascii="Arial" w:cs="Arial" w:eastAsia="Arial" w:hAnsi="Arial"/>
          <w:sz w:val="16"/>
          <w:szCs w:val="16"/>
          <w:color w:val="auto"/>
        </w:rPr>
        <w:t>shares of Class A common stock from us solely to cover over-allotments and that the shares of Class A common stock to be sold in</w:t>
      </w:r>
    </w:p>
    <w:p>
      <w:pPr>
        <w:spacing w:after="0" w:line="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this offering are sold at $</w:t>
      </w:r>
      <w:r>
        <w:rPr>
          <w:sz w:val="20"/>
          <w:szCs w:val="20"/>
          <w:color w:val="auto"/>
        </w:rPr>
        <w:tab/>
      </w:r>
      <w:r>
        <w:rPr>
          <w:rFonts w:ascii="Arial" w:cs="Arial" w:eastAsia="Arial" w:hAnsi="Arial"/>
          <w:sz w:val="16"/>
          <w:szCs w:val="16"/>
          <w:color w:val="auto"/>
        </w:rPr>
        <w:t>per share, which is the midpoint of the price range indicated on the front cover of this prospectus.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668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684645"/>
                    </a:xfrm>
                    <a:prstGeom prst="rect">
                      <a:avLst/>
                    </a:prstGeom>
                    <a:noFill/>
                  </pic:spPr>
                </pic:pic>
              </a:graphicData>
            </a:graphic>
          </wp:anchor>
        </w:drawing>
        <w:t>SUMMARY</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1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0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Today, approximately 180,000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over 14 million companies, including advanced attributes, technologies used by companies, intent signals, and decision-maker contact information. Our intelligence is kept up to date in real time.</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able to deliver high-quality intelligence at scale by leveraging an artificial intelligence (“AI”) and machine learning (“ML”) powered engine that gathers data from millions of global sources and standardizes, matches to entities, verifies, cleans, and applies the processed data to companies and people. To do this, our engine aggregates and extracts distinct types of data from millions of proprietary and public sources, including our contributory network, which captures data on over 50 million contact record events daily from our free Community Edition users and many of our paying customers.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software, insights, and data enable over 13,000 companies to sell and market more effectively and efficiently. Our customers operate in almost every industry vertical, including software, business services, manufacturing, telecommunications, financial services and insurance, retail, media and internet, transportation, education, hospitality, healthcare, and real estate, and range from the largest global enterprises, to mid-market companies, down to small and medium-sized businesses (“SMBs”). Within a given company, we believe our platform can make every sales and marketing professional more effective and efficient. This broad applicability drives our TAM of approximately $23 billion, according to our estimates. Using the ZoomInfo platform, we have identified over 800,000 global businesses that sell to other businesses and have more than ten employees, which represent our potential customers. Our current customer base of over 13,000 implies penetration of less than 2%.</w:t>
      </w:r>
    </w:p>
    <w:p>
      <w:pPr>
        <w:spacing w:after="0" w:line="113"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Internally, we use the ZoomInfo platform to drive our own highly effective and efficient go-to-market motion. We have invested in technology, data, and insights, as well as defined processes and specialized roles, resulting in an optimized inside sales motion. Our average new business sales cycle from opportunity creation to close is 32 days, and our average LTV compared to our average CAC is over 10x. Our focus on customer adoption, success, and expansion helps us to deliver continued value and creates opportunities for increased usage. Today, over 500 of our customers spend more than $100,000 in ACV.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00"/>
          </w:cols>
          <w:pgMar w:left="760" w:top="675" w:right="739" w:bottom="1440" w:gutter="0" w:footer="0" w:header="0"/>
        </w:sectPr>
      </w:pPr>
    </w:p>
    <w:bookmarkStart w:id="8" w:name="page9"/>
    <w:bookmarkEnd w:id="8"/>
    <w:p>
      <w:pPr>
        <w:jc w:val="both"/>
        <w:ind w:firstLine="32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7233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233285"/>
                    </a:xfrm>
                    <a:prstGeom prst="rect">
                      <a:avLst/>
                    </a:prstGeom>
                    <a:noFill/>
                  </pic:spPr>
                </pic:pic>
              </a:graphicData>
            </a:graphic>
          </wp:anchor>
        </w:drawing>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We and Pre-Acquisition ZI generated revenue of $103.5 million and $45.7 million for the nine months ended September 30, 2018, respectively, and $203.0 million for the nine months ended September 30, 2019 and $9.7 million for the one month ended January 31, 2019,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is Fundamental to Every Business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Business-to-Business (“B2B”) Sales and Marketing has Changed</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such as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is Still Inefficient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66" w:lineRule="exact"/>
        <w:rPr>
          <w:sz w:val="20"/>
          <w:szCs w:val="20"/>
          <w:color w:val="auto"/>
        </w:rPr>
      </w:pPr>
    </w:p>
    <w:p>
      <w:pPr>
        <w:ind w:left="640" w:right="20" w:hanging="324"/>
        <w:spacing w:after="0" w:line="282"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It’s hard to find and engage with decision makers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Inaccurate or missing contact information plagues efforts to engage with a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of targets quickly and efficiently.</w:t>
      </w:r>
    </w:p>
    <w:p>
      <w:pPr>
        <w:spacing w:after="0" w:line="11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hard to know when to engage. </w:t>
      </w:r>
      <w:r>
        <w:rPr>
          <w:rFonts w:ascii="Arial" w:cs="Arial" w:eastAsia="Arial" w:hAnsi="Arial"/>
          <w:sz w:val="18"/>
          <w:szCs w:val="18"/>
          <w:color w:val="auto"/>
        </w:rPr>
        <w:t>Sales and marketing professionals need to manually gather information across various sources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when a potential customer intends to make a purchase.</w:t>
      </w:r>
    </w:p>
    <w:p>
      <w:pPr>
        <w:spacing w:after="0" w:line="112" w:lineRule="exact"/>
        <w:rPr>
          <w:rFonts w:ascii="Arial" w:cs="Arial" w:eastAsia="Arial" w:hAnsi="Arial"/>
          <w:sz w:val="18"/>
          <w:szCs w:val="18"/>
          <w:color w:val="auto"/>
        </w:rPr>
      </w:pPr>
    </w:p>
    <w:p>
      <w:pPr>
        <w:ind w:left="640" w:right="20" w:hanging="324"/>
        <w:spacing w:after="0" w:line="282"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No data-driven way to prioritize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Prioritization decisions for sales and marketing resources are often made based on intuition,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random knowledge gathering, or incomplete and inaccurate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Need for a Comprehensive Go-to-Market Intelligence Solution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view of a company and its contacts. This all needs to be updated in real time and integrated into workflows through CRM and sales &amp; marketing automation systems—the systems nearly every company uses to manage their sales and marketing processes.</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 Companies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00"/>
          </w:cols>
          <w:pgMar w:left="760" w:top="679" w:right="7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6993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993255"/>
                    </a:xfrm>
                    <a:prstGeom prst="rect">
                      <a:avLst/>
                    </a:prstGeom>
                    <a:noFill/>
                  </pic:spPr>
                </pic:pic>
              </a:graphicData>
            </a:graphic>
          </wp:anchor>
        </w:drawing>
        <w:t>implemented some B2B intelligence practices and technology have realized 35% more leads and 45% higher-quality leads, leading to higher revenue and faster growth.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ZoomInfo Platform</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provide a comprehensive 360-degree view on over 14 million companies and 100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1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Our Data Engine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Machine Learning and Artificial Intelligence Technologies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8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Our Data Sources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a number of data sources, including proprietary sources, that enrich our platform:</w:t>
      </w:r>
    </w:p>
    <w:p>
      <w:pPr>
        <w:spacing w:after="0" w:line="171" w:lineRule="exact"/>
        <w:rPr>
          <w:sz w:val="20"/>
          <w:szCs w:val="20"/>
          <w:color w:val="auto"/>
        </w:rPr>
      </w:pPr>
    </w:p>
    <w:p>
      <w:pPr>
        <w:ind w:left="640" w:right="2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Contributory Network. </w:t>
      </w:r>
      <w:r>
        <w:rPr>
          <w:rFonts w:ascii="Arial" w:cs="Arial" w:eastAsia="Arial" w:hAnsi="Arial"/>
          <w:sz w:val="18"/>
          <w:szCs w:val="18"/>
          <w:color w:val="auto"/>
        </w:rPr>
        <w:t>Our free users and many of our paying customers contribute data that enhances our platform. Our contributory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captures data on over 50 million contact record events daily.</w:t>
      </w:r>
    </w:p>
    <w:p>
      <w:pPr>
        <w:spacing w:after="0" w:line="116" w:lineRule="exact"/>
        <w:rPr>
          <w:rFonts w:ascii="Arial" w:cs="Arial" w:eastAsia="Arial" w:hAnsi="Arial"/>
          <w:sz w:val="18"/>
          <w:szCs w:val="18"/>
          <w:color w:val="auto"/>
        </w:rPr>
      </w:pPr>
    </w:p>
    <w:p>
      <w:pPr>
        <w:jc w:val="both"/>
        <w:ind w:left="640" w:right="20" w:hanging="324"/>
        <w:spacing w:after="0" w:line="34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Unstructured Public Information. </w:t>
      </w:r>
      <w:r>
        <w:rPr>
          <w:rFonts w:ascii="Arial" w:cs="Arial" w:eastAsia="Arial" w:hAnsi="Arial"/>
          <w:sz w:val="16"/>
          <w:szCs w:val="16"/>
          <w:color w:val="auto"/>
        </w:rPr>
        <w:t>Our patented and proprietary technologies extract and parse unstructured information found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webpages, newsfeeds, blogs, and other public sources, and then match that information with entities that we have previously identified.</w:t>
      </w:r>
    </w:p>
    <w:p>
      <w:pPr>
        <w:spacing w:after="0" w:line="69" w:lineRule="exact"/>
        <w:rPr>
          <w:rFonts w:ascii="Arial" w:cs="Arial" w:eastAsia="Arial" w:hAnsi="Arial"/>
          <w:sz w:val="16"/>
          <w:szCs w:val="16"/>
          <w:color w:val="auto"/>
        </w:rPr>
      </w:pPr>
    </w:p>
    <w:p>
      <w:pPr>
        <w:ind w:left="640" w:right="2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Primary Research. </w:t>
      </w:r>
      <w:r>
        <w:rPr>
          <w:rFonts w:ascii="Arial" w:cs="Arial" w:eastAsia="Arial" w:hAnsi="Arial"/>
          <w:sz w:val="18"/>
          <w:szCs w:val="18"/>
          <w:color w:val="auto"/>
        </w:rPr>
        <w:t>We have developed hundreds of processes, largely automated, to gather information from sources, such as PBX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directories, website traffic and source code, and proprietary surveys.</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Generally Available Information. </w:t>
      </w:r>
      <w:r>
        <w:rPr>
          <w:rFonts w:ascii="Arial" w:cs="Arial" w:eastAsia="Arial" w:hAnsi="Arial"/>
          <w:sz w:val="18"/>
          <w:szCs w:val="18"/>
          <w:color w:val="auto"/>
        </w:rPr>
        <w:t>Our technology adds value to public information and a limited amount of purchased third-party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combining them with our proprietary insights.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ind w:left="640" w:right="20" w:hanging="32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and Measurable Revenue Improvement. </w:t>
      </w:r>
      <w:r>
        <w:rPr>
          <w:rFonts w:ascii="Arial" w:cs="Arial" w:eastAsia="Arial" w:hAnsi="Arial"/>
          <w:sz w:val="18"/>
          <w:szCs w:val="18"/>
          <w:color w:val="auto"/>
        </w:rPr>
        <w:t>Our platform increases revenue for our customers who can easily measure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because we integrate with the systems that they use to attribute revenue.</w:t>
      </w:r>
    </w:p>
    <w:p>
      <w:pPr>
        <w:spacing w:after="0" w:line="116" w:lineRule="exact"/>
        <w:rPr>
          <w:rFonts w:ascii="Arial" w:cs="Arial" w:eastAsia="Arial" w:hAnsi="Arial"/>
          <w:sz w:val="18"/>
          <w:szCs w:val="18"/>
          <w:color w:val="auto"/>
        </w:rPr>
      </w:pPr>
    </w:p>
    <w:p>
      <w:pPr>
        <w:jc w:val="both"/>
        <w:ind w:left="640" w:hanging="324"/>
        <w:spacing w:after="0" w:line="28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Unmatched Accuracy, Depth, and Coverage of Data. </w:t>
      </w:r>
      <w:r>
        <w:rPr>
          <w:rFonts w:ascii="Arial" w:cs="Arial" w:eastAsia="Arial" w:hAnsi="Arial"/>
          <w:sz w:val="17"/>
          <w:szCs w:val="17"/>
          <w:color w:val="auto"/>
        </w:rPr>
        <w:t>We are able to provide a guarantee of 95%+ accuracy as a result of our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quality, coupled with proprietary methods to extract, parse, match and clean data. We do not believe that any other solution provides the depth and breadth of data that we provide on over 14 million companies and over 100 million professionals.</w:t>
      </w:r>
    </w:p>
    <w:p>
      <w:pPr>
        <w:spacing w:after="0" w:line="111" w:lineRule="exact"/>
        <w:rPr>
          <w:rFonts w:ascii="Arial" w:cs="Arial" w:eastAsia="Arial" w:hAnsi="Arial"/>
          <w:sz w:val="17"/>
          <w:szCs w:val="17"/>
          <w:color w:val="auto"/>
        </w:rPr>
      </w:pPr>
    </w:p>
    <w:p>
      <w:pPr>
        <w:ind w:left="640" w:right="20" w:hanging="32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Data Points Drive Valuable Insights. </w:t>
      </w:r>
      <w:r>
        <w:rPr>
          <w:rFonts w:ascii="Arial" w:cs="Arial" w:eastAsia="Arial" w:hAnsi="Arial"/>
          <w:sz w:val="18"/>
          <w:szCs w:val="18"/>
          <w:color w:val="auto"/>
        </w:rPr>
        <w:t>We integrate unique data points that are proprietary to ZoomInfo with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to enrich their information and develop unique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760" w:top="679" w:right="739" w:bottom="1440" w:gutter="0" w:footer="0" w:header="0"/>
        </w:sectPr>
      </w:pPr>
    </w:p>
    <w:bookmarkStart w:id="10" w:name="page11"/>
    <w:bookmarkEnd w:id="10"/>
    <w:p>
      <w:pPr>
        <w:jc w:val="both"/>
        <w:ind w:left="640" w:right="20" w:hanging="324"/>
        <w:spacing w:after="0" w:line="26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7336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t>Integrated and Automated Platform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insights are available on our cloud-based platform and can also be delivered directly into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ind w:left="640" w:right="20" w:hanging="324"/>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Leader with a Comprehensive Go-to-Market Intelligence Platform. </w:t>
      </w:r>
      <w:r>
        <w:rPr>
          <w:rFonts w:ascii="Arial" w:cs="Arial" w:eastAsia="Arial" w:hAnsi="Arial"/>
          <w:sz w:val="18"/>
          <w:szCs w:val="18"/>
          <w:color w:val="auto"/>
        </w:rPr>
        <w:t>We provide the most accurate and comprehensive go-to-market intelligence platform available.</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Finely Tuned Go-to-Market Model. </w:t>
      </w:r>
      <w:r>
        <w:rPr>
          <w:rFonts w:ascii="Arial" w:cs="Arial" w:eastAsia="Arial" w:hAnsi="Arial"/>
          <w:sz w:val="18"/>
          <w:szCs w:val="18"/>
          <w:color w:val="auto"/>
        </w:rPr>
        <w:t>We utilize the ZoomInfo platform to power our efficient go-to-market motion.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2019, our average LTV to average CAC was over 10x.</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High-Velocity Software Development. </w:t>
      </w:r>
      <w:r>
        <w:rPr>
          <w:rFonts w:ascii="Arial" w:cs="Arial" w:eastAsia="Arial" w:hAnsi="Arial"/>
          <w:sz w:val="18"/>
          <w:szCs w:val="18"/>
          <w:color w:val="auto"/>
        </w:rPr>
        <w:t>We foster an innovative, fast-paced engineering culture that enabled the release of 112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features and services in 2019.</w:t>
      </w:r>
    </w:p>
    <w:p>
      <w:pPr>
        <w:spacing w:after="0" w:line="116" w:lineRule="exact"/>
        <w:rPr>
          <w:rFonts w:ascii="Arial" w:cs="Arial" w:eastAsia="Arial" w:hAnsi="Arial"/>
          <w:sz w:val="18"/>
          <w:szCs w:val="18"/>
          <w:color w:val="auto"/>
        </w:rPr>
      </w:pPr>
    </w:p>
    <w:p>
      <w:pPr>
        <w:jc w:val="both"/>
        <w:ind w:left="640" w:right="20" w:hanging="324"/>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Enthusiasm Driven by Our Base of “Fanatic Users.” </w:t>
      </w:r>
      <w:r>
        <w:rPr>
          <w:rFonts w:ascii="Arial" w:cs="Arial" w:eastAsia="Arial" w:hAnsi="Arial"/>
          <w:sz w:val="18"/>
          <w:szCs w:val="18"/>
          <w:color w:val="auto"/>
        </w:rPr>
        <w:t>We have approximately 55,000 Fanatic Users, which we define as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platform use over 200 minutes per week and/or 300 searches per month. We believe our Fanatic Users drive viral adoption of our platform.</w:t>
      </w:r>
    </w:p>
    <w:p>
      <w:pPr>
        <w:spacing w:after="0" w:line="127"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and Significant Network Effects. </w:t>
      </w:r>
      <w:r>
        <w:rPr>
          <w:rFonts w:ascii="Arial" w:cs="Arial" w:eastAsia="Arial" w:hAnsi="Arial"/>
          <w:sz w:val="18"/>
          <w:szCs w:val="18"/>
          <w:color w:val="auto"/>
        </w:rPr>
        <w:t>As our user base grows, so does the data we receive, which enables us to provide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our customers.</w:t>
      </w:r>
    </w:p>
    <w:p>
      <w:pPr>
        <w:spacing w:after="0" w:line="116" w:lineRule="exact"/>
        <w:rPr>
          <w:rFonts w:ascii="Arial" w:cs="Arial" w:eastAsia="Arial" w:hAnsi="Arial"/>
          <w:sz w:val="18"/>
          <w:szCs w:val="18"/>
          <w:color w:val="auto"/>
        </w:rPr>
      </w:pPr>
    </w:p>
    <w:p>
      <w:pPr>
        <w:jc w:val="both"/>
        <w:ind w:left="640" w:right="20" w:hanging="324"/>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Founder-Led Management Team. </w:t>
      </w:r>
      <w:r>
        <w:rPr>
          <w:rFonts w:ascii="Arial" w:cs="Arial" w:eastAsia="Arial" w:hAnsi="Arial"/>
          <w:sz w:val="18"/>
          <w:szCs w:val="18"/>
          <w:color w:val="auto"/>
        </w:rPr>
        <w:t>Our highly talented, customer-centric senior leadership, led by our co-founder and CEO,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Henry Schuck, enables us to rapidly develop new products, move more quickly than our competition, and build our fast-paced, execution-oriented culture.</w:t>
      </w:r>
    </w:p>
    <w:p>
      <w:pPr>
        <w:spacing w:after="0" w:line="12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estimate the TAM for our platform to be approximately $23 billion, based on data as of December 31, 2019.</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calculate our TAM by estimating the total number of companies by employee size for companies with 1,000+ employees, companies with 100 to 999 employees, and companies with 10 to 99 employees and applying the ACV to each respective company using internally generated data of actual customer spend by company size. For companies with 1,000+ employees, we have applied the average ACV of our top quartile of customers,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powered by DiscoverOrg platform that we have identified as relevant prospects for our platform.</w:t>
      </w:r>
    </w:p>
    <w:p>
      <w:pPr>
        <w:spacing w:after="0" w:line="109"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jc w:val="right"/>
        <w:ind w:right="440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83" w:lineRule="exact"/>
        <w:rPr>
          <w:sz w:val="20"/>
          <w:szCs w:val="20"/>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Acquire New Customers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Deliver Additional High-Value Solutions to Our Existing Customers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Drive Incremental Penetration Within Enterprises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Platform for Adjacent Use Cases such as Recruiting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Expand to International Markets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Selective Acquisitions to Complement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00"/>
          </w:cols>
          <w:pgMar w:left="760" w:top="675" w:right="7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7301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7301865"/>
                    </a:xfrm>
                    <a:prstGeom prst="rect">
                      <a:avLst/>
                    </a:prstGeom>
                    <a:noFill/>
                  </pic:spPr>
                </pic:pic>
              </a:graphicData>
            </a:graphic>
          </wp:anchor>
        </w:drawing>
        <w:t>Investment Risks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An investment in shares of our Class A common stock involves substantial risks and uncertainties that may adversely affect our business, financial condition, and results of operations and cash flows. Some of the more significant challenges and risks relating to an investment in our Company include, among other things, the following:</w:t>
      </w:r>
    </w:p>
    <w:p>
      <w:pPr>
        <w:spacing w:after="0" w:line="127" w:lineRule="exact"/>
        <w:rPr>
          <w:sz w:val="20"/>
          <w:szCs w:val="20"/>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171"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effects of companies more effectively catering to our customers by offering more tailored products or platforms at lower costs;</w:t>
      </w:r>
    </w:p>
    <w:p>
      <w:pPr>
        <w:spacing w:after="0" w:line="182" w:lineRule="exact"/>
        <w:rPr>
          <w:rFonts w:ascii="Arial" w:cs="Arial" w:eastAsia="Arial" w:hAnsi="Arial"/>
          <w:sz w:val="17"/>
          <w:szCs w:val="17"/>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third-party systems that we do not control to integrate with our system and our potential inability to continue to support integration;</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adequately fund research and development potentially limiting introduction of new features, integrations, and enhancements;</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customers and expand existing subscriptions;</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participation in our contributory network or increased opt-out rates impacting the depth, breadth, and accuracy of our platform;</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w:t>
      </w:r>
    </w:p>
    <w:p>
      <w:pPr>
        <w:spacing w:after="0" w:line="171" w:lineRule="exact"/>
        <w:rPr>
          <w:rFonts w:ascii="Arial" w:cs="Arial" w:eastAsia="Arial" w:hAnsi="Arial"/>
          <w:sz w:val="18"/>
          <w:szCs w:val="18"/>
          <w:color w:val="auto"/>
        </w:rPr>
      </w:pPr>
    </w:p>
    <w:p>
      <w:pPr>
        <w:jc w:val="both"/>
        <w:ind w:left="640" w:right="20" w:hanging="324"/>
        <w:spacing w:after="0" w:line="28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11" w:lineRule="exact"/>
        <w:rPr>
          <w:rFonts w:ascii="Arial" w:cs="Arial" w:eastAsia="Arial" w:hAnsi="Arial"/>
          <w:sz w:val="17"/>
          <w:szCs w:val="17"/>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Sponsors controlling us and their interests conflicting with ours or yours in the future; and</w:t>
      </w:r>
    </w:p>
    <w:p>
      <w:pPr>
        <w:spacing w:after="0" w:line="171" w:lineRule="exact"/>
        <w:rPr>
          <w:sz w:val="20"/>
          <w:szCs w:val="20"/>
          <w:color w:val="auto"/>
        </w:rPr>
      </w:pPr>
    </w:p>
    <w:p>
      <w:pPr>
        <w:jc w:val="both"/>
        <w:ind w:left="640" w:right="20" w:hanging="319"/>
        <w:spacing w:after="0" w:line="264" w:lineRule="auto"/>
        <w:tabs>
          <w:tab w:leader="none" w:pos="620" w:val="left"/>
        </w:tabs>
        <w:rPr>
          <w:sz w:val="20"/>
          <w:szCs w:val="20"/>
          <w:color w:val="auto"/>
        </w:rPr>
      </w:pPr>
      <w:r>
        <w:rPr>
          <w:rFonts w:ascii="Arial" w:cs="Arial" w:eastAsia="Arial" w:hAnsi="Arial"/>
          <w:sz w:val="18"/>
          <w:szCs w:val="18"/>
          <w:color w:val="auto"/>
        </w:rPr>
        <w:t>•</w:t>
        <w:tab/>
        <w:t>our being, upon the listing of our Class A common stock on , a “controlled company” within the meaning of rules and, as a result, qualifying for exemptions from certain corporate governance requirements, as a result of which you will not have the same protections afforded to stockholders of companies that are subject to such requirements.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Please see “Risk Factors” for a discussion of these and other factors you should consider before making an investment in shares of our Class A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a simplified diagram depicting our current organizational structure, see “Organizational Structure.” 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and consolidate the financial results of ZoomInfo OpCo and, through ZoomInfo OpCo and its subsidiaries, conduct our business. Prior to the completion of this offering, (1) ZoomInfo Technologies Inc. will form a new merger subsidiary with respect to each of the Blocker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00"/>
          </w:cols>
          <w:pgMar w:left="760" w:top="675" w:right="739" w:bottom="1440" w:gutter="0" w:footer="0" w:header="0"/>
        </w:sectPr>
      </w:pPr>
    </w:p>
    <w:bookmarkStart w:id="12" w:name="page13"/>
    <w:bookmarkEnd w:id="12"/>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6993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993255"/>
                    </a:xfrm>
                    <a:prstGeom prst="rect">
                      <a:avLst/>
                    </a:prstGeom>
                    <a:noFill/>
                  </pic:spPr>
                </pic:pic>
              </a:graphicData>
            </a:graphic>
          </wp:anchor>
        </w:drawing>
        <w:t>through which certain of our Pre-IPO Shareholders hold their interests in us, each merger subsidiary will merge with and into such Blocker Company in a reverse subsidiary merger, and the surviving entities will merge with and into ZoomInfo Technologies Inc. (such mergers, the “Blocker Mergers”), which Blocker Mergers will result in the Pre-IPO Shareholders receiving shares of Class A common stock of ZoomInfo Technologies Inc. (see “Organizational Structure—Blocker Mergers”) and (2) the limited liability company agreement of ZoomInfo OpCo will be amended and restated to, among other things, modify its capital structure by reclassifying the interests held by our Pre-IPO LLC Unitholders into the LLC Units (such reclassification, the “Reclassification”). We refer to the Reclassification, together with the Blocker Mergers, as the “Reorganization Transactions.” We and the Pre-IPO LLC Unitholders will also enter into an exchange agreement under which they (or certain permitted transferees) will have the right (subject to the terms of the exchange agreement) to exchange their LLC Units for shares of our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Class A common stock on a basis, subject to customary conversion rate adjustments for stock splits, stock dividends, and reclassifications. For a description of the amended and restated limited liability company agreement of ZoomInfo OpCo and the exchange agreement, please read “Certain Relationships and Related Person Transactions.”</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Pre-IPO LLC Unitholders will hold all of the issued and outstanding shares of our Class B common stock. The shares of Class B common stock will have no economic rights but will entitle each holder, without regard to the number of shares of Class B common stock held</w:t>
      </w:r>
    </w:p>
    <w:p>
      <w:pPr>
        <w:jc w:val="both"/>
        <w:spacing w:after="0" w:line="281" w:lineRule="auto"/>
        <w:rPr>
          <w:sz w:val="20"/>
          <w:szCs w:val="20"/>
          <w:color w:val="auto"/>
        </w:rPr>
      </w:pPr>
      <w:r>
        <w:rPr>
          <w:rFonts w:ascii="Arial" w:cs="Arial" w:eastAsia="Arial" w:hAnsi="Arial"/>
          <w:sz w:val="16"/>
          <w:szCs w:val="16"/>
          <w:color w:val="auto"/>
        </w:rPr>
        <w:t>by such holder, to a number of votes that is equal to the aggregate number of LLC Units of ZoomInfo OpCo held by such holder on all matters on which stockholders of ZoomInfo Technologies Inc. are entitled to vote generally. The voting power afforded to holders of LLC Units by their shares of Class B common stock will be automatically and correspondingly reduced as they exchange LLC Units for shares of Class A common stock of ZoomInfo Technologies Inc. pursuant to the exchange agreement. If at any time the ratio at which LLC Units are</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exchangeable for shares of our Class A common stock changes from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3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post-offering organizational structure is commonly referred to as an umbrella partnership-C-corporation (“UP-C”) structure. This organizational structure will allow our Pre-IPO LLC Unitholders to retain their equity ownership in ZoomInfo OpCo, an entity that is classified as a partnership for U.S. federal income tax purposes, in the form of LLC Units. Investors in this offering and the Pre-IPO Shareholders will, by contrast, hold their equity ownership in ZoomInfo Technologies Inc., a Delaware corporation that is a domestic corporation for U.S. federal income tax purposes, in the form of shares of Class A common stock. We believe that our Pre-IPO LLC Unitholders generally find it advantageous to continue to hold their equity interests in an entity that is not taxable as a corporation for U.S. federal income tax purposes. One of these benefits is that future taxable income of ZoomInfo OpCo that is allocated to our Pre-IPO LLC Unitholders will be taxed on a flow-through basis and therefore will not be subject to corporate taxes at the entity level. Additionally, because our Pre-IPO LLC Unitholders may redeem their LLC Units for shares of our Class A common stock, our UP-C structure provides our Pre-IPO LLC Unitholders with potential liquidity that holders of non-publicly traded limited liability companies are not typically afforded. We do not believe that our UP-C structure will give rise to any significant business or strategic benefit or detriment to us.</w:t>
      </w:r>
    </w:p>
    <w:p>
      <w:pPr>
        <w:spacing w:after="0" w:line="1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described below under “Certain Relationships and Related Person Transactions—Tax Receivable Agreement,” prior to the completion of this offering, we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w:t>
      </w:r>
    </w:p>
    <w:p>
      <w:pPr>
        <w:spacing w:after="0" w:line="14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amount of existing tax basis and the anticipated tax basis adjustments, as well as the amount and timing of any payments under the tax receivable agreement, will vary depending upon a number of factors, including the timing of exchanges, the price of shares of our Class A common stock at the time of the exchange, the extent to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00"/>
          </w:cols>
          <w:pgMar w:left="760" w:top="679" w:right="739" w:bottom="1440" w:gutter="0" w:footer="0" w:header="0"/>
        </w:sectPr>
      </w:pPr>
    </w:p>
    <w:bookmarkStart w:id="13" w:name="page14"/>
    <w:bookmarkEnd w:id="1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2808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808605"/>
                    </a:xfrm>
                    <a:prstGeom prst="rect">
                      <a:avLst/>
                    </a:prstGeom>
                    <a:noFill/>
                  </pic:spPr>
                </pic:pic>
              </a:graphicData>
            </a:graphic>
          </wp:anchor>
        </w:drawing>
        <w:t>exchanges are taxable, the amount of tax attributes, and the amount and timing of our income. We estimate the amount of existing tax basis with respect to which our pre-IPO owners will be entitled to receive payments under the tax receivable agreement (assuming all Pre-IPO LLC</w:t>
      </w:r>
    </w:p>
    <w:p>
      <w:pPr>
        <w:ind w:right="20"/>
        <w:spacing w:after="0" w:line="255" w:lineRule="auto"/>
        <w:rPr>
          <w:sz w:val="20"/>
          <w:szCs w:val="20"/>
          <w:color w:val="auto"/>
        </w:rPr>
      </w:pPr>
      <w:r>
        <w:rPr>
          <w:rFonts w:ascii="Arial" w:cs="Arial" w:eastAsia="Arial" w:hAnsi="Arial"/>
          <w:sz w:val="18"/>
          <w:szCs w:val="18"/>
          <w:color w:val="auto"/>
        </w:rPr>
        <w:t>Unitholders exchange their LLC Units on the date of this offering) is approximately $ million. Late payments under the tax receivable agreement generally will accrue interest at an uncapped rate equal to one year plus basis points. See “Certain Relationships and Related Person Transactions—Tax Receivable Agreement.”</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is a holding company and has no material assets other than its ownership of LLC Units in ZoomInfo OpCo. We intend to cause ZoomInfo OpCo to make distributions to us in an amount sufficient to cover our taxes and obligations under the tax receivable agreement, as well as any cash dividends declared by us. If ZoomInfo OpCo makes such distributions to ZoomInfo Technologies Inc., the other holders of LLC Units will also be entitled to receive distributions pro rata in accordance with the percentages of their respective limited liability company interests.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on its consolidated financial statements and record a non-controlling interest related to the LLC Units held by our pre-IPO owners on its consolidated balance sheet and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00"/>
          </w:cols>
          <w:pgMar w:left="760" w:top="679" w:right="739" w:bottom="1440" w:gutter="0" w:footer="0" w:header="0"/>
        </w:sectPr>
      </w:pPr>
    </w:p>
    <w:bookmarkStart w:id="14" w:name="page15"/>
    <w:bookmarkEnd w:id="14"/>
    <w:p>
      <w:pPr>
        <w:jc w:val="both"/>
        <w:ind w:left="8"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7336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t>The simplified diagram below depicts our organizational structure immediately following the consummation of the Offering Transactions (as described under “Organizational Structure—Offering Transactions) and the Reorganization Transactions. Unless otherwise stated or the context otherwise requires, the information provided in this prospectus reflects the consummation of the Offering Transactions and the Reorganization Transactions.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8"/>
        <w:spacing w:after="0"/>
        <w:tabs>
          <w:tab w:leader="none" w:pos="307" w:val="left"/>
          <w:tab w:leader="none" w:pos="7807" w:val="left"/>
        </w:tabs>
        <w:rPr>
          <w:sz w:val="20"/>
          <w:szCs w:val="20"/>
          <w:color w:val="auto"/>
        </w:rPr>
      </w:pPr>
      <w:r>
        <w:rPr>
          <w:rFonts w:ascii="Arial" w:cs="Arial" w:eastAsia="Arial" w:hAnsi="Arial"/>
          <w:sz w:val="14"/>
          <w:szCs w:val="14"/>
          <w:color w:val="auto"/>
        </w:rPr>
        <w:t>(1)</w:t>
        <w:tab/>
        <w:t>The Class B common stock will provide each of the Pre-IPO LLC Unitholders with a number of votes that is equal to</w:t>
      </w:r>
      <w:r>
        <w:rPr>
          <w:sz w:val="20"/>
          <w:szCs w:val="20"/>
          <w:color w:val="auto"/>
        </w:rPr>
        <w:tab/>
      </w:r>
      <w:r>
        <w:rPr>
          <w:rFonts w:ascii="Arial" w:cs="Arial" w:eastAsia="Arial" w:hAnsi="Arial"/>
          <w:sz w:val="13"/>
          <w:szCs w:val="13"/>
          <w:color w:val="auto"/>
        </w:rPr>
        <w:t>the aggregate number of LLC Units held by</w:t>
      </w:r>
    </w:p>
    <w:p>
      <w:pPr>
        <w:spacing w:after="0" w:line="1" w:lineRule="exact"/>
        <w:rPr>
          <w:sz w:val="20"/>
          <w:szCs w:val="20"/>
          <w:color w:val="auto"/>
        </w:rPr>
      </w:pPr>
    </w:p>
    <w:p>
      <w:pPr>
        <w:ind w:left="328"/>
        <w:spacing w:after="0"/>
        <w:tabs>
          <w:tab w:leader="none" w:pos="6967" w:val="left"/>
        </w:tabs>
        <w:rPr>
          <w:sz w:val="20"/>
          <w:szCs w:val="20"/>
          <w:color w:val="auto"/>
        </w:rPr>
      </w:pPr>
      <w:r>
        <w:rPr>
          <w:rFonts w:ascii="Arial" w:cs="Arial" w:eastAsia="Arial" w:hAnsi="Arial"/>
          <w:sz w:val="14"/>
          <w:szCs w:val="14"/>
          <w:color w:val="auto"/>
        </w:rPr>
        <w:t>such Pre-IPO LLC Unitholder. Immediately following this offering, the Pre-IPO LLC Unitholders will hold</w:t>
      </w:r>
      <w:r>
        <w:rPr>
          <w:sz w:val="20"/>
          <w:szCs w:val="20"/>
          <w:color w:val="auto"/>
        </w:rPr>
        <w:tab/>
      </w:r>
      <w:r>
        <w:rPr>
          <w:rFonts w:ascii="Arial" w:cs="Arial" w:eastAsia="Arial" w:hAnsi="Arial"/>
          <w:sz w:val="13"/>
          <w:szCs w:val="13"/>
          <w:color w:val="auto"/>
        </w:rPr>
        <w:t>% of the voting power in ZoomInfo Technologies Inc. For</w:t>
      </w:r>
    </w:p>
    <w:p>
      <w:pPr>
        <w:spacing w:after="0" w:line="1" w:lineRule="exact"/>
        <w:rPr>
          <w:sz w:val="20"/>
          <w:szCs w:val="20"/>
          <w:color w:val="auto"/>
        </w:rPr>
      </w:pPr>
    </w:p>
    <w:p>
      <w:pPr>
        <w:ind w:left="328" w:right="20"/>
        <w:spacing w:after="0" w:line="241" w:lineRule="auto"/>
        <w:rPr>
          <w:sz w:val="20"/>
          <w:szCs w:val="20"/>
          <w:color w:val="auto"/>
        </w:rPr>
      </w:pPr>
      <w:r>
        <w:rPr>
          <w:rFonts w:ascii="Arial" w:cs="Arial" w:eastAsia="Arial" w:hAnsi="Arial"/>
          <w:sz w:val="14"/>
          <w:szCs w:val="14"/>
          <w:color w:val="auto"/>
        </w:rPr>
        <w:t>additional information, see “Organizational Structure—Organizational Structure Following this Offering and the Transactions” and “Description of Capital Stock—Common Stock—Class B Common Stock.”</w:t>
      </w:r>
    </w:p>
    <w:p>
      <w:pPr>
        <w:spacing w:after="0" w:line="1" w:lineRule="exact"/>
        <w:rPr>
          <w:sz w:val="20"/>
          <w:szCs w:val="20"/>
          <w:color w:val="auto"/>
        </w:rPr>
      </w:pPr>
    </w:p>
    <w:p>
      <w:pPr>
        <w:ind w:left="328" w:right="20" w:hanging="328"/>
        <w:spacing w:after="0" w:line="255" w:lineRule="auto"/>
        <w:tabs>
          <w:tab w:leader="none" w:pos="328"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DiscoverOrg, LLC serves as the borrower under our first lien revolving credit facility and our first lien term loan facility (together, the “first lien credit facilities”) and our second lien term loan facility (together with the first lien credit facilities, the “secured credit facilities”). See “Description of Certain Indebtedness.”</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left="8" w:firstLine="324"/>
        <w:spacing w:after="0" w:line="302"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00" w:lineRule="exact"/>
        <w:rPr>
          <w:sz w:val="20"/>
          <w:szCs w:val="20"/>
          <w:color w:val="auto"/>
        </w:rPr>
      </w:pPr>
    </w:p>
    <w:p>
      <w:pPr>
        <w:jc w:val="both"/>
        <w:ind w:left="648" w:right="20" w:hanging="324"/>
        <w:spacing w:after="0" w:line="264"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08"/>
          </w:cols>
          <w:pgMar w:left="752" w:top="679" w:right="739" w:bottom="1440" w:gutter="0" w:footer="0" w:header="0"/>
        </w:sectPr>
      </w:pPr>
    </w:p>
    <w:bookmarkStart w:id="15" w:name="page16"/>
    <w:bookmarkEnd w:id="15"/>
    <w:p>
      <w:pPr>
        <w:ind w:left="640" w:right="20" w:hanging="324"/>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7405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7405370"/>
                    </a:xfrm>
                    <a:prstGeom prst="rect">
                      <a:avLst/>
                    </a:prstGeom>
                    <a:noFill/>
                  </pic:spPr>
                </pic:pic>
              </a:graphicData>
            </a:graphic>
          </wp:anchor>
        </w:drawing>
        <w:t>not being required to comply with the auditor attestation requirements of Section 404 of the Sarbanes-Oxley Act of 2002, as amended (“SOX”);</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w:t>
      </w:r>
    </w:p>
    <w:p>
      <w:pPr>
        <w:spacing w:after="0" w:line="116" w:lineRule="exact"/>
        <w:rPr>
          <w:rFonts w:ascii="Arial" w:cs="Arial" w:eastAsia="Arial" w:hAnsi="Arial"/>
          <w:sz w:val="18"/>
          <w:szCs w:val="18"/>
          <w:color w:val="auto"/>
        </w:rPr>
      </w:pPr>
    </w:p>
    <w:p>
      <w:pPr>
        <w:jc w:val="both"/>
        <w:ind w:left="640" w:right="20" w:hanging="324"/>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7"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71" w:lineRule="exact"/>
        <w:rPr>
          <w:sz w:val="20"/>
          <w:szCs w:val="20"/>
          <w:color w:val="auto"/>
        </w:rPr>
      </w:pPr>
    </w:p>
    <w:p>
      <w:pPr>
        <w:ind w:left="640" w:hanging="32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last day of the fiscal year that follows the fifth anniversary of the completion of this offering;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 of at least $1.07 billion;</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as defined in the Securities Exchange Act of 1934, as amended (the “Exchange Act”); and</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over a three-year period.</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9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additional information, see the section titled “Risk Factors—Risks Related to this Offering and Ownership of Our Class A Common Stock—We are an “emerging growth company” and the reduced disclosure requirements applicable to emerging growth companies may make our Class A common stock less attractive to investors.”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Sponsors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 Associates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$32.5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Carlyle Group</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Carlyle Group Inc. (NASDAQ: CG) is a global investment firm with deep industry expertise that deploys private capital across four business segments: Corporate Private Equity, Real Assets, Global Credit, and Investment Solutions. With $222 billion of assets under management as of September 30, 2019, The Carlyle Group’s purpose is to invest wisely and create value on behalf of its investors, portfolio companies, and the communities in which they invest. The Carlyle Group is one of the leading private equity investors in the technology, business services, and communications sectors, having completed more than 305 total transactions representing more than $32.5 billion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00"/>
          </w:cols>
          <w:pgMar w:left="760" w:top="679" w:right="739" w:bottom="1440" w:gutter="0" w:footer="0" w:header="0"/>
        </w:sectPr>
      </w:pPr>
    </w:p>
    <w:bookmarkStart w:id="16" w:name="page17"/>
    <w:bookmarkEnd w:id="16"/>
    <w:p>
      <w:pPr>
        <w:ind w:left="8"/>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6856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856095"/>
                    </a:xfrm>
                    <a:prstGeom prst="rect">
                      <a:avLst/>
                    </a:prstGeom>
                    <a:noFill/>
                  </pic:spPr>
                </pic:pic>
              </a:graphicData>
            </a:graphic>
          </wp:anchor>
        </w:drawing>
        <w:t>gross equity invested since inception. The Carlyle Group employs more than 1,775 people in 33 offices across six continents.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22C Capital</w:t>
      </w:r>
    </w:p>
    <w:p>
      <w:pPr>
        <w:spacing w:after="0" w:line="175" w:lineRule="exact"/>
        <w:rPr>
          <w:sz w:val="20"/>
          <w:szCs w:val="20"/>
          <w:color w:val="auto"/>
        </w:rPr>
      </w:pPr>
    </w:p>
    <w:p>
      <w:pPr>
        <w:jc w:val="both"/>
        <w:ind w:left="8" w:firstLine="324"/>
        <w:spacing w:after="0" w:line="293" w:lineRule="auto"/>
        <w:rPr>
          <w:sz w:val="20"/>
          <w:szCs w:val="20"/>
          <w:color w:val="auto"/>
        </w:rPr>
      </w:pPr>
      <w:r>
        <w:rPr>
          <w:rFonts w:ascii="Arial" w:cs="Arial" w:eastAsia="Arial" w:hAnsi="Arial"/>
          <w:sz w:val="16"/>
          <w:szCs w:val="16"/>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executives 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8" w:firstLine="324"/>
        <w:spacing w:after="0" w:line="271" w:lineRule="auto"/>
        <w:rPr>
          <w:sz w:val="20"/>
          <w:szCs w:val="20"/>
          <w:color w:val="auto"/>
        </w:rPr>
      </w:pPr>
      <w:r>
        <w:rPr>
          <w:rFonts w:ascii="Arial" w:cs="Arial" w:eastAsia="Arial" w:hAnsi="Arial"/>
          <w:sz w:val="17"/>
          <w:szCs w:val="17"/>
          <w:color w:val="auto"/>
        </w:rPr>
        <w:t>After the completion of this offering, our Sponsors will be parties to a stockholders agreement described in “Certain Relationships and Related Person Transactions—Stockholders Agreement” and will beneficially own approximately % of the combined voting power of our Class A and Class B common stock (or % if the underwriters exercise in full their option to purchase additional shares of Class A common</w:t>
      </w:r>
    </w:p>
    <w:p>
      <w:pPr>
        <w:jc w:val="both"/>
        <w:ind w:left="8"/>
        <w:spacing w:after="0" w:line="265" w:lineRule="auto"/>
        <w:rPr>
          <w:sz w:val="20"/>
          <w:szCs w:val="20"/>
          <w:color w:val="auto"/>
        </w:rPr>
      </w:pPr>
      <w:r>
        <w:rPr>
          <w:rFonts w:ascii="Arial" w:cs="Arial" w:eastAsia="Arial" w:hAnsi="Arial"/>
          <w:sz w:val="17"/>
          <w:szCs w:val="17"/>
          <w:color w:val="auto"/>
        </w:rPr>
        <w:t>stock). As a result, we will be a “controlled company” within the meaning of the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w:t>
      </w:r>
    </w:p>
    <w:p>
      <w:pPr>
        <w:spacing w:after="0" w:line="1" w:lineRule="exact"/>
        <w:rPr>
          <w:sz w:val="20"/>
          <w:szCs w:val="20"/>
          <w:color w:val="auto"/>
        </w:rPr>
      </w:pPr>
    </w:p>
    <w:p>
      <w:pPr>
        <w:jc w:val="both"/>
        <w:ind w:left="8" w:hanging="8"/>
        <w:spacing w:after="0" w:line="281"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a majority of our board of directors consist of independent directors, (2) that our board of directors have a compensation committee that is composed entirely of independent directors with a written charter addressing the committee’s purpose and responsibilities, and (3) that our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w:t>
      </w:r>
    </w:p>
    <w:p>
      <w:pPr>
        <w:spacing w:after="0" w:line="2"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16"/>
          <w:szCs w:val="16"/>
          <w:color w:val="auto"/>
        </w:rPr>
        <w:t>companies that are subject to all of these corporate governance requirements. In the event that we cease to be a “controlled company” and our</w:t>
      </w:r>
    </w:p>
    <w:p>
      <w:pPr>
        <w:spacing w:after="0" w:line="204" w:lineRule="exact"/>
        <w:rPr>
          <w:sz w:val="20"/>
          <w:szCs w:val="20"/>
          <w:color w:val="auto"/>
        </w:rPr>
      </w:pPr>
    </w:p>
    <w:p>
      <w:pPr>
        <w:jc w:val="both"/>
        <w:ind w:left="8"/>
        <w:spacing w:after="0" w:line="277" w:lineRule="auto"/>
        <w:rPr>
          <w:sz w:val="20"/>
          <w:szCs w:val="20"/>
          <w:color w:val="auto"/>
        </w:rPr>
      </w:pPr>
      <w:r>
        <w:rPr>
          <w:rFonts w:ascii="Arial" w:cs="Arial" w:eastAsia="Arial" w:hAnsi="Arial"/>
          <w:sz w:val="18"/>
          <w:szCs w:val="18"/>
          <w:color w:val="auto"/>
        </w:rPr>
        <w:t>Class A common stock continues to be listed on the , we will be required to comply with these provisions within the applicable transition periods.</w:t>
      </w: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Our Corporate Information</w:t>
      </w:r>
    </w:p>
    <w:p>
      <w:pPr>
        <w:spacing w:after="0" w:line="175" w:lineRule="exact"/>
        <w:rPr>
          <w:sz w:val="20"/>
          <w:szCs w:val="20"/>
          <w:color w:val="auto"/>
        </w:rPr>
      </w:pPr>
    </w:p>
    <w:p>
      <w:pPr>
        <w:jc w:val="both"/>
        <w:ind w:left="8" w:firstLine="324"/>
        <w:spacing w:after="0" w:line="257" w:lineRule="auto"/>
        <w:rPr>
          <w:sz w:val="20"/>
          <w:szCs w:val="20"/>
          <w:color w:val="auto"/>
        </w:rPr>
      </w:pPr>
      <w:r>
        <w:rPr>
          <w:rFonts w:ascii="Arial" w:cs="Arial" w:eastAsia="Arial" w:hAnsi="Arial"/>
          <w:sz w:val="18"/>
          <w:szCs w:val="18"/>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34"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8"/>
          <w:szCs w:val="18"/>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33" w:lineRule="exact"/>
        <w:rPr>
          <w:sz w:val="20"/>
          <w:szCs w:val="20"/>
          <w:color w:val="auto"/>
        </w:rPr>
      </w:pPr>
    </w:p>
    <w:p>
      <w:pPr>
        <w:jc w:val="both"/>
        <w:ind w:left="8" w:firstLine="324"/>
        <w:spacing w:after="0" w:line="232" w:lineRule="auto"/>
        <w:rPr>
          <w:sz w:val="20"/>
          <w:szCs w:val="20"/>
          <w:color w:val="auto"/>
        </w:rPr>
      </w:pPr>
      <w:r>
        <w:rPr>
          <w:rFonts w:ascii="Arial" w:cs="Arial" w:eastAsia="Arial" w:hAnsi="Arial"/>
          <w:sz w:val="18"/>
          <w:szCs w:val="18"/>
          <w:color w:val="auto"/>
        </w:rPr>
        <w:t xml:space="preserve">Solely for convenience, the trademarks, service marks and trade names referred to in this prospectus are used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08"/>
          </w:cols>
          <w:pgMar w:left="752" w:top="679" w:right="7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6101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101715"/>
                    </a:xfrm>
                    <a:prstGeom prst="rect">
                      <a:avLst/>
                    </a:prstGeom>
                    <a:noFill/>
                  </pic:spPr>
                </pic:pic>
              </a:graphicData>
            </a:graphic>
          </wp:anchor>
        </w:drawing>
        <w:t>The Offering</w:t>
      </w:r>
    </w:p>
    <w:p>
      <w:pPr>
        <w:spacing w:after="0" w:line="33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ZoomInfo Technologies Inc.</w:t>
      </w:r>
    </w:p>
    <w:p>
      <w:pPr>
        <w:spacing w:after="0" w:line="185" w:lineRule="exact"/>
        <w:rPr>
          <w:sz w:val="20"/>
          <w:szCs w:val="20"/>
          <w:color w:val="auto"/>
        </w:rPr>
      </w:pPr>
    </w:p>
    <w:p>
      <w:pPr>
        <w:spacing w:after="0"/>
        <w:tabs>
          <w:tab w:leader="none" w:pos="4800" w:val="left"/>
          <w:tab w:leader="none" w:pos="7300" w:val="left"/>
        </w:tabs>
        <w:rPr>
          <w:sz w:val="20"/>
          <w:szCs w:val="20"/>
          <w:color w:val="auto"/>
        </w:rPr>
      </w:pPr>
      <w:r>
        <w:rPr>
          <w:rFonts w:ascii="Arial" w:cs="Arial" w:eastAsia="Arial" w:hAnsi="Arial"/>
          <w:sz w:val="18"/>
          <w:szCs w:val="18"/>
          <w:color w:val="auto"/>
        </w:rPr>
        <w:t>Class A common stock offered by ZoomInfo Technologies</w:t>
      </w:r>
      <w:r>
        <w:rPr>
          <w:sz w:val="20"/>
          <w:szCs w:val="20"/>
          <w:color w:val="auto"/>
        </w:rPr>
        <w:tab/>
      </w:r>
      <w:r>
        <w:rPr>
          <w:rFonts w:ascii="Arial" w:cs="Arial" w:eastAsia="Arial" w:hAnsi="Arial"/>
          <w:sz w:val="18"/>
          <w:szCs w:val="18"/>
          <w:color w:val="auto"/>
        </w:rPr>
        <w:t>shares (plus up to an additional</w:t>
      </w:r>
      <w:r>
        <w:rPr>
          <w:sz w:val="20"/>
          <w:szCs w:val="20"/>
          <w:color w:val="auto"/>
        </w:rPr>
        <w:tab/>
      </w:r>
      <w:r>
        <w:rPr>
          <w:rFonts w:ascii="Arial" w:cs="Arial" w:eastAsia="Arial" w:hAnsi="Arial"/>
          <w:sz w:val="16"/>
          <w:szCs w:val="16"/>
          <w:color w:val="auto"/>
        </w:rPr>
        <w:t>shares at the option of the underwriters to</w:t>
      </w:r>
    </w:p>
    <w:p>
      <w:pPr>
        <w:spacing w:after="0" w:line="23" w:lineRule="exact"/>
        <w:rPr>
          <w:sz w:val="20"/>
          <w:szCs w:val="20"/>
          <w:color w:val="auto"/>
        </w:rPr>
      </w:pPr>
    </w:p>
    <w:p>
      <w:pPr>
        <w:ind w:left="320"/>
        <w:spacing w:after="0"/>
        <w:tabs>
          <w:tab w:leader="none" w:pos="4560" w:val="left"/>
        </w:tabs>
        <w:rPr>
          <w:sz w:val="20"/>
          <w:szCs w:val="20"/>
          <w:color w:val="auto"/>
        </w:rPr>
      </w:pPr>
      <w:r>
        <w:rPr>
          <w:rFonts w:ascii="Arial" w:cs="Arial" w:eastAsia="Arial" w:hAnsi="Arial"/>
          <w:sz w:val="18"/>
          <w:szCs w:val="18"/>
          <w:color w:val="auto"/>
        </w:rPr>
        <w:t>Inc.</w:t>
      </w:r>
      <w:r>
        <w:rPr>
          <w:sz w:val="20"/>
          <w:szCs w:val="20"/>
          <w:color w:val="auto"/>
        </w:rPr>
        <w:tab/>
      </w:r>
      <w:r>
        <w:rPr>
          <w:rFonts w:ascii="Arial" w:cs="Arial" w:eastAsia="Arial" w:hAnsi="Arial"/>
          <w:sz w:val="18"/>
          <w:szCs w:val="18"/>
          <w:color w:val="auto"/>
        </w:rPr>
        <w:t>cover over-allotments).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 of Class A common We have granted the underwriters a 30-day option from the date of this</w:t>
      </w:r>
    </w:p>
    <w:p>
      <w:pPr>
        <w:spacing w:after="0" w:line="23" w:lineRule="exact"/>
        <w:rPr>
          <w:sz w:val="20"/>
          <w:szCs w:val="20"/>
          <w:color w:val="auto"/>
        </w:rPr>
      </w:pPr>
    </w:p>
    <w:p>
      <w:pPr>
        <w:ind w:left="4580" w:hanging="4259"/>
        <w:spacing w:after="0" w:line="261" w:lineRule="auto"/>
        <w:tabs>
          <w:tab w:leader="none" w:pos="4560" w:val="left"/>
        </w:tabs>
        <w:rPr>
          <w:sz w:val="20"/>
          <w:szCs w:val="20"/>
          <w:color w:val="auto"/>
        </w:rPr>
      </w:pPr>
      <w:r>
        <w:rPr>
          <w:rFonts w:ascii="Arial" w:cs="Arial" w:eastAsia="Arial" w:hAnsi="Arial"/>
          <w:sz w:val="18"/>
          <w:szCs w:val="18"/>
          <w:color w:val="auto"/>
        </w:rPr>
        <w:t>stock</w:t>
      </w:r>
      <w:r>
        <w:rPr>
          <w:sz w:val="20"/>
          <w:szCs w:val="20"/>
          <w:color w:val="auto"/>
        </w:rPr>
        <w:tab/>
      </w:r>
      <w:r>
        <w:rPr>
          <w:rFonts w:ascii="Arial" w:cs="Arial" w:eastAsia="Arial" w:hAnsi="Arial"/>
          <w:sz w:val="18"/>
          <w:szCs w:val="18"/>
          <w:color w:val="auto"/>
        </w:rPr>
        <w:t>prospectus to purchase up to additional shares of our Class A common stock at the initial public offering price, less the underwriting discount.</w:t>
      </w:r>
    </w:p>
    <w:p>
      <w:pPr>
        <w:sectPr>
          <w:pgSz w:w="11900" w:h="16838" w:orient="portrait"/>
          <w:cols w:equalWidth="0" w:num="1">
            <w:col w:w="10340"/>
          </w:cols>
          <w:pgMar w:left="780" w:top="675" w:right="779" w:bottom="1440" w:gutter="0" w:footer="0" w:header="0"/>
        </w:sectPr>
      </w:pPr>
    </w:p>
    <w:p>
      <w:pPr>
        <w:spacing w:after="0" w:line="143" w:lineRule="exact"/>
        <w:rPr>
          <w:sz w:val="20"/>
          <w:szCs w:val="20"/>
          <w:color w:val="auto"/>
        </w:rPr>
      </w:pPr>
    </w:p>
    <w:p>
      <w:pPr>
        <w:ind w:left="320" w:right="80" w:hanging="323"/>
        <w:spacing w:after="0" w:line="277" w:lineRule="auto"/>
        <w:rPr>
          <w:sz w:val="20"/>
          <w:szCs w:val="20"/>
          <w:color w:val="auto"/>
        </w:rPr>
      </w:pPr>
      <w:r>
        <w:rPr>
          <w:rFonts w:ascii="Arial" w:cs="Arial" w:eastAsia="Arial" w:hAnsi="Arial"/>
          <w:sz w:val="18"/>
          <w:szCs w:val="18"/>
          <w:color w:val="auto"/>
        </w:rPr>
        <w:t>Class A common stock outstanding after giving effect to this offering</w:t>
      </w:r>
    </w:p>
    <w:p>
      <w:pPr>
        <w:spacing w:after="0" w:line="130" w:lineRule="exact"/>
        <w:rPr>
          <w:sz w:val="20"/>
          <w:szCs w:val="20"/>
          <w:color w:val="auto"/>
        </w:rPr>
      </w:pPr>
    </w:p>
    <w:p>
      <w:pPr>
        <w:ind w:left="320" w:hanging="323"/>
        <w:spacing w:after="0" w:line="264" w:lineRule="auto"/>
        <w:rPr>
          <w:sz w:val="20"/>
          <w:szCs w:val="20"/>
          <w:color w:val="auto"/>
        </w:rPr>
      </w:pPr>
      <w:r>
        <w:rPr>
          <w:rFonts w:ascii="Arial" w:cs="Arial" w:eastAsia="Arial" w:hAnsi="Arial"/>
          <w:sz w:val="18"/>
          <w:szCs w:val="18"/>
          <w:color w:val="auto"/>
        </w:rPr>
        <w:t>Class A common stock outstanding after this offering assuming exchange of all LLC Units held by the Pre-IPO LLC Unitholders</w:t>
      </w:r>
    </w:p>
    <w:p>
      <w:pPr>
        <w:spacing w:after="0" w:line="141" w:lineRule="exact"/>
        <w:rPr>
          <w:sz w:val="20"/>
          <w:szCs w:val="20"/>
          <w:color w:val="auto"/>
        </w:rPr>
      </w:pPr>
    </w:p>
    <w:p>
      <w:pPr>
        <w:ind w:left="320" w:right="200" w:hanging="323"/>
        <w:spacing w:after="0" w:line="277" w:lineRule="auto"/>
        <w:rPr>
          <w:sz w:val="20"/>
          <w:szCs w:val="20"/>
          <w:color w:val="auto"/>
        </w:rPr>
      </w:pPr>
      <w:r>
        <w:rPr>
          <w:rFonts w:ascii="Arial" w:cs="Arial" w:eastAsia="Arial" w:hAnsi="Arial"/>
          <w:sz w:val="18"/>
          <w:szCs w:val="18"/>
          <w:color w:val="auto"/>
        </w:rPr>
        <w:t>Voting power held by investors in this offering after giving effect to this offering</w:t>
      </w:r>
    </w:p>
    <w:p>
      <w:pPr>
        <w:spacing w:after="0" w:line="130" w:lineRule="exact"/>
        <w:rPr>
          <w:sz w:val="20"/>
          <w:szCs w:val="20"/>
          <w:color w:val="auto"/>
        </w:rPr>
      </w:pPr>
    </w:p>
    <w:p>
      <w:pPr>
        <w:ind w:left="320" w:right="80" w:hanging="323"/>
        <w:spacing w:after="0" w:line="277" w:lineRule="auto"/>
        <w:rPr>
          <w:sz w:val="20"/>
          <w:szCs w:val="20"/>
          <w:color w:val="auto"/>
        </w:rPr>
      </w:pPr>
      <w:r>
        <w:rPr>
          <w:rFonts w:ascii="Arial" w:cs="Arial" w:eastAsia="Arial" w:hAnsi="Arial"/>
          <w:sz w:val="18"/>
          <w:szCs w:val="18"/>
          <w:color w:val="auto"/>
        </w:rPr>
        <w:t>Voting power held by our pre-IPO owners after giving effect to this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380"/>
              <w:spacing w:after="0"/>
              <w:rPr>
                <w:sz w:val="20"/>
                <w:szCs w:val="20"/>
                <w:color w:val="auto"/>
              </w:rPr>
            </w:pPr>
            <w:r>
              <w:rPr>
                <w:rFonts w:ascii="Arial" w:cs="Arial" w:eastAsia="Arial" w:hAnsi="Arial"/>
                <w:sz w:val="18"/>
                <w:szCs w:val="18"/>
                <w:color w:val="auto"/>
                <w:w w:val="88"/>
              </w:rPr>
              <w:t>shares (or</w:t>
            </w:r>
          </w:p>
        </w:tc>
        <w:tc>
          <w:tcPr>
            <w:tcW w:w="4640" w:type="dxa"/>
            <w:vAlign w:val="bottom"/>
          </w:tcPr>
          <w:p>
            <w:pPr>
              <w:jc w:val="right"/>
              <w:spacing w:after="0"/>
              <w:rPr>
                <w:sz w:val="20"/>
                <w:szCs w:val="20"/>
                <w:color w:val="auto"/>
              </w:rPr>
            </w:pPr>
            <w:r>
              <w:rPr>
                <w:rFonts w:ascii="Arial" w:cs="Arial" w:eastAsia="Arial" w:hAnsi="Arial"/>
                <w:sz w:val="18"/>
                <w:szCs w:val="18"/>
                <w:color w:val="auto"/>
              </w:rPr>
              <w:t>shares if the underwriters exercise in full their option to</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purchase additional shares of Class A common stock).</w:t>
            </w:r>
          </w:p>
        </w:tc>
      </w:tr>
      <w:tr>
        <w:trPr>
          <w:trHeight w:val="593"/>
        </w:trPr>
        <w:tc>
          <w:tcPr>
            <w:tcW w:w="1120" w:type="dxa"/>
            <w:vAlign w:val="bottom"/>
          </w:tcPr>
          <w:p>
            <w:pPr>
              <w:ind w:left="380"/>
              <w:spacing w:after="0"/>
              <w:rPr>
                <w:sz w:val="20"/>
                <w:szCs w:val="20"/>
                <w:color w:val="auto"/>
              </w:rPr>
            </w:pPr>
            <w:r>
              <w:rPr>
                <w:rFonts w:ascii="Arial" w:cs="Arial" w:eastAsia="Arial" w:hAnsi="Arial"/>
                <w:sz w:val="18"/>
                <w:szCs w:val="18"/>
                <w:color w:val="auto"/>
                <w:w w:val="88"/>
              </w:rPr>
              <w:t>shares (or</w:t>
            </w:r>
          </w:p>
        </w:tc>
        <w:tc>
          <w:tcPr>
            <w:tcW w:w="4640" w:type="dxa"/>
            <w:vAlign w:val="bottom"/>
          </w:tcPr>
          <w:p>
            <w:pPr>
              <w:jc w:val="right"/>
              <w:spacing w:after="0"/>
              <w:rPr>
                <w:sz w:val="20"/>
                <w:szCs w:val="20"/>
                <w:color w:val="auto"/>
              </w:rPr>
            </w:pPr>
            <w:r>
              <w:rPr>
                <w:rFonts w:ascii="Arial" w:cs="Arial" w:eastAsia="Arial" w:hAnsi="Arial"/>
                <w:sz w:val="18"/>
                <w:szCs w:val="18"/>
                <w:color w:val="auto"/>
              </w:rPr>
              <w:t>shares if the underwriters exercise in full their option to</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purchase additional shares of Class A common stock).</w:t>
            </w:r>
          </w:p>
        </w:tc>
      </w:tr>
      <w:tr>
        <w:trPr>
          <w:trHeight w:val="377"/>
        </w:trPr>
        <w:tc>
          <w:tcPr>
            <w:tcW w:w="1120" w:type="dxa"/>
            <w:vAlign w:val="bottom"/>
          </w:tcPr>
          <w:p>
            <w:pPr>
              <w:ind w:left="320"/>
              <w:spacing w:after="0"/>
              <w:rPr>
                <w:sz w:val="20"/>
                <w:szCs w:val="20"/>
                <w:color w:val="auto"/>
              </w:rPr>
            </w:pPr>
            <w:r>
              <w:rPr>
                <w:rFonts w:ascii="Arial" w:cs="Arial" w:eastAsia="Arial" w:hAnsi="Arial"/>
                <w:sz w:val="18"/>
                <w:szCs w:val="18"/>
                <w:color w:val="auto"/>
              </w:rPr>
              <w:t>% (or</w:t>
            </w:r>
          </w:p>
        </w:tc>
        <w:tc>
          <w:tcPr>
            <w:tcW w:w="4640" w:type="dxa"/>
            <w:vAlign w:val="bottom"/>
          </w:tcPr>
          <w:p>
            <w:pPr>
              <w:jc w:val="right"/>
              <w:spacing w:after="0"/>
              <w:rPr>
                <w:sz w:val="20"/>
                <w:szCs w:val="20"/>
                <w:color w:val="auto"/>
              </w:rPr>
            </w:pPr>
            <w:r>
              <w:rPr>
                <w:rFonts w:ascii="Arial" w:cs="Arial" w:eastAsia="Arial" w:hAnsi="Arial"/>
                <w:sz w:val="18"/>
                <w:szCs w:val="18"/>
                <w:color w:val="auto"/>
                <w:w w:val="97"/>
              </w:rPr>
              <w:t>% if the underwriters exercise in full their option to purchase</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additional shares of Class A common stock).</w:t>
            </w:r>
          </w:p>
        </w:tc>
      </w:tr>
      <w:tr>
        <w:trPr>
          <w:trHeight w:val="377"/>
        </w:trPr>
        <w:tc>
          <w:tcPr>
            <w:tcW w:w="1120" w:type="dxa"/>
            <w:vAlign w:val="bottom"/>
          </w:tcPr>
          <w:p>
            <w:pPr>
              <w:ind w:left="340"/>
              <w:spacing w:after="0"/>
              <w:rPr>
                <w:sz w:val="20"/>
                <w:szCs w:val="20"/>
                <w:color w:val="auto"/>
              </w:rPr>
            </w:pPr>
            <w:r>
              <w:rPr>
                <w:rFonts w:ascii="Arial" w:cs="Arial" w:eastAsia="Arial" w:hAnsi="Arial"/>
                <w:sz w:val="18"/>
                <w:szCs w:val="18"/>
                <w:color w:val="auto"/>
              </w:rPr>
              <w:t>% (or</w:t>
            </w:r>
          </w:p>
        </w:tc>
        <w:tc>
          <w:tcPr>
            <w:tcW w:w="4640" w:type="dxa"/>
            <w:vAlign w:val="bottom"/>
          </w:tcPr>
          <w:p>
            <w:pPr>
              <w:jc w:val="right"/>
              <w:spacing w:after="0"/>
              <w:rPr>
                <w:sz w:val="20"/>
                <w:szCs w:val="20"/>
                <w:color w:val="auto"/>
              </w:rPr>
            </w:pPr>
            <w:r>
              <w:rPr>
                <w:rFonts w:ascii="Arial" w:cs="Arial" w:eastAsia="Arial" w:hAnsi="Arial"/>
                <w:sz w:val="18"/>
                <w:szCs w:val="18"/>
                <w:color w:val="auto"/>
                <w:w w:val="97"/>
              </w:rPr>
              <w:t>% if the underwriters exercise in full their option to purchase</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additional shares of Class A common stock).</w:t>
            </w:r>
          </w:p>
        </w:tc>
      </w:tr>
    </w:tbl>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that the net proceeds to ZoomInfo Technologies Inc. from this offering, after deducting estimated underwriting discounts, will be approximately $ (or $ if the underwriters exercise in full their option to purchase additional shares of Class A common stock). ZoomInfo OpCo will reimburse ZoomInfo Technologies Inc. for or bear all of the expenses payable by it in this offering. We estimate these offering expenses (excluding underwriting discounts) will be approximately $ .</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ZoomInfo Technologies Inc. intends to use all of the net proceeds from this offering (including from any exercise by the underwriters of their option to purchase additional shares of Class A common stock) to purchase a number of newly issued LLC Units from ZoomInfo OpCo that is equivalent to the number of shares of Class A common stock that we offer and sell in this offering, as described under “Organizational Structure—Offering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 intends to cause ZoomInfo OpCo to use these</w:t>
      </w:r>
    </w:p>
    <w:p>
      <w:pPr>
        <w:spacing w:after="0" w:line="3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proceeds to</w:t>
      </w:r>
      <w:r>
        <w:rPr>
          <w:sz w:val="20"/>
          <w:szCs w:val="20"/>
          <w:color w:val="auto"/>
        </w:rPr>
        <w:tab/>
      </w:r>
      <w:r>
        <w:rPr>
          <w:rFonts w:ascii="Arial" w:cs="Arial" w:eastAsia="Arial" w:hAnsi="Arial"/>
          <w:sz w:val="16"/>
          <w:szCs w:val="16"/>
          <w:color w:val="auto"/>
        </w:rPr>
        <w:t>. See “Use of Proceeds.”</w:t>
      </w:r>
    </w:p>
    <w:p>
      <w:pPr>
        <w:spacing w:after="0" w:line="200" w:lineRule="exact"/>
        <w:rPr>
          <w:sz w:val="20"/>
          <w:szCs w:val="20"/>
          <w:color w:val="auto"/>
        </w:rPr>
      </w:pPr>
    </w:p>
    <w:p>
      <w:pPr>
        <w:sectPr>
          <w:pgSz w:w="11900" w:h="16838" w:orient="portrait"/>
          <w:cols w:equalWidth="0" w:num="2">
            <w:col w:w="4440" w:space="140"/>
            <w:col w:w="5760"/>
          </w:cols>
          <w:pgMar w:left="780" w:top="675"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340"/>
          </w:cols>
          <w:pgMar w:left="780" w:top="675" w:right="77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Voting rights</w:t>
            </w: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3"/>
              </w:rPr>
              <w:t>Each share of our Class A common stock entitles its holder to one vote on all</w:t>
            </w:r>
          </w:p>
        </w:tc>
      </w:tr>
      <w:tr>
        <w:trPr>
          <w:trHeight w:val="230"/>
        </w:trPr>
        <w:tc>
          <w:tcPr>
            <w:tcW w:w="2880" w:type="dxa"/>
            <w:vAlign w:val="bottom"/>
          </w:tcPr>
          <w:p>
            <w:pPr>
              <w:spacing w:after="0"/>
              <w:rPr>
                <w:sz w:val="20"/>
                <w:szCs w:val="20"/>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rPr>
              <w:t>matters to be voted on by stockholders generally.</w:t>
            </w:r>
          </w:p>
        </w:tc>
      </w:tr>
      <w:tr>
        <w:trPr>
          <w:trHeight w:val="364"/>
        </w:trPr>
        <w:tc>
          <w:tcPr>
            <w:tcW w:w="2880" w:type="dxa"/>
            <w:vAlign w:val="bottom"/>
          </w:tcPr>
          <w:p>
            <w:pPr>
              <w:spacing w:after="0"/>
              <w:rPr>
                <w:sz w:val="24"/>
                <w:szCs w:val="24"/>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8"/>
              </w:rPr>
              <w:t>The Pre-IPO LLC Unitholders will hold all of the outstanding shares of our</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7"/>
              </w:rPr>
              <w:t>Class B common stock. The shares of Class B common stock will have no</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5"/>
              </w:rPr>
              <w:t>economic rights but will entitle each holder, without regard to the number of</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0"/>
              </w:rPr>
              <w:t>shares of Class B common stock held by such holder, to a number of votes that</w:t>
            </w:r>
          </w:p>
        </w:tc>
      </w:tr>
      <w:tr>
        <w:trPr>
          <w:trHeight w:val="216"/>
        </w:trPr>
        <w:tc>
          <w:tcPr>
            <w:tcW w:w="2880" w:type="dxa"/>
            <w:vAlign w:val="bottom"/>
          </w:tcPr>
          <w:p>
            <w:pPr>
              <w:spacing w:after="0"/>
              <w:rPr>
                <w:sz w:val="18"/>
                <w:szCs w:val="18"/>
                <w:color w:val="auto"/>
              </w:rPr>
            </w:pPr>
          </w:p>
        </w:tc>
        <w:tc>
          <w:tcPr>
            <w:tcW w:w="2820" w:type="dxa"/>
            <w:vAlign w:val="bottom"/>
          </w:tcPr>
          <w:p>
            <w:pPr>
              <w:ind w:left="1700"/>
              <w:spacing w:after="0"/>
              <w:rPr>
                <w:sz w:val="20"/>
                <w:szCs w:val="20"/>
                <w:color w:val="auto"/>
              </w:rPr>
            </w:pPr>
            <w:r>
              <w:rPr>
                <w:rFonts w:ascii="Arial" w:cs="Arial" w:eastAsia="Arial" w:hAnsi="Arial"/>
                <w:sz w:val="18"/>
                <w:szCs w:val="18"/>
                <w:color w:val="auto"/>
              </w:rPr>
              <w:t>is equal to</w:t>
            </w:r>
          </w:p>
        </w:tc>
        <w:tc>
          <w:tcPr>
            <w:tcW w:w="4640" w:type="dxa"/>
            <w:vAlign w:val="bottom"/>
          </w:tcPr>
          <w:p>
            <w:pPr>
              <w:ind w:left="360"/>
              <w:spacing w:after="0"/>
              <w:rPr>
                <w:sz w:val="20"/>
                <w:szCs w:val="20"/>
                <w:color w:val="auto"/>
              </w:rPr>
            </w:pPr>
            <w:r>
              <w:rPr>
                <w:rFonts w:ascii="Arial" w:cs="Arial" w:eastAsia="Arial" w:hAnsi="Arial"/>
                <w:sz w:val="18"/>
                <w:szCs w:val="18"/>
                <w:color w:val="auto"/>
                <w:w w:val="91"/>
              </w:rPr>
              <w:t>the aggregate number of LLC Units held by such holder on</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1"/>
              </w:rPr>
              <w:t>all matters on which stockholders of ZoomInfo Technologies Inc. are entitled to</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rPr>
              <w:t>vote generally. Holders of shares of our Class B common stock will vote</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7"/>
              </w:rPr>
              <w:t>together with holders of our Class A common stock as a single class on all</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rPr>
              <w:t>matters on which stockholders are entitled to vote generally, except as</w:t>
            </w:r>
          </w:p>
        </w:tc>
      </w:tr>
      <w:tr>
        <w:trPr>
          <w:trHeight w:val="216"/>
        </w:trPr>
        <w:tc>
          <w:tcPr>
            <w:tcW w:w="2880" w:type="dxa"/>
            <w:vAlign w:val="bottom"/>
          </w:tcPr>
          <w:p>
            <w:pPr>
              <w:spacing w:after="0"/>
              <w:rPr>
                <w:sz w:val="18"/>
                <w:szCs w:val="18"/>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2"/>
              </w:rPr>
              <w:t>otherwise required by law. See “Description of Capital Stock—Common Stock</w:t>
            </w:r>
          </w:p>
        </w:tc>
      </w:tr>
      <w:tr>
        <w:trPr>
          <w:trHeight w:val="230"/>
        </w:trPr>
        <w:tc>
          <w:tcPr>
            <w:tcW w:w="2880" w:type="dxa"/>
            <w:vAlign w:val="bottom"/>
          </w:tcPr>
          <w:p>
            <w:pPr>
              <w:spacing w:after="0"/>
              <w:rPr>
                <w:sz w:val="20"/>
                <w:szCs w:val="20"/>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rPr>
              <w:t>—Class B Common Stock.”</w:t>
            </w:r>
          </w:p>
        </w:tc>
      </w:tr>
      <w:tr>
        <w:trPr>
          <w:trHeight w:val="377"/>
        </w:trPr>
        <w:tc>
          <w:tcPr>
            <w:tcW w:w="2880" w:type="dxa"/>
            <w:vAlign w:val="bottom"/>
          </w:tcPr>
          <w:p>
            <w:pPr>
              <w:spacing w:after="0"/>
              <w:rPr>
                <w:sz w:val="20"/>
                <w:szCs w:val="20"/>
                <w:color w:val="auto"/>
              </w:rPr>
            </w:pPr>
            <w:r>
              <w:rPr>
                <w:rFonts w:ascii="Arial" w:cs="Arial" w:eastAsia="Arial" w:hAnsi="Arial"/>
                <w:sz w:val="18"/>
                <w:szCs w:val="18"/>
                <w:color w:val="auto"/>
              </w:rPr>
              <w:t>Dividend policy</w:t>
            </w: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1"/>
              </w:rPr>
              <w:t>We have no current plans to pay dividends on our Class A common stock. The</w:t>
            </w:r>
          </w:p>
        </w:tc>
      </w:tr>
      <w:tr>
        <w:trPr>
          <w:trHeight w:val="230"/>
        </w:trPr>
        <w:tc>
          <w:tcPr>
            <w:tcW w:w="2880" w:type="dxa"/>
            <w:vAlign w:val="bottom"/>
          </w:tcPr>
          <w:p>
            <w:pPr>
              <w:spacing w:after="0"/>
              <w:rPr>
                <w:sz w:val="20"/>
                <w:szCs w:val="20"/>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w w:val="95"/>
              </w:rPr>
              <w:t>declaration, amount, and payment of any future dividends will be at the sole</w:t>
            </w:r>
          </w:p>
        </w:tc>
      </w:tr>
    </w:tbl>
    <w:p>
      <w:pPr>
        <w:jc w:val="both"/>
        <w:ind w:left="45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5346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46700"/>
                    </a:xfrm>
                    <a:prstGeom prst="rect">
                      <a:avLst/>
                    </a:prstGeom>
                    <a:noFill/>
                  </pic:spPr>
                </pic:pic>
              </a:graphicData>
            </a:graphic>
          </wp:anchor>
        </w:drawing>
        <w:t>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OpCo) to us, and such other factors as our board of directors may deem relevant. Holders of our Class B common stock do not have any right to receive dividends or to receive a distribution upon a liquidation, dissolution, or winding up of ZoomInfo Technologies Inc.</w:t>
      </w:r>
    </w:p>
    <w:p>
      <w:pPr>
        <w:spacing w:after="0" w:line="166" w:lineRule="exact"/>
        <w:rPr>
          <w:sz w:val="20"/>
          <w:szCs w:val="20"/>
          <w:color w:val="auto"/>
        </w:rPr>
      </w:pPr>
    </w:p>
    <w:p>
      <w:pPr>
        <w:jc w:val="both"/>
        <w:ind w:left="4580"/>
        <w:spacing w:after="0" w:line="272" w:lineRule="auto"/>
        <w:rPr>
          <w:sz w:val="20"/>
          <w:szCs w:val="20"/>
          <w:color w:val="auto"/>
        </w:rPr>
      </w:pPr>
      <w:r>
        <w:rPr>
          <w:rFonts w:ascii="Arial" w:cs="Arial" w:eastAsia="Arial" w:hAnsi="Arial"/>
          <w:sz w:val="17"/>
          <w:szCs w:val="17"/>
          <w:color w:val="auto"/>
        </w:rPr>
        <w:t>ZoomInfo Technologies Inc. is a holding company and has no material assets other than a controlling equity interest in ZoomInfo OpCo. We intend to cause ZoomInfo OpCo to make distributions to us in an amount sufficient to cover our taxes and obligations under the tax receivable agreement, as well as any cash dividends declared by us. If ZoomInfo OpCo makes such distributions to ZoomInfo Technologies Inc., the other holders of LLC Units will be entitled to receive equivalent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40"/>
          </w:cols>
          <w:pgMar w:left="780" w:top="841" w:right="7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9"/>
              </w:rPr>
              <w:t>The limited liability company agreement of ZoomInfo OpCo that will be in</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6"/>
              </w:rPr>
              <w:t>effect at the time of this offering provides that pro rata cash distributions be</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rPr>
              <w:t>made to holders of LLC Units (including ZoomInfo Technologies Inc.) at</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rPr>
              <w:t>certain assumed tax rates, which we refer to as “tax distributions.” We</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0"/>
              </w:rPr>
              <w:t>anticipate that amounts received by ZoomInfo Technologies Inc. may, in certain</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6"/>
              </w:rPr>
              <w:t>periods,  exceed  ZoomInfo  Technologies  Inc.’s  actual  tax  liabilities  and</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2"/>
              </w:rPr>
              <w:t>obligations to make payments under the tax receivable agreement. We expect</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5"/>
              </w:rPr>
              <w:t>that ZoomInfo Technologies Inc. will use any such excess cash from time to</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5"/>
              </w:rPr>
              <w:t>time to acquire additional newly issued LLC Units from ZoomInfo OpCo at a</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9"/>
              </w:rPr>
              <w:t>per unit price determined by reference to the market value of the Class A</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4"/>
              </w:rPr>
              <w:t>common stock; to pay dividends, which may include special dividends, on its</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4"/>
              </w:rPr>
              <w:t>Class A common stock; to fund repurchases of its Class A common stock; or</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2"/>
              </w:rPr>
              <w:t>any combination of the foregoing. Our board of directors, in its sole discretion,</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3"/>
              </w:rPr>
              <w:t>will make any determination with respect to the use of any such excess cash.</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5"/>
              </w:rPr>
              <w:t>We also expect, if necessary, to undertake ameliorative actions, which may</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1"/>
              </w:rPr>
              <w:t>include pro rata or non-pro rata reclassifications, combinations, subdivisions, or</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1"/>
              </w:rPr>
              <w:t>adjustments of outstanding LLC Units, or declare a stock dividend on our Class</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0"/>
              </w:rPr>
              <w:t>A common stock of an aggregate number of additional newly issued shares that</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rPr>
              <w:t>corresponds  to  the  number  of  additional  LLC  Units  that  ZoomInfo</w:t>
            </w:r>
          </w:p>
        </w:tc>
      </w:tr>
      <w:tr>
        <w:trPr>
          <w:trHeight w:val="216"/>
        </w:trPr>
        <w:tc>
          <w:tcPr>
            <w:tcW w:w="3760" w:type="dxa"/>
            <w:vAlign w:val="bottom"/>
          </w:tcPr>
          <w:p>
            <w:pPr>
              <w:spacing w:after="0"/>
              <w:rPr>
                <w:sz w:val="18"/>
                <w:szCs w:val="18"/>
                <w:color w:val="auto"/>
              </w:rPr>
            </w:pPr>
          </w:p>
        </w:tc>
        <w:tc>
          <w:tcPr>
            <w:tcW w:w="3980" w:type="dxa"/>
            <w:vAlign w:val="bottom"/>
            <w:gridSpan w:val="2"/>
          </w:tcPr>
          <w:p>
            <w:pPr>
              <w:ind w:left="820"/>
              <w:spacing w:after="0"/>
              <w:rPr>
                <w:sz w:val="20"/>
                <w:szCs w:val="20"/>
                <w:color w:val="auto"/>
              </w:rPr>
            </w:pPr>
            <w:r>
              <w:rPr>
                <w:rFonts w:ascii="Arial" w:cs="Arial" w:eastAsia="Arial" w:hAnsi="Arial"/>
                <w:sz w:val="18"/>
                <w:szCs w:val="18"/>
                <w:color w:val="auto"/>
                <w:w w:val="93"/>
              </w:rPr>
              <w:t>Technologies Inc. is acquiring, to maintain</w:t>
            </w:r>
          </w:p>
        </w:tc>
        <w:tc>
          <w:tcPr>
            <w:tcW w:w="2600" w:type="dxa"/>
            <w:vAlign w:val="bottom"/>
          </w:tcPr>
          <w:p>
            <w:pPr>
              <w:jc w:val="right"/>
              <w:spacing w:after="0"/>
              <w:rPr>
                <w:sz w:val="20"/>
                <w:szCs w:val="20"/>
                <w:color w:val="auto"/>
              </w:rPr>
            </w:pPr>
            <w:r>
              <w:rPr>
                <w:rFonts w:ascii="Arial" w:cs="Arial" w:eastAsia="Arial" w:hAnsi="Arial"/>
                <w:sz w:val="18"/>
                <w:szCs w:val="18"/>
                <w:color w:val="auto"/>
              </w:rPr>
              <w:t>parity between LLC Units</w:t>
            </w:r>
          </w:p>
        </w:tc>
      </w:tr>
      <w:tr>
        <w:trPr>
          <w:trHeight w:val="230"/>
        </w:trPr>
        <w:tc>
          <w:tcPr>
            <w:tcW w:w="3760" w:type="dxa"/>
            <w:vAlign w:val="bottom"/>
          </w:tcPr>
          <w:p>
            <w:pPr>
              <w:spacing w:after="0"/>
              <w:rPr>
                <w:sz w:val="20"/>
                <w:szCs w:val="20"/>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rPr>
              <w:t>and shares of Class A common stock. See “Dividend Policy.”</w:t>
            </w:r>
          </w:p>
        </w:tc>
      </w:tr>
      <w:tr>
        <w:trPr>
          <w:trHeight w:val="377"/>
        </w:trPr>
        <w:tc>
          <w:tcPr>
            <w:tcW w:w="3760" w:type="dxa"/>
            <w:vAlign w:val="bottom"/>
          </w:tcPr>
          <w:p>
            <w:pPr>
              <w:spacing w:after="0"/>
              <w:rPr>
                <w:sz w:val="20"/>
                <w:szCs w:val="20"/>
                <w:color w:val="auto"/>
              </w:rPr>
            </w:pPr>
            <w:r>
              <w:rPr>
                <w:rFonts w:ascii="Arial" w:cs="Arial" w:eastAsia="Arial" w:hAnsi="Arial"/>
                <w:sz w:val="18"/>
                <w:szCs w:val="18"/>
                <w:color w:val="auto"/>
              </w:rPr>
              <w:t>Exchange rights of holders of LLC Units</w:t>
            </w: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4"/>
              </w:rPr>
              <w:t>Prior to this offering, we will enter into an exchange agreement with the Pre-</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7"/>
              </w:rPr>
              <w:t>IPO LLC Unitholders so that they may, after the completion of this offering</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0"/>
              </w:rPr>
              <w:t>(subject to the terms of the exchange agreement), exchange their LLC Units for</w:t>
            </w:r>
          </w:p>
        </w:tc>
      </w:tr>
      <w:tr>
        <w:trPr>
          <w:trHeight w:val="216"/>
        </w:trPr>
        <w:tc>
          <w:tcPr>
            <w:tcW w:w="376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w w:val="88"/>
              </w:rPr>
              <w:t>shares</w:t>
            </w:r>
          </w:p>
        </w:tc>
        <w:tc>
          <w:tcPr>
            <w:tcW w:w="2660" w:type="dxa"/>
            <w:vAlign w:val="bottom"/>
          </w:tcPr>
          <w:p>
            <w:pPr>
              <w:ind w:left="80"/>
              <w:spacing w:after="0"/>
              <w:rPr>
                <w:sz w:val="20"/>
                <w:szCs w:val="20"/>
                <w:color w:val="auto"/>
              </w:rPr>
            </w:pPr>
            <w:r>
              <w:rPr>
                <w:rFonts w:ascii="Arial" w:cs="Arial" w:eastAsia="Arial" w:hAnsi="Arial"/>
                <w:sz w:val="18"/>
                <w:szCs w:val="18"/>
                <w:color w:val="auto"/>
              </w:rPr>
              <w:t>of  Class  A  common  stock  of</w:t>
            </w:r>
          </w:p>
        </w:tc>
        <w:tc>
          <w:tcPr>
            <w:tcW w:w="2600" w:type="dxa"/>
            <w:vAlign w:val="bottom"/>
          </w:tcPr>
          <w:p>
            <w:pPr>
              <w:jc w:val="right"/>
              <w:spacing w:after="0"/>
              <w:rPr>
                <w:sz w:val="20"/>
                <w:szCs w:val="20"/>
                <w:color w:val="auto"/>
              </w:rPr>
            </w:pPr>
            <w:r>
              <w:rPr>
                <w:rFonts w:ascii="Arial" w:cs="Arial" w:eastAsia="Arial" w:hAnsi="Arial"/>
                <w:sz w:val="18"/>
                <w:szCs w:val="18"/>
                <w:color w:val="auto"/>
                <w:w w:val="98"/>
              </w:rPr>
              <w:t>ZoomInfo  Technologies  Inc.  on</w:t>
            </w:r>
          </w:p>
        </w:tc>
      </w:tr>
      <w:tr>
        <w:trPr>
          <w:trHeight w:val="216"/>
        </w:trPr>
        <w:tc>
          <w:tcPr>
            <w:tcW w:w="376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rPr>
              <w:t>a</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w w:val="91"/>
              </w:rPr>
              <w:t>basis, subject to customary conversion rate adjustments for stock splits,</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2"/>
              </w:rPr>
              <w:t>stock dividends, and reclassifications. See “Certain Relationships and Related</w:t>
            </w:r>
          </w:p>
        </w:tc>
      </w:tr>
      <w:tr>
        <w:trPr>
          <w:trHeight w:val="230"/>
        </w:trPr>
        <w:tc>
          <w:tcPr>
            <w:tcW w:w="3760" w:type="dxa"/>
            <w:vAlign w:val="bottom"/>
          </w:tcPr>
          <w:p>
            <w:pPr>
              <w:spacing w:after="0"/>
              <w:rPr>
                <w:sz w:val="20"/>
                <w:szCs w:val="20"/>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rPr>
              <w:t>Person Transactions—Exchange Agreement.”</w:t>
            </w:r>
          </w:p>
        </w:tc>
      </w:tr>
      <w:tr>
        <w:trPr>
          <w:trHeight w:val="377"/>
        </w:trPr>
        <w:tc>
          <w:tcPr>
            <w:tcW w:w="376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rPr>
              <w:t>Prior to the completion of this offering, we will enter into a tax receivable</w:t>
            </w:r>
          </w:p>
        </w:tc>
      </w:tr>
      <w:tr>
        <w:trPr>
          <w:trHeight w:val="216"/>
        </w:trPr>
        <w:tc>
          <w:tcPr>
            <w:tcW w:w="3760" w:type="dxa"/>
            <w:vAlign w:val="bottom"/>
          </w:tcPr>
          <w:p>
            <w:pPr>
              <w:spacing w:after="0"/>
              <w:rPr>
                <w:sz w:val="18"/>
                <w:szCs w:val="18"/>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1"/>
              </w:rPr>
              <w:t>agreement with our pre-IPO owners that provides for the payment by ZoomInfo</w:t>
            </w:r>
          </w:p>
        </w:tc>
      </w:tr>
      <w:tr>
        <w:trPr>
          <w:trHeight w:val="230"/>
        </w:trPr>
        <w:tc>
          <w:tcPr>
            <w:tcW w:w="3760" w:type="dxa"/>
            <w:vAlign w:val="bottom"/>
          </w:tcPr>
          <w:p>
            <w:pPr>
              <w:spacing w:after="0"/>
              <w:rPr>
                <w:sz w:val="20"/>
                <w:szCs w:val="20"/>
                <w:color w:val="auto"/>
              </w:rPr>
            </w:pPr>
          </w:p>
        </w:tc>
        <w:tc>
          <w:tcPr>
            <w:tcW w:w="6580" w:type="dxa"/>
            <w:vAlign w:val="bottom"/>
            <w:gridSpan w:val="3"/>
          </w:tcPr>
          <w:p>
            <w:pPr>
              <w:ind w:left="820"/>
              <w:spacing w:after="0"/>
              <w:rPr>
                <w:sz w:val="20"/>
                <w:szCs w:val="20"/>
                <w:color w:val="auto"/>
              </w:rPr>
            </w:pPr>
            <w:r>
              <w:rPr>
                <w:rFonts w:ascii="Arial" w:cs="Arial" w:eastAsia="Arial" w:hAnsi="Arial"/>
                <w:sz w:val="18"/>
                <w:szCs w:val="18"/>
                <w:color w:val="auto"/>
                <w:w w:val="94"/>
              </w:rPr>
              <w:t>Technologies Inc. to such pre-IPO owners of 85% of the benefits, if any, that</w:t>
            </w:r>
          </w:p>
        </w:tc>
      </w:tr>
    </w:tbl>
    <w:p>
      <w:pPr>
        <w:jc w:val="both"/>
        <w:ind w:left="45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802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8022590"/>
                    </a:xfrm>
                    <a:prstGeom prst="rect">
                      <a:avLst/>
                    </a:prstGeom>
                    <a:noFill/>
                  </pic:spPr>
                </pic:pic>
              </a:graphicData>
            </a:graphic>
          </wp:anchor>
        </w:drawing>
        <w:t>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Actual tax benefits realized by ZoomInfo Technologies Inc.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ZoomInfo Technologies Inc. and not of ZoomInfo OpCo. See “Certain Relationships and Related Person Transactions—Tax Receivable Agreement.”</w:t>
      </w:r>
    </w:p>
    <w:p>
      <w:pPr>
        <w:sectPr>
          <w:pgSz w:w="11900" w:h="16838" w:orient="portrait"/>
          <w:cols w:equalWidth="0" w:num="1">
            <w:col w:w="10340"/>
          </w:cols>
          <w:pgMar w:left="780" w:top="84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340"/>
          </w:cols>
          <w:pgMar w:left="780" w:top="841" w:right="779" w:bottom="144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1" w:lineRule="exact"/>
        <w:rPr>
          <w:sz w:val="20"/>
          <w:szCs w:val="20"/>
          <w:color w:val="auto"/>
        </w:rPr>
      </w:pPr>
    </w:p>
    <w:p>
      <w:pPr>
        <w:ind w:left="240" w:hanging="215"/>
        <w:spacing w:after="0" w:line="277" w:lineRule="auto"/>
        <w:rPr>
          <w:sz w:val="20"/>
          <w:szCs w:val="20"/>
          <w:color w:val="auto"/>
        </w:rPr>
      </w:pPr>
      <w:r>
        <w:rPr>
          <w:rFonts w:ascii="Arial" w:cs="Arial" w:eastAsia="Arial" w:hAnsi="Arial"/>
          <w:sz w:val="18"/>
          <w:szCs w:val="18"/>
          <w:color w:val="auto"/>
        </w:rPr>
        <w:t>Certain U.S. federal income and estate tax consequences to non-U.S. holders</w:t>
      </w:r>
    </w:p>
    <w:p>
      <w:pPr>
        <w:spacing w:after="0" w:line="3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trading symbol</w:t>
      </w:r>
    </w:p>
    <w:p>
      <w:pPr>
        <w:spacing w:after="0" w:line="20" w:lineRule="exact"/>
        <w:rPr>
          <w:sz w:val="20"/>
          <w:szCs w:val="20"/>
          <w:color w:val="auto"/>
        </w:rPr>
      </w:pPr>
      <w:r>
        <w:rPr>
          <w:sz w:val="20"/>
          <w:szCs w:val="20"/>
          <w:color w:val="auto"/>
        </w:rPr>
        <w:br w:type="column"/>
      </w:r>
    </w:p>
    <w:p>
      <w:pPr>
        <w:jc w:val="both"/>
        <w:ind w:right="40"/>
        <w:spacing w:after="0" w:line="277" w:lineRule="auto"/>
        <w:rPr>
          <w:sz w:val="20"/>
          <w:szCs w:val="20"/>
          <w:color w:val="auto"/>
        </w:rPr>
      </w:pPr>
      <w:r>
        <w:rPr>
          <w:rFonts w:ascii="Arial" w:cs="Arial" w:eastAsia="Arial" w:hAnsi="Arial"/>
          <w:sz w:val="18"/>
          <w:szCs w:val="18"/>
          <w:color w:val="auto"/>
        </w:rPr>
        <w:t>See “Risk Factors” for a discussion of risks you should carefully consider before deciding to invest in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-690245</wp:posOffset>
            </wp:positionV>
            <wp:extent cx="7250430" cy="3442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442970"/>
                    </a:xfrm>
                    <a:prstGeom prst="rect">
                      <a:avLst/>
                    </a:prstGeom>
                    <a:noFill/>
                  </pic:spPr>
                </pic:pic>
              </a:graphicData>
            </a:graphic>
          </wp:anchor>
        </w:drawing>
      </w:r>
    </w:p>
    <w:p>
      <w:pPr>
        <w:spacing w:after="0" w:line="1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a discussion of certain U.S. federal income and estate tax consequences that may be relevant to non-U.S. stockholders, see “Certain U.S. Federal Income and Estate Tax Consequences to Non-U.S. 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280" w:space="320"/>
            <w:col w:w="5800"/>
          </w:cols>
          <w:pgMar w:left="760" w:top="962" w:right="739" w:bottom="1440" w:gutter="0" w:footer="0" w:header="0"/>
        </w:sectPr>
      </w:pPr>
    </w:p>
    <w:p>
      <w:pPr>
        <w:spacing w:after="0" w:line="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this prospectus, unless otherwise indicated, the number of shares of Class A common stock outstanding and the other information based thereon does not reflect:</w:t>
      </w:r>
    </w:p>
    <w:p>
      <w:pPr>
        <w:spacing w:after="0" w:line="116" w:lineRule="exact"/>
        <w:rPr>
          <w:sz w:val="20"/>
          <w:szCs w:val="20"/>
          <w:color w:val="auto"/>
        </w:rPr>
      </w:pPr>
    </w:p>
    <w:p>
      <w:pPr>
        <w:ind w:left="320"/>
        <w:spacing w:after="0"/>
        <w:tabs>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shares of Class A common stock issuable upon exercise of the underwriters’ option to purchase additional shares of</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Class A common stock from us;</w:t>
      </w:r>
    </w:p>
    <w:p>
      <w:pPr>
        <w:spacing w:after="0" w:line="157" w:lineRule="exact"/>
        <w:rPr>
          <w:sz w:val="20"/>
          <w:szCs w:val="20"/>
          <w:color w:val="auto"/>
        </w:rPr>
      </w:pPr>
    </w:p>
    <w:p>
      <w:pPr>
        <w:ind w:left="320"/>
        <w:spacing w:after="0"/>
        <w:tabs>
          <w:tab w:leader="none" w:pos="1540" w:val="left"/>
          <w:tab w:leader="none" w:pos="6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exchange of</w:t>
      </w:r>
      <w:r>
        <w:rPr>
          <w:sz w:val="20"/>
          <w:szCs w:val="20"/>
          <w:color w:val="auto"/>
        </w:rPr>
        <w:tab/>
      </w:r>
      <w:r>
        <w:rPr>
          <w:rFonts w:ascii="Arial" w:cs="Arial" w:eastAsia="Arial" w:hAnsi="Arial"/>
          <w:sz w:val="17"/>
          <w:szCs w:val="17"/>
          <w:color w:val="auto"/>
        </w:rPr>
        <w:t>LLC Units that will be held by the Pre-IPO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Unitholders immediately following this offering; or</w:t>
      </w:r>
    </w:p>
    <w:p>
      <w:pPr>
        <w:spacing w:after="0" w:line="157" w:lineRule="exact"/>
        <w:rPr>
          <w:sz w:val="20"/>
          <w:szCs w:val="20"/>
          <w:color w:val="auto"/>
        </w:rPr>
      </w:pPr>
    </w:p>
    <w:p>
      <w:pPr>
        <w:ind w:left="320"/>
        <w:spacing w:after="0"/>
        <w:tabs>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shares of Class A common stock that may be granted under our 2020 Stock Incentive Plan (the “Omnibus Incentive</w:t>
      </w:r>
    </w:p>
    <w:p>
      <w:pPr>
        <w:spacing w:after="0" w:line="46" w:lineRule="exact"/>
        <w:rPr>
          <w:sz w:val="20"/>
          <w:szCs w:val="20"/>
          <w:color w:val="auto"/>
        </w:rPr>
      </w:pPr>
    </w:p>
    <w:p>
      <w:pPr>
        <w:ind w:left="640" w:right="20"/>
        <w:spacing w:after="0" w:line="261" w:lineRule="auto"/>
        <w:rPr>
          <w:sz w:val="20"/>
          <w:szCs w:val="20"/>
          <w:color w:val="auto"/>
        </w:rPr>
      </w:pPr>
      <w:r>
        <w:rPr>
          <w:rFonts w:ascii="Arial" w:cs="Arial" w:eastAsia="Arial" w:hAnsi="Arial"/>
          <w:sz w:val="18"/>
          <w:szCs w:val="18"/>
          <w:color w:val="auto"/>
        </w:rPr>
        <w:t>Plan”). See “Executive Compensation—Compensation Arrangements to be Adopted in Connection with this Offering—2020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00"/>
          </w:cols>
          <w:pgMar w:left="760" w:top="962" w:right="7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63074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t>Summary Historical and Pro Forma Financial and Other Data</w:t>
      </w:r>
    </w:p>
    <w:p>
      <w:pPr>
        <w:spacing w:after="0" w:line="17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following table presents the summary historical consolidated financial and other data for ZoomInfo OpCo and its subsidiaries and the summary pro forma combined and consolidated financial data for ZoomInfo Technologies Inc. for the periods and at the dates indicated. 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of ZoomInfo OpCo and, through ZoomInfo OpCo and its subsidiaries, conduct our business. 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on its consolidated financial statements and record a non-controlling interest related to the LLC Units held by our Pre-IPO LLC Unitholders on its consolidated balance sheet and statement of operations. The summary consolidated statements of operations data and summary consolidated statements of cash flows data presented below for the year ended December 31, 2018 and the summary consolidated balance sheet data presented below as of December 31, 2018 have been derived from the consolidated financial statements of ZoomInfo OpCo included elsewhere in this prospectus. The summary consolidated financial information of ZoomInfo OpCo as of September 30, 2019 and for the nine months ended September 30, 2018 and 2019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summary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 in this section.</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our unaudited consolidated financial statements and related notes thereto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summary unaudited pro forma combined and consolidated financial data of ZoomInfo Technologies Inc. presented below has been derived from our unaudited pro forma combined and consolidated financial statements included elsewhere in this prospectus. The summary</w:t>
      </w:r>
    </w:p>
    <w:p>
      <w:pPr>
        <w:jc w:val="both"/>
        <w:spacing w:after="0" w:line="265" w:lineRule="auto"/>
        <w:rPr>
          <w:sz w:val="20"/>
          <w:szCs w:val="20"/>
          <w:color w:val="auto"/>
        </w:rPr>
      </w:pPr>
      <w:r>
        <w:rPr>
          <w:rFonts w:ascii="Arial" w:cs="Arial" w:eastAsia="Arial" w:hAnsi="Arial"/>
          <w:sz w:val="17"/>
          <w:szCs w:val="17"/>
          <w:color w:val="auto"/>
        </w:rPr>
        <w:t>unaudited pro forma combined and consolidated statement of operations data for the year ended , gives effect to (i) the acquisition of Pre-Acquisition ZI by ZoomInfo OpCo on February 1, 2019 (the “Zoom Information Acquisition”), (ii) the Reorganization Transactions and</w:t>
      </w:r>
    </w:p>
    <w:p>
      <w:pPr>
        <w:jc w:val="both"/>
        <w:spacing w:after="0" w:line="250" w:lineRule="auto"/>
        <w:rPr>
          <w:sz w:val="20"/>
          <w:szCs w:val="20"/>
          <w:color w:val="auto"/>
        </w:rPr>
      </w:pPr>
      <w:r>
        <w:rPr>
          <w:rFonts w:ascii="Arial" w:cs="Arial" w:eastAsia="Arial" w:hAnsi="Arial"/>
          <w:sz w:val="18"/>
          <w:szCs w:val="18"/>
          <w:color w:val="auto"/>
        </w:rPr>
        <w:t>(iii) the Offering Transactions as if they had occurred on , . The summary unaudited pro forma consolidated balance sheet data as of , gives effect to (i) the Reorganization Transactions and (ii) the Offering Transactions as if they had occurred on , .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summary unaudited combined and consolidated pro forma financial information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00"/>
          </w:cols>
          <w:pgMar w:left="760" w:top="675" w:right="7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ZoomInfo OpCo</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ZoomInfo</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5"/>
              </w:rPr>
              <w:t>(DiscoverOrg Holdings, LLC)</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Technologies Inc.</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4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6"/>
              </w:rPr>
              <w:t>Year Ended December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Summary Statements of Operations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144.3</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20"/>
                <w:szCs w:val="20"/>
                <w:color w:val="auto"/>
              </w:rPr>
            </w:pPr>
          </w:p>
        </w:tc>
        <w:tc>
          <w:tcPr>
            <w:tcW w:w="1420" w:type="dxa"/>
            <w:vAlign w:val="bottom"/>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Amortization of acquired technology</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106.5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133.2</w:t>
            </w:r>
          </w:p>
        </w:tc>
        <w:tc>
          <w:tcPr>
            <w:tcW w:w="12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16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58.2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debt extinguishment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(income) expense, net</w:t>
            </w:r>
            <w:r>
              <w:rPr>
                <w:rFonts w:ascii="Arial" w:cs="Arial" w:eastAsia="Arial" w:hAnsi="Arial"/>
                <w:sz w:val="21"/>
                <w:szCs w:val="21"/>
                <w:color w:val="auto"/>
                <w:vertAlign w:val="superscript"/>
              </w:rPr>
              <w:t>(3)</w:t>
            </w: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from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Less: Net loss attributable to non-controlling interests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ZoomInfo Technologies Inc.</w:t>
            </w:r>
          </w:p>
        </w:tc>
        <w:tc>
          <w:tcPr>
            <w:tcW w:w="9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Pro forma:</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and per share information (unaudited)</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Basic and diluted net loss per share</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Weighted average shares outstanding - basic and diluted</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Summary Balance Sheet Data (at period end):</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1420" w:type="dxa"/>
            <w:vAlign w:val="bottom"/>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591.0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1,506.2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633.7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1,206.7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705.8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1,519.7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Members’ deficit</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(114.8)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Summary Statements of Cash Flows Data:</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(725.2)</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727.9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r>
              <w:rPr>
                <w:rFonts w:ascii="Arial" w:cs="Arial" w:eastAsia="Arial" w:hAnsi="Arial"/>
                <w:sz w:val="21"/>
                <w:szCs w:val="21"/>
                <w:b w:val="1"/>
                <w:bCs w:val="1"/>
                <w:color w:val="auto"/>
                <w:vertAlign w:val="superscript"/>
              </w:rPr>
              <w:t>(4)</w:t>
            </w:r>
            <w:r>
              <w:rPr>
                <w:rFonts w:ascii="Arial" w:cs="Arial" w:eastAsia="Arial" w:hAnsi="Arial"/>
                <w:sz w:val="16"/>
                <w:szCs w:val="16"/>
                <w:b w:val="1"/>
                <w:bCs w:val="1"/>
                <w:color w:val="auto"/>
              </w:rPr>
              <w:t>:</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Allocated Combined Receipts</w:t>
            </w:r>
            <w:r>
              <w:rPr>
                <w:rFonts w:ascii="Arial" w:cs="Arial" w:eastAsia="Arial" w:hAnsi="Arial"/>
                <w:sz w:val="21"/>
                <w:szCs w:val="21"/>
                <w:color w:val="auto"/>
                <w:vertAlign w:val="superscript"/>
              </w:rPr>
              <w:t>(5)</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240.7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239.3</w:t>
            </w:r>
          </w:p>
        </w:tc>
        <w:tc>
          <w:tcPr>
            <w:tcW w:w="120" w:type="dxa"/>
            <w:vAlign w:val="bottom"/>
          </w:tcPr>
          <w:p>
            <w:pPr>
              <w:spacing w:after="0"/>
              <w:rPr>
                <w:sz w:val="23"/>
                <w:szCs w:val="23"/>
                <w:color w:val="auto"/>
              </w:rPr>
            </w:pPr>
          </w:p>
        </w:tc>
        <w:tc>
          <w:tcPr>
            <w:tcW w:w="1420" w:type="dxa"/>
            <w:vAlign w:val="bottom"/>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Operating Income</w:t>
            </w:r>
            <w:r>
              <w:rPr>
                <w:rFonts w:ascii="Arial" w:cs="Arial" w:eastAsia="Arial" w:hAnsi="Arial"/>
                <w:sz w:val="21"/>
                <w:szCs w:val="21"/>
                <w:color w:val="auto"/>
                <w:vertAlign w:val="superscript"/>
              </w:rPr>
              <w:t>(6)</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Adjusted Operating Income Margin</w:t>
            </w:r>
            <w:r>
              <w:rPr>
                <w:rFonts w:ascii="Arial" w:cs="Arial" w:eastAsia="Arial" w:hAnsi="Arial"/>
                <w:sz w:val="21"/>
                <w:szCs w:val="21"/>
                <w:color w:val="auto"/>
                <w:vertAlign w:val="superscript"/>
              </w:rPr>
              <w:t>(7)</w:t>
            </w:r>
          </w:p>
        </w:tc>
        <w:tc>
          <w:tcPr>
            <w:tcW w:w="9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(8)</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41"/>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line="155" w:lineRule="exact"/>
              <w:rPr>
                <w:sz w:val="20"/>
                <w:szCs w:val="20"/>
                <w:color w:val="auto"/>
              </w:rPr>
            </w:pPr>
            <w:r>
              <w:rPr>
                <w:rFonts w:ascii="Arial" w:cs="Arial" w:eastAsia="Arial" w:hAnsi="Arial"/>
                <w:sz w:val="14"/>
                <w:szCs w:val="14"/>
                <w:color w:val="auto"/>
              </w:rPr>
              <w:t>__________________</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28"/>
        <w:spacing w:after="0" w:line="255"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8957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8957310"/>
                    </a:xfrm>
                    <a:prstGeom prst="rect">
                      <a:avLst/>
                    </a:prstGeom>
                    <a:noFill/>
                  </pic:spPr>
                </pic:pic>
              </a:graphicData>
            </a:graphic>
          </wp:anchor>
        </w:drawing>
        <w:t>Historical results of ZoomInfo OpCo for the year ended December 31, 2018, the nine months ended September 30, 2018, and the nine months ended September 30, 2019 do not reflect the results of Pre-Acquisition ZI prior to the Zoom Information Acquisition on February 1, 2019.</w:t>
      </w:r>
    </w:p>
    <w:p>
      <w:pPr>
        <w:sectPr>
          <w:pgSz w:w="11900" w:h="16838" w:orient="portrait"/>
          <w:cols w:equalWidth="0" w:num="1">
            <w:col w:w="10400"/>
          </w:cols>
          <w:pgMar w:left="740" w:top="82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400"/>
          </w:cols>
          <w:pgMar w:left="740" w:top="820" w:right="759" w:bottom="1440" w:gutter="0" w:footer="0" w:header="0"/>
          <w:type w:val="continuous"/>
        </w:sectPr>
      </w:pPr>
    </w:p>
    <w:bookmarkStart w:id="23" w:name="page24"/>
    <w:bookmarkEnd w:id="23"/>
    <w:tbl>
      <w:tblPr>
        <w:tblLayout w:type="fixed"/>
        <w:tblInd w:w="328"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21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December 31, 2018</w:t>
            </w:r>
          </w:p>
        </w:tc>
        <w:tc>
          <w:tcPr>
            <w:tcW w:w="140" w:type="dxa"/>
            <w:vAlign w:val="bottom"/>
          </w:tcPr>
          <w:p>
            <w:pPr>
              <w:spacing w:after="0"/>
              <w:rPr>
                <w:sz w:val="16"/>
                <w:szCs w:val="16"/>
                <w:color w:val="auto"/>
              </w:rPr>
            </w:pPr>
          </w:p>
        </w:tc>
        <w:tc>
          <w:tcPr>
            <w:tcW w:w="21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September 30, 2019</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ZoomInfo OpCo</w:t>
            </w: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ZoomInfo OpCo</w:t>
            </w:r>
          </w:p>
        </w:tc>
        <w:tc>
          <w:tcPr>
            <w:tcW w:w="8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(DiscoverOrg</w:t>
            </w: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Pre-Acquisition ZI</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(DiscoverOrg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Pre-Acquisition ZI</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192"/>
        </w:trPr>
        <w:tc>
          <w:tcPr>
            <w:tcW w:w="3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Holdings, LLC)</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Holdings, LLC)</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203.0</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390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5"/>
        </w:trPr>
        <w:tc>
          <w:tcPr>
            <w:tcW w:w="3900" w:type="dxa"/>
            <w:vAlign w:val="bottom"/>
          </w:tcPr>
          <w:p>
            <w:pPr>
              <w:spacing w:after="0" w:line="155" w:lineRule="exact"/>
              <w:rPr>
                <w:sz w:val="20"/>
                <w:szCs w:val="20"/>
                <w:color w:val="auto"/>
              </w:rPr>
            </w:pPr>
            <w:r>
              <w:rPr>
                <w:rFonts w:ascii="Arial" w:cs="Arial" w:eastAsia="Arial" w:hAnsi="Arial"/>
                <w:sz w:val="14"/>
                <w:szCs w:val="14"/>
                <w:color w:val="auto"/>
              </w:rPr>
              <w:t>______________</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48" w:hanging="324"/>
        <w:spacing w:after="0"/>
        <w:tabs>
          <w:tab w:leader="none" w:pos="648" w:val="left"/>
        </w:tabs>
        <w:numPr>
          <w:ilvl w:val="1"/>
          <w:numId w:val="2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6041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t>Reflects January 2019 results for Pre-Acquisition ZI.</w:t>
      </w:r>
    </w:p>
    <w:p>
      <w:pPr>
        <w:spacing w:after="0" w:line="151" w:lineRule="exact"/>
        <w:rPr>
          <w:rFonts w:ascii="Arial" w:cs="Arial" w:eastAsia="Arial" w:hAnsi="Arial"/>
          <w:sz w:val="14"/>
          <w:szCs w:val="14"/>
          <w:color w:val="auto"/>
        </w:rPr>
      </w:pPr>
    </w:p>
    <w:p>
      <w:pPr>
        <w:ind w:left="328" w:hanging="328"/>
        <w:spacing w:after="0"/>
        <w:tabs>
          <w:tab w:leader="none" w:pos="328"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47" w:lineRule="exact"/>
        <w:rPr>
          <w:sz w:val="20"/>
          <w:szCs w:val="20"/>
          <w:color w:val="auto"/>
        </w:rPr>
      </w:pPr>
    </w:p>
    <w:tbl>
      <w:tblPr>
        <w:tblLayout w:type="fixed"/>
        <w:tblInd w:w="328"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27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28" w:hanging="328"/>
        <w:spacing w:after="0"/>
        <w:tabs>
          <w:tab w:leader="none" w:pos="328"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63" w:lineRule="exact"/>
        <w:rPr>
          <w:rFonts w:ascii="Arial" w:cs="Arial" w:eastAsia="Arial" w:hAnsi="Arial"/>
          <w:sz w:val="14"/>
          <w:szCs w:val="14"/>
          <w:color w:val="auto"/>
        </w:rPr>
      </w:pPr>
    </w:p>
    <w:p>
      <w:pPr>
        <w:jc w:val="both"/>
        <w:ind w:left="328" w:right="20" w:hanging="328"/>
        <w:spacing w:after="0" w:line="247" w:lineRule="auto"/>
        <w:tabs>
          <w:tab w:leader="none" w:pos="328"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40" w:lineRule="exact"/>
        <w:rPr>
          <w:rFonts w:ascii="Arial" w:cs="Arial" w:eastAsia="Arial" w:hAnsi="Arial"/>
          <w:sz w:val="14"/>
          <w:szCs w:val="14"/>
          <w:color w:val="auto"/>
        </w:rPr>
      </w:pPr>
    </w:p>
    <w:p>
      <w:pPr>
        <w:jc w:val="both"/>
        <w:ind w:left="328"/>
        <w:spacing w:after="0" w:line="247" w:lineRule="auto"/>
        <w:rPr>
          <w:rFonts w:ascii="Arial" w:cs="Arial" w:eastAsia="Arial" w:hAnsi="Arial"/>
          <w:sz w:val="14"/>
          <w:szCs w:val="14"/>
          <w:color w:val="auto"/>
        </w:rPr>
      </w:pPr>
      <w:r>
        <w:rPr>
          <w:rFonts w:ascii="Arial" w:cs="Arial" w:eastAsia="Arial" w:hAnsi="Arial"/>
          <w:sz w:val="14"/>
          <w:szCs w:val="14"/>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0" w:lineRule="exact"/>
        <w:rPr>
          <w:rFonts w:ascii="Arial" w:cs="Arial" w:eastAsia="Arial" w:hAnsi="Arial"/>
          <w:sz w:val="14"/>
          <w:szCs w:val="14"/>
          <w:color w:val="auto"/>
        </w:rPr>
      </w:pPr>
    </w:p>
    <w:p>
      <w:pPr>
        <w:jc w:val="both"/>
        <w:ind w:left="328" w:hanging="328"/>
        <w:spacing w:after="0" w:line="245" w:lineRule="auto"/>
        <w:tabs>
          <w:tab w:leader="none" w:pos="328"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08"/>
          </w:cols>
          <w:pgMar w:left="752" w:top="820" w:right="739" w:bottom="1440" w:gutter="0" w:footer="0" w:header="0"/>
        </w:sectPr>
      </w:pPr>
    </w:p>
    <w:bookmarkStart w:id="24" w:name="page25"/>
    <w:bookmarkEnd w:id="24"/>
    <w:p>
      <w:pPr>
        <w:ind w:left="32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4823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823460"/>
                    </a:xfrm>
                    <a:prstGeom prst="rect">
                      <a:avLst/>
                    </a:prstGeom>
                    <a:noFill/>
                  </pic:spPr>
                </pic:pic>
              </a:graphicData>
            </a:graphic>
          </wp:anchor>
        </w:drawing>
        <w:t>The following table presents a reconciliation of Allocated Combined Receipts for the periods presented:</w:t>
      </w:r>
    </w:p>
    <w:p>
      <w:pPr>
        <w:spacing w:after="0" w:line="147" w:lineRule="exact"/>
        <w:rPr>
          <w:sz w:val="20"/>
          <w:szCs w:val="20"/>
          <w:color w:val="auto"/>
        </w:rPr>
      </w:pPr>
    </w:p>
    <w:tbl>
      <w:tblPr>
        <w:tblLayout w:type="fixed"/>
        <w:tblInd w:w="328"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27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740" w:type="dxa"/>
            <w:vAlign w:val="bottom"/>
            <w:gridSpan w:val="5"/>
            <w:vMerge w:val="continue"/>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880" w:type="dxa"/>
            <w:vAlign w:val="bottom"/>
          </w:tcPr>
          <w:p>
            <w:pPr>
              <w:ind w:left="180"/>
              <w:spacing w:after="0" w:line="157" w:lineRule="exact"/>
              <w:rPr>
                <w:sz w:val="20"/>
                <w:szCs w:val="20"/>
                <w:color w:val="auto"/>
              </w:rPr>
            </w:pPr>
            <w:r>
              <w:rPr>
                <w:rFonts w:ascii="Arial" w:cs="Arial" w:eastAsia="Arial" w:hAnsi="Arial"/>
                <w:sz w:val="14"/>
                <w:szCs w:val="14"/>
                <w:color w:val="auto"/>
              </w:rPr>
              <w:t>Impact of fair value adjustments to acquired unearned</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(a)</w:t>
            </w:r>
          </w:p>
        </w:tc>
        <w:tc>
          <w:tcPr>
            <w:tcW w:w="18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Pre-Acquisition ZI revenue</w:t>
            </w:r>
            <w:r>
              <w:rPr>
                <w:rFonts w:ascii="Arial" w:cs="Arial" w:eastAsia="Arial" w:hAnsi="Arial"/>
                <w:sz w:val="8"/>
                <w:szCs w:val="8"/>
                <w:color w:val="auto"/>
              </w:rPr>
              <w:t>(b)</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80" w:type="dxa"/>
            <w:vAlign w:val="bottom"/>
          </w:tcPr>
          <w:p>
            <w:pPr>
              <w:ind w:left="180"/>
              <w:spacing w:after="0" w:line="157" w:lineRule="exact"/>
              <w:rPr>
                <w:sz w:val="20"/>
                <w:szCs w:val="20"/>
                <w:color w:val="auto"/>
              </w:rPr>
            </w:pPr>
            <w:r>
              <w:rPr>
                <w:rFonts w:ascii="Arial" w:cs="Arial" w:eastAsia="Arial" w:hAnsi="Arial"/>
                <w:sz w:val="14"/>
                <w:szCs w:val="14"/>
                <w:color w:val="auto"/>
                <w:w w:val="94"/>
              </w:rPr>
              <w:t>Impact of fair value adjustments to acquired unearned revenue</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340"/>
              <w:spacing w:after="0"/>
              <w:rPr>
                <w:sz w:val="20"/>
                <w:szCs w:val="20"/>
                <w:color w:val="auto"/>
              </w:rPr>
            </w:pPr>
            <w:r>
              <w:rPr>
                <w:rFonts w:ascii="Arial" w:cs="Arial" w:eastAsia="Arial" w:hAnsi="Arial"/>
                <w:sz w:val="14"/>
                <w:szCs w:val="14"/>
                <w:color w:val="auto"/>
              </w:rPr>
              <w:t>recorded by Pre-Acquisition ZI</w:t>
            </w:r>
            <w:r>
              <w:rPr>
                <w:rFonts w:ascii="Arial" w:cs="Arial" w:eastAsia="Arial" w:hAnsi="Arial"/>
                <w:sz w:val="8"/>
                <w:szCs w:val="8"/>
                <w:color w:val="auto"/>
              </w:rPr>
              <w:t>(c)</w:t>
            </w:r>
          </w:p>
        </w:tc>
        <w:tc>
          <w:tcPr>
            <w:tcW w:w="18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Pre-acquisition revenue of other acquired companies</w:t>
            </w:r>
            <w:r>
              <w:rPr>
                <w:rFonts w:ascii="Arial" w:cs="Arial" w:eastAsia="Arial" w:hAnsi="Arial"/>
                <w:sz w:val="8"/>
                <w:szCs w:val="8"/>
                <w:color w:val="auto"/>
              </w:rPr>
              <w:t>(d)</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Allocated Combined Receipts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240.7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172.6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239.3</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Growth</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648" w:right="20" w:hanging="324"/>
        <w:spacing w:after="0" w:line="241" w:lineRule="auto"/>
        <w:tabs>
          <w:tab w:leader="none" w:pos="6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648" w:hanging="324"/>
        <w:spacing w:after="0"/>
        <w:tabs>
          <w:tab w:leader="none" w:pos="6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648" w:right="20" w:hanging="324"/>
        <w:spacing w:after="0" w:line="260" w:lineRule="auto"/>
        <w:tabs>
          <w:tab w:leader="none" w:pos="648" w:val="left"/>
        </w:tabs>
        <w:numPr>
          <w:ilvl w:val="1"/>
          <w:numId w:val="23"/>
        </w:numPr>
        <w:rPr>
          <w:rFonts w:ascii="Arial" w:cs="Arial" w:eastAsia="Arial" w:hAnsi="Arial"/>
          <w:sz w:val="13"/>
          <w:szCs w:val="13"/>
          <w:color w:val="auto"/>
        </w:rPr>
      </w:pPr>
      <w:r>
        <w:rPr>
          <w:rFonts w:ascii="Arial" w:cs="Arial" w:eastAsia="Arial" w:hAnsi="Arial"/>
          <w:sz w:val="13"/>
          <w:szCs w:val="13"/>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648" w:hanging="324"/>
        <w:spacing w:after="0" w:line="255" w:lineRule="auto"/>
        <w:tabs>
          <w:tab w:leader="none" w:pos="6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Figures include revenue recognized by these entities for the periods presented prior to their respective acquisitions.</w:t>
      </w:r>
    </w:p>
    <w:p>
      <w:pPr>
        <w:spacing w:after="0" w:line="132" w:lineRule="exact"/>
        <w:rPr>
          <w:rFonts w:ascii="Arial" w:cs="Arial" w:eastAsia="Arial" w:hAnsi="Arial"/>
          <w:sz w:val="14"/>
          <w:szCs w:val="14"/>
          <w:color w:val="auto"/>
        </w:rPr>
      </w:pPr>
    </w:p>
    <w:p>
      <w:pPr>
        <w:jc w:val="both"/>
        <w:ind w:left="328" w:right="20" w:hanging="328"/>
        <w:spacing w:after="0" w:line="266" w:lineRule="auto"/>
        <w:tabs>
          <w:tab w:leader="none" w:pos="328"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 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29" w:lineRule="exact"/>
        <w:rPr>
          <w:rFonts w:ascii="Arial" w:cs="Arial" w:eastAsia="Arial" w:hAnsi="Arial"/>
          <w:sz w:val="13"/>
          <w:szCs w:val="13"/>
          <w:color w:val="auto"/>
        </w:rPr>
      </w:pPr>
    </w:p>
    <w:p>
      <w:pPr>
        <w:ind w:left="328" w:right="20" w:hanging="328"/>
        <w:spacing w:after="0" w:line="273" w:lineRule="auto"/>
        <w:tabs>
          <w:tab w:leader="none" w:pos="328"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define Adjusted Operating Income Margin as Adjusted Operating Income divided by the sum of revenue and impacts of fair value adjustments to acquired unearned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08"/>
          </w:cols>
          <w:pgMar w:left="752" w:top="674" w:right="739" w:bottom="1440" w:gutter="0" w:footer="0" w:header="0"/>
        </w:sectPr>
      </w:pPr>
    </w:p>
    <w:bookmarkStart w:id="25" w:name="page26"/>
    <w:bookmarkEnd w:id="25"/>
    <w:tbl>
      <w:tblPr>
        <w:tblLayout w:type="fixed"/>
        <w:tblInd w:w="328"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40" w:type="dxa"/>
            <w:vAlign w:val="bottom"/>
          </w:tcPr>
          <w:p>
            <w:pPr>
              <w:ind w:left="180"/>
              <w:spacing w:after="0"/>
              <w:rPr>
                <w:sz w:val="20"/>
                <w:szCs w:val="20"/>
                <w:color w:val="auto"/>
              </w:rPr>
            </w:pPr>
            <w:r>
              <w:rPr>
                <w:rFonts w:ascii="Arial" w:cs="Arial" w:eastAsia="Arial" w:hAnsi="Arial"/>
                <w:sz w:val="14"/>
                <w:szCs w:val="14"/>
                <w:color w:val="auto"/>
              </w:rPr>
              <w:t>Provision for taxes</w:t>
            </w:r>
          </w:p>
        </w:tc>
        <w:tc>
          <w:tcPr>
            <w:tcW w:w="2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80"/>
              <w:spacing w:after="0"/>
              <w:rPr>
                <w:sz w:val="20"/>
                <w:szCs w:val="20"/>
                <w:color w:val="auto"/>
              </w:rPr>
            </w:pPr>
            <w:r>
              <w:rPr>
                <w:rFonts w:ascii="Arial" w:cs="Arial" w:eastAsia="Arial" w:hAnsi="Arial"/>
                <w:sz w:val="14"/>
                <w:szCs w:val="14"/>
                <w:color w:val="auto"/>
              </w:rPr>
              <w:t>Loss on debt extinguishment</w:t>
            </w:r>
          </w:p>
        </w:tc>
        <w:tc>
          <w:tcPr>
            <w:tcW w:w="20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Income from operations</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Impacts of fair value adjustments to acquired unearned</w:t>
            </w: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80"/>
              <w:spacing w:after="0"/>
              <w:rPr>
                <w:sz w:val="20"/>
                <w:szCs w:val="20"/>
                <w:color w:val="auto"/>
              </w:rPr>
            </w:pPr>
            <w:r>
              <w:rPr>
                <w:rFonts w:ascii="Arial" w:cs="Arial" w:eastAsia="Arial" w:hAnsi="Arial"/>
                <w:sz w:val="14"/>
                <w:szCs w:val="14"/>
                <w:color w:val="auto"/>
              </w:rPr>
              <w:t>Amortization of acquired technology</w:t>
            </w:r>
          </w:p>
        </w:tc>
        <w:tc>
          <w:tcPr>
            <w:tcW w:w="20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other acquired intangibles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18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Integration costs and acquisition-related compensation</w:t>
            </w:r>
            <w:r>
              <w:rPr>
                <w:rFonts w:ascii="Arial" w:cs="Arial" w:eastAsia="Arial" w:hAnsi="Arial"/>
                <w:sz w:val="8"/>
                <w:szCs w:val="8"/>
                <w:color w:val="auto"/>
              </w:rPr>
              <w:t>(d)</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Pr>
          <w:p>
            <w:pPr>
              <w:ind w:left="180"/>
              <w:spacing w:after="0"/>
              <w:rPr>
                <w:sz w:val="20"/>
                <w:szCs w:val="20"/>
                <w:color w:val="auto"/>
              </w:rPr>
            </w:pPr>
            <w:r>
              <w:rPr>
                <w:rFonts w:ascii="Arial" w:cs="Arial" w:eastAsia="Arial" w:hAnsi="Arial"/>
                <w:sz w:val="14"/>
                <w:szCs w:val="14"/>
                <w:i w:val="1"/>
                <w:iCs w:val="1"/>
                <w:color w:val="auto"/>
              </w:rPr>
              <w:t>Adjusted Operating Income Margin</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20"/>
                <w:szCs w:val="20"/>
                <w:color w:val="auto"/>
              </w:rPr>
            </w:pPr>
            <w:r>
              <w:rPr>
                <w:rFonts w:ascii="Arial" w:cs="Arial" w:eastAsia="Arial" w:hAnsi="Arial"/>
                <w:sz w:val="14"/>
                <w:szCs w:val="14"/>
                <w:color w:val="auto"/>
              </w:rPr>
              <w:t>__________________</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48" w:hanging="324"/>
        <w:spacing w:after="0"/>
        <w:tabs>
          <w:tab w:leader="none" w:pos="648" w:val="left"/>
        </w:tabs>
        <w:numPr>
          <w:ilvl w:val="1"/>
          <w:numId w:val="2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5981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t>Primarily represents foreign exchange remeasurement gains and losses.</w:t>
      </w:r>
    </w:p>
    <w:p>
      <w:pPr>
        <w:spacing w:after="0" w:line="1" w:lineRule="exact"/>
        <w:rPr>
          <w:rFonts w:ascii="Arial" w:cs="Arial" w:eastAsia="Arial" w:hAnsi="Arial"/>
          <w:sz w:val="14"/>
          <w:szCs w:val="14"/>
          <w:color w:val="auto"/>
        </w:rPr>
      </w:pPr>
    </w:p>
    <w:p>
      <w:pPr>
        <w:jc w:val="both"/>
        <w:ind w:left="648" w:hanging="324"/>
        <w:spacing w:after="0" w:line="241" w:lineRule="auto"/>
        <w:tabs>
          <w:tab w:leader="none" w:pos="648"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648" w:right="20" w:hanging="324"/>
        <w:spacing w:after="0" w:line="241" w:lineRule="auto"/>
        <w:tabs>
          <w:tab w:leader="none" w:pos="648"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648" w:hanging="324"/>
        <w:spacing w:after="0" w:line="244" w:lineRule="auto"/>
        <w:tabs>
          <w:tab w:leader="none" w:pos="648"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2018, these expenses related primarily to retention awards related to our acquisition of RainKing and transaction bonuses related to Carlyle’s investment in us.</w:t>
      </w:r>
    </w:p>
    <w:p>
      <w:pPr>
        <w:spacing w:after="0" w:line="140" w:lineRule="exact"/>
        <w:rPr>
          <w:rFonts w:ascii="Arial" w:cs="Arial" w:eastAsia="Arial" w:hAnsi="Arial"/>
          <w:sz w:val="14"/>
          <w:szCs w:val="14"/>
          <w:color w:val="auto"/>
        </w:rPr>
      </w:pPr>
    </w:p>
    <w:p>
      <w:pPr>
        <w:jc w:val="both"/>
        <w:ind w:left="328" w:hanging="328"/>
        <w:spacing w:after="0" w:line="267" w:lineRule="auto"/>
        <w:tabs>
          <w:tab w:leader="none" w:pos="328" w:val="left"/>
        </w:tabs>
        <w:numPr>
          <w:ilvl w:val="0"/>
          <w:numId w:val="26"/>
        </w:numPr>
        <w:rPr>
          <w:rFonts w:ascii="Arial" w:cs="Arial" w:eastAsia="Arial" w:hAnsi="Arial"/>
          <w:sz w:val="13"/>
          <w:szCs w:val="13"/>
          <w:color w:val="auto"/>
        </w:rPr>
      </w:pPr>
      <w:r>
        <w:rPr>
          <w:rFonts w:ascii="Arial" w:cs="Arial" w:eastAsia="Arial" w:hAnsi="Arial"/>
          <w:sz w:val="13"/>
          <w:szCs w:val="13"/>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 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08"/>
          </w:cols>
          <w:pgMar w:left="752" w:top="820" w:right="739" w:bottom="1440" w:gutter="0" w:footer="0" w:header="0"/>
        </w:sectPr>
      </w:pPr>
    </w:p>
    <w:bookmarkStart w:id="26" w:name="page27"/>
    <w:bookmarkEnd w:id="26"/>
    <w:p>
      <w:pPr>
        <w:ind w:left="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5149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5149850"/>
                    </a:xfrm>
                    <a:prstGeom prst="rect">
                      <a:avLst/>
                    </a:prstGeom>
                    <a:noFill/>
                  </pic:spPr>
                </pic:pic>
              </a:graphicData>
            </a:graphic>
          </wp:anchor>
        </w:drawing>
        <w:t>The following table presents a reconciliation of net loss to Adjusted EBITDA for the periods presented:</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27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34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debt extinguishment</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40"/>
              <w:spacing w:after="0"/>
              <w:rPr>
                <w:sz w:val="20"/>
                <w:szCs w:val="20"/>
                <w:color w:val="auto"/>
              </w:rPr>
            </w:pPr>
            <w:r>
              <w:rPr>
                <w:rFonts w:ascii="Arial" w:cs="Arial" w:eastAsia="Arial" w:hAnsi="Arial"/>
                <w:sz w:val="14"/>
                <w:szCs w:val="14"/>
                <w:color w:val="auto"/>
              </w:rPr>
              <w:t>Provision for taxes</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20"/>
              <w:spacing w:after="0"/>
              <w:rPr>
                <w:sz w:val="20"/>
                <w:szCs w:val="20"/>
                <w:color w:val="auto"/>
              </w:rPr>
            </w:pPr>
            <w:r>
              <w:rPr>
                <w:rFonts w:ascii="Arial" w:cs="Arial" w:eastAsia="Arial" w:hAnsi="Arial"/>
                <w:sz w:val="14"/>
                <w:szCs w:val="14"/>
                <w:color w:val="auto"/>
              </w:rPr>
              <w:t>Amortization of acquired technology</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Amortization of other acquired intangibles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20"/>
              <w:spacing w:after="0"/>
              <w:rPr>
                <w:sz w:val="20"/>
                <w:szCs w:val="20"/>
                <w:color w:val="auto"/>
              </w:rPr>
            </w:pPr>
            <w:r>
              <w:rPr>
                <w:rFonts w:ascii="Arial" w:cs="Arial" w:eastAsia="Arial" w:hAnsi="Arial"/>
                <w:sz w:val="14"/>
                <w:szCs w:val="14"/>
                <w:color w:val="auto"/>
              </w:rPr>
              <w:t>EBITDA</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340"/>
              <w:spacing w:after="0" w:line="157" w:lineRule="exact"/>
              <w:rPr>
                <w:sz w:val="20"/>
                <w:szCs w:val="20"/>
                <w:color w:val="auto"/>
              </w:rPr>
            </w:pPr>
            <w:r>
              <w:rPr>
                <w:rFonts w:ascii="Arial" w:cs="Arial" w:eastAsia="Arial" w:hAnsi="Arial"/>
                <w:sz w:val="14"/>
                <w:szCs w:val="14"/>
                <w:color w:val="auto"/>
              </w:rPr>
              <w:t>Impact of fair value adjustments to acquired unearned</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50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20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Equity-based compensation</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4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Integration costs and acquisition-related compensation</w:t>
            </w:r>
            <w:r>
              <w:rPr>
                <w:rFonts w:ascii="Arial" w:cs="Arial" w:eastAsia="Arial" w:hAnsi="Arial"/>
                <w:sz w:val="8"/>
                <w:szCs w:val="8"/>
                <w:color w:val="auto"/>
              </w:rPr>
              <w:t>(d)</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4" w:hanging="324"/>
        <w:spacing w:after="0"/>
        <w:tabs>
          <w:tab w:leader="none" w:pos="3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24" w:hanging="324"/>
        <w:spacing w:after="0" w:line="241" w:lineRule="auto"/>
        <w:tabs>
          <w:tab w:leader="none" w:pos="3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its acquisition.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24" w:right="20" w:hanging="324"/>
        <w:spacing w:after="0" w:line="241" w:lineRule="auto"/>
        <w:tabs>
          <w:tab w:leader="none" w:pos="3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324" w:hanging="324"/>
        <w:spacing w:after="0" w:line="244" w:lineRule="auto"/>
        <w:tabs>
          <w:tab w:leader="none" w:pos="3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2018, these expenses related primarily to retention awards related to our acquisition of RainKing and transaction bonuses related to Carlyle’s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84"/>
          </w:cols>
          <w:pgMar w:left="1076" w:top="674" w:right="7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Companies in related industries, such as CRM, business software, or advertising, including Salesforce.com, Oracle, Google, or Microsoft/ 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Since the enactment of CCPA, new privacy and data security laws have been proposed in more than half of the states in the United States and in the U.S. Congress, reflecting a trend toward more stringent privacy legislation in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also receive data from third-party vendors (</w:t>
      </w:r>
      <w:r>
        <w:rPr>
          <w:rFonts w:ascii="Arial" w:cs="Arial" w:eastAsia="Arial" w:hAnsi="Arial"/>
          <w:sz w:val="17"/>
          <w:szCs w:val="17"/>
          <w:i w:val="1"/>
          <w:iCs w:val="1"/>
          <w:color w:val="auto"/>
        </w:rPr>
        <w:t>e.g.</w:t>
      </w:r>
      <w:r>
        <w:rPr>
          <w:rFonts w:ascii="Arial" w:cs="Arial" w:eastAsia="Arial" w:hAnsi="Arial"/>
          <w:sz w:val="17"/>
          <w:szCs w:val="17"/>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93"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and many may choose or switch to competing products even if do our best to innovate and provide superior products and services.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competitors include:</w:t>
      </w:r>
    </w:p>
    <w:p>
      <w:pPr>
        <w:spacing w:after="0" w:line="171" w:lineRule="exact"/>
        <w:rPr>
          <w:sz w:val="20"/>
          <w:szCs w:val="20"/>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free online and offline sources of information on companies and business professionals, including government records, telephone books, company websites, and open online databases of business professionals, such as LinkedIn Sales Navigator, D&amp;B Hoovers, and TechTarget;</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current and potential customers’ internal and homegrown business contact databases;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used in conjunction with the foregoing or when additionally providing third-party sales and marketing data, predictive analytics and customer data platform technologies;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vendors of sales automation software;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providers of third-party company attributes, technology attributes, and business contact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providers of online content consumption data for predictive sales and marketing analytics;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user-based networks of companies and/or business professionals.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30" w:name="page31"/>
    <w:bookmarkEnd w:id="30"/>
    <w:p>
      <w:pPr>
        <w:jc w:val="both"/>
        <w:ind w:firstLine="324"/>
        <w:spacing w:after="0" w:line="259" w:lineRule="auto"/>
        <w:rPr>
          <w:sz w:val="20"/>
          <w:szCs w:val="20"/>
          <w:color w:val="auto"/>
        </w:rPr>
      </w:pPr>
      <w:r>
        <w:rPr>
          <w:rFonts w:ascii="Arial" w:cs="Arial" w:eastAsia="Arial" w:hAnsi="Arial"/>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1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SMBs are difficult to predict and are sensitive to the general economic climate, the economic outlook specific to SMBs, the then-current level of profitability experienced by SMBs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1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of pursuing any creditor claim outweighs the recovery potential of such claim. As a result, weak economic times could harm our business, revenue, results of operations, cash flows, and financial condition.</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product offerings are also concentrated by varying degrees across different industries, particularly the software and business services industries in the United States, where we derived approximately 39% and 27% of our revenue in 2018 and % and % of our revenue in 2019,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1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2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awareness and acceptance of the sales and marketing platform category generally, and the growth, contraction and evolution of the category;</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features, and user experience, and the development and acceptance of new features, integrations, and capabilities;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integration with CRM and other related technologies;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the development of new systems and protocols for B2B communication.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leading third-party technologies effectively;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respond to advances in data collection, cataloguing, and updating.</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products and services.</w:t>
      </w:r>
    </w:p>
    <w:p>
      <w:pPr>
        <w:spacing w:after="0" w:line="20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interoperability of our platform with third-party systems that we do not control.</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37%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 Larger and more well-funded companies with access to significant resources, large amounts of data or data collection methods and sophisticated technologies may shift their business model to become competitive with us.”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28"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4" w:name="page35"/>
    <w:bookmarkEnd w:id="34"/>
    <w:p>
      <w:pPr>
        <w:jc w:val="both"/>
        <w:ind w:firstLine="324"/>
        <w:spacing w:after="0" w:line="289"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SMB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8"/>
          <w:szCs w:val="18"/>
          <w:i w:val="1"/>
          <w:iCs w:val="1"/>
          <w:color w:val="auto"/>
        </w:rPr>
        <w:t>i.e.</w:t>
      </w:r>
      <w:r>
        <w:rPr>
          <w:rFonts w:ascii="Arial" w:cs="Arial" w:eastAsia="Arial" w:hAnsi="Arial"/>
          <w:sz w:val="18"/>
          <w:szCs w:val="18"/>
          <w:color w:val="auto"/>
        </w:rPr>
        <w:t>, from all platforms, including ours). Consequently, our ability to grow our business may be harmed and our results of operations and financial condition could suffer.</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or technology.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2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license and the use of our data and insights for purposes other than for sales and marketing, or to otherwise address customer and individual concerns, which could erode confidence in our business.</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$749.2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11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services, and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entry into new markets in which we have little or no experience or where competitors may have stronger market positions;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write-offs of acquired assets or investments and potential financial and credit risks associated with acquired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and financial costs of, addressing acquired compensation structures inconsistent with our compensation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platforms and customer acceptance of multiple platforms on a temporary or permanent basis;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8" w:name="page39"/>
    <w:bookmarkEnd w:id="38"/>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for acquired products to impact the profitability of existing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other services;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intellectual property and/or technologies;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impact to our results of operations because of the depreciation and amortization of amounts related to acquired intangible assets, fixed assets, and deferred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and regulatory risks associated with foreign countries and potential additional cybersecurity and compliance risks resulting from entry into new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9" w:name="page40"/>
    <w:bookmarkEnd w:id="39"/>
    <w:p>
      <w:pPr>
        <w:jc w:val="both"/>
        <w:ind w:firstLine="324"/>
        <w:spacing w:after="0" w:line="279"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bring on new customers at the rate we anticipate.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delay revenue recognition for some complex transactions, all of which could harm our business and operating results.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offer the optimal pricing and packaging of our products and services.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rapid organic and acquisition-driven growth in recent periods. Our revenue was $144.3 million and $ million for the years ended December 31, 2018 and 2019, respectively. In future periods, we may not be able to sustain revenue growth consistent with recent history, or at all.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3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excellent customer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renew and grow current customer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convert users of and organizations on our free Community Edition into paying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introduce and grow adoption of our products and services in new markets outside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adequately expand our sales force and otherwise scale our operations as a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including through the creation and use of additional integrations;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41" w:name="page42"/>
    <w:bookmarkEnd w:id="41"/>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execute on our acquisition strategy.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corporate culture as we grow and evolve, it could harm our ability to foster the innovation, creativity and teamwork we believe that we need to support our growth.</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 Our Market Opportunity” and “Business—Our Market Opportunity.”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9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customers and grow subscriptions of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including those related to the expansion of our business and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revenue and expenses related to the development or acquisition of technologies, products, or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and amortization associated with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restructuring and transaction-related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43" w:name="page44"/>
    <w:bookmarkEnd w:id="43"/>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3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new features, integrations, capabilities, and enhancements;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expand our product development, sales, and marketing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devote, and may continue to devote, substantial resources to our earlier platforms.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Operations and sales to customers outside the United States expose us to risks inherent in international operations.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in part on our ability to expand sales to customers located outside of the United States. For the years ended December 31, 2018 and 2019, our business outside of the United States accounted for less than 10% and %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3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need to localize our products and services, including translation into foreign languages and associated expenses;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from local incumbents that better understand the local market, customs, and culture,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need to comply with foreign regulatory frameworks or business practices, which among other things may favor local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products and services more expensive for international customers and could add volatility to our operating results;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vetting and monitoring internal or external sales or customer experience resources in new and evolving markets to confirm they maintain standards consistent with our brand and reputation;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public perception of governments in the regions where we operate or plan to operate;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longer accounts receivable payment cycles and other collection difficulties;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acts of war, terrorism, pandemics, or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regional economic and political conditions;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5" w:name="page46"/>
    <w:bookmarkEnd w:id="45"/>
    <w:p>
      <w:pPr>
        <w:ind w:left="340" w:right="1560" w:hanging="8"/>
        <w:spacing w:after="0" w:line="438" w:lineRule="auto"/>
        <w:tabs>
          <w:tab w:leader="none" w:pos="6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 Any of these factors could negatively impact our business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could result in serious harm to our reputation, business, and financial condition.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6" w:name="page47"/>
    <w:bookmarkEnd w:id="46"/>
    <w:p>
      <w:pPr>
        <w:jc w:val="both"/>
        <w:ind w:firstLine="324"/>
        <w:spacing w:after="0" w:line="287" w:lineRule="auto"/>
        <w:rPr>
          <w:sz w:val="20"/>
          <w:szCs w:val="20"/>
          <w:color w:val="auto"/>
        </w:rPr>
      </w:pPr>
      <w:r>
        <w:rPr>
          <w:rFonts w:ascii="Arial" w:cs="Arial" w:eastAsia="Arial" w:hAnsi="Arial"/>
          <w:sz w:val="16"/>
          <w:szCs w:val="16"/>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errors, defects, disruptions, or other performance problems with our services could harm our reputation, business, results of operations, and financial condition.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Our business would also be harmed if our customers and potential customers believe our services are unreliable.</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or an act of terrorism, a decision to close the facilities without adequate notice, or other unanticipated problems at these facilities could result in lengthy interruptions in our services.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revenue and evaluate our business and future prospects.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8" w:name="page49"/>
    <w:bookmarkEnd w:id="48"/>
    <w:p>
      <w:pPr>
        <w:jc w:val="both"/>
        <w:ind w:firstLine="324"/>
        <w:spacing w:after="0" w:line="255"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platform and could harm our business.</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2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1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1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debarment from U.S. government contracts, any of which could have a materially adverse effect on our reputation, business, results of operations, and prospects.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particular, in May 2014, the FASB and International Accounting Standard Board jointly issued a new revenue recognition standard, Accounting Standard Update (“ASU”) 2014-09, Revenue from Contracts with Customers,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believe that the revenue presented for Pre-Acquisition ZI in 2018 would not have materially changed, had Pre-Acquisition ZI used the full retrospective method of adoption for Topic 606 and restated their 2018 revenue figures. See Note 2 —Basis of Presentation and Summary of Significant Accounting Policies within our consolidated financial statements included appearing elsewhere in this prospectus for additional information.</w:t>
      </w:r>
    </w:p>
    <w:p>
      <w:pPr>
        <w:spacing w:after="0" w:line="13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will not elect the hindsight practical expedient permitted under the transition guidance within the new lease standard. We have substantially completed an assessment of the new standard’s impact, and while we do not expect a material impact from adoption on our consolidated statements of operations or comprehensive loss, we do expect to record a material increase in our assets and liabilities on the balance sheet upon adoption of this standard. Upon adoption, we recognized a right-of-use asset in the range of $9 million to $10 million and a lease liability in the range of $12 million to $13 million, largely pertaining to our headquarter office lease.</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7"/>
          <w:szCs w:val="17"/>
          <w:b w:val="1"/>
          <w:bCs w:val="1"/>
          <w:i w:val="1"/>
          <w:iCs w:val="1"/>
          <w:color w:val="auto"/>
        </w:rPr>
        <w:t>Our internal controls over financial reporting currently do not meet all of the standards contemplated by Section 404 of SOX, and 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public company, we will have significant requirements for enhanced financial reporting and internal controls.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will be required, pursuant to Section 404 of SOX, to furnish a report by management on, among other things, the effectiveness of our internal control over financial reporting in the second annual report on Form 10-K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this offering, our independent registered public accounting firm will be required to attest to the effectiveness of our internal control over financial reporting on an annual basis. However, while we remain an emerging growth company, we will not be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prospectus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materially adversely affect us and lead to a decline in the market price of our Class A common stock.</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To remediate the identified material weakness, we have hired additional personnel around and subsequent to December 31, 2018, including a new chief financial officer and a vice president of accounting and controller, and we intend to continue to invest in the appropriate resources prior to the consummation of this offering.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53" w:name="page54"/>
    <w:bookmarkEnd w:id="53"/>
    <w:p>
      <w:pPr>
        <w:jc w:val="both"/>
        <w:ind w:firstLine="324"/>
        <w:spacing w:after="0" w:line="257" w:lineRule="auto"/>
        <w:rPr>
          <w:sz w:val="20"/>
          <w:szCs w:val="20"/>
          <w:color w:val="auto"/>
        </w:rPr>
      </w:pPr>
      <w:r>
        <w:rPr>
          <w:rFonts w:ascii="Arial" w:cs="Arial" w:eastAsia="Arial" w:hAnsi="Arial"/>
          <w:sz w:val="18"/>
          <w:szCs w:val="18"/>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1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have incurred significant net losses in each year since our inception, including net losses of $28.6 million in 2018 and $ million in 2019, and we had an accumulated deficit of $ million as of December 31, 2019. We may not achieve or maintain profitability in the future. Because the market</w:t>
      </w:r>
    </w:p>
    <w:p>
      <w:pPr>
        <w:jc w:val="both"/>
        <w:spacing w:after="0" w:line="285" w:lineRule="auto"/>
        <w:rPr>
          <w:sz w:val="20"/>
          <w:szCs w:val="20"/>
          <w:color w:val="auto"/>
        </w:rPr>
      </w:pPr>
      <w:r>
        <w:rPr>
          <w:rFonts w:ascii="Arial" w:cs="Arial" w:eastAsia="Arial" w:hAnsi="Arial"/>
          <w:sz w:val="16"/>
          <w:szCs w:val="16"/>
          <w:color w:val="auto"/>
        </w:rPr>
        <w:t>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become a public company and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1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Our balance sheet reflects goodwill and intangibles assets of $534.4 million and $ million, respectively, as of December 31, 2018 and 2019. Collectively, goodwill and intangibles assets represented % of our total assets as of December 31, 2019. In accordance with GAAP, goodwill and</w:t>
      </w:r>
    </w:p>
    <w:p>
      <w:pPr>
        <w:jc w:val="both"/>
        <w:spacing w:after="0" w:line="254" w:lineRule="auto"/>
        <w:rPr>
          <w:sz w:val="20"/>
          <w:szCs w:val="20"/>
          <w:color w:val="auto"/>
        </w:rPr>
      </w:pPr>
      <w:r>
        <w:rPr>
          <w:rFonts w:ascii="Arial" w:cs="Arial" w:eastAsia="Arial" w:hAnsi="Arial"/>
          <w:sz w:val="18"/>
          <w:szCs w:val="18"/>
          <w:color w:val="auto"/>
        </w:rPr>
        <w:t>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3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6" w:name="page57"/>
    <w:bookmarkEnd w:id="56"/>
    <w:p>
      <w:pPr>
        <w:jc w:val="both"/>
        <w:ind w:firstLine="324"/>
        <w:spacing w:after="0" w:line="259" w:lineRule="auto"/>
        <w:rPr>
          <w:sz w:val="20"/>
          <w:szCs w:val="20"/>
          <w:color w:val="auto"/>
        </w:rPr>
      </w:pPr>
      <w:r>
        <w:rPr>
          <w:rFonts w:ascii="Arial" w:cs="Arial" w:eastAsia="Arial" w:hAnsi="Arial"/>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 of December 31, 2019,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the Reorganization Transactions and the Offering Transactions, we would have had</w:t>
      </w:r>
    </w:p>
    <w:p>
      <w:pPr>
        <w:spacing w:after="0" w:line="4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total outstanding indebtedness of approximately $</w:t>
      </w:r>
      <w:r>
        <w:rPr>
          <w:sz w:val="20"/>
          <w:szCs w:val="20"/>
          <w:color w:val="auto"/>
        </w:rPr>
        <w:tab/>
      </w:r>
      <w:r>
        <w:rPr>
          <w:rFonts w:ascii="Arial" w:cs="Arial" w:eastAsia="Arial" w:hAnsi="Arial"/>
          <w:sz w:val="17"/>
          <w:szCs w:val="17"/>
          <w:color w:val="auto"/>
        </w:rPr>
        <w:t>million consisting primarily of outstanding borrowings under our secured credit facilities.</w:t>
      </w:r>
    </w:p>
    <w:p>
      <w:pPr>
        <w:spacing w:after="0" w:line="9"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Additionally, we would have had $</w:t>
      </w:r>
      <w:r>
        <w:rPr>
          <w:sz w:val="20"/>
          <w:szCs w:val="20"/>
          <w:color w:val="auto"/>
        </w:rPr>
        <w:tab/>
      </w:r>
      <w:r>
        <w:rPr>
          <w:rFonts w:ascii="Arial" w:cs="Arial" w:eastAsia="Arial" w:hAnsi="Arial"/>
          <w:sz w:val="16"/>
          <w:szCs w:val="16"/>
          <w:color w:val="auto"/>
        </w:rPr>
        <w:t>of availability under our first lien revolving credit facility as of December 31, 2019. Our substantial indebtedness may:</w:t>
      </w:r>
    </w:p>
    <w:p>
      <w:pPr>
        <w:spacing w:after="0" w:line="15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it difficult for us to satisfy our financial obligations, including with respect to our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under our secured credit facilities, are at variable rates of interest;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less-leveraged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the credit agreements governing our secured credit facilities contain,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ability to make scheduled payments due on our debt obligations or to refinance our debt obligations depends on our financial condition and operating performance, which are subject to prevailing economic, industry,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competitive conditions and to certain financial, business, legislative, regulatory, and other factors beyond our control, including those discussed elsewhere in this “Risk Factors” section. Our total scheduled principal repayments of debt made in 2019 and 2018 were $ million and $3.7 million, respectively. Our total interest expense, net for 2019 and 2018 was $ million and $58.2 million, respectively. We may be unable to maintain a level of cash flow sufficient to permit us to pay the principal, premium, if any, and interest on our indebtedness.</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agreements governing our secured credit facilities restrict,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agreements governing our secured credit facilities, ZoomInfo OpCo is restricted from making certain payments, including dividend payments to ZoomInfo Technologies Inc., subject to certain exceptions.</w:t>
      </w:r>
    </w:p>
    <w:p>
      <w:pPr>
        <w:spacing w:after="0" w:line="12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3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credit ratings could adversely impact our operations and lower our profitability.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ZoomInfo Technologies Inc. is a holding company, its only material asset after completion of this offering will be its interest in ZoomInfo OpCo, and it is accordingly dependent upon distributions from ZoomInfo OpCo to pay taxes, make payments under the tax receivable agreement, and pay dividends.</w:t>
      </w:r>
    </w:p>
    <w:p>
      <w:pPr>
        <w:spacing w:after="0" w:line="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ZoomInfo Technologies Inc. will be a holding company, and after completion of this offering will have no material assets other than its ownership of LLC Units. ZoomInfo Technologies Inc. has no independent means of generating revenue. ZoomInfo Technologies Inc. intends to cause ZoomInfo OpCo to make distributions to its holders of LLC Units, including ZoomInfo Technologies Inc. and our pre-IPO owners, in an amount sufficient to cover all applicable taxes at assumed tax rates, payments under the tax receivable agreement and dividends, if any, declared by it. Deterioration in the financial condition, earnings or cash flow of ZoomInfo OpCo and its subsidiaries for any reason could limit or impair their ability to pay such distributions. Additionally, to the extent that ZoomInfo Technologies Inc. needs funds, and ZoomInfo OpCo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LLC Units. Accordingly, we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income taxes on our allocable share of ZoomInfo OpCo’s net taxable income will increase over time as our Pre-IPO LLC Unitholders continue to exchange their LLC Units for shares of our Class A common stock. Such increase in our tax expenses may have an adverse effect on our business, results of operations, and financial condition.</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terms of the amended and restated limited liability company agreement, ZoomInfo OpCo is obligated to make tax distributions to holders of LLC Units (including us) at certain assumed tax rates. These tax distributions may in certain periods exceed our tax liabilities and obligations to make payments under the tax receivable agreement. Our board of directors, in its sole discretion, will make any determination from time to time with respect to the use of any such excess cash so accumulated, which may include, among other uses, to acquire additional newly issued LLC Units from ZoomInfo OpCo at a per unit price determined by reference to the market value of the Class A common stock, to pay dividends, which may include special dividends, on its Class A common stock, to fund repurchases of its Class A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 current plans to pay cash dividends on our Class A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b w:val="1"/>
          <w:bCs w:val="1"/>
          <w:i w:val="1"/>
          <w:iCs w:val="1"/>
          <w:color w:val="auto"/>
        </w:rPr>
        <w:t>ZoomInfo Technologies Inc. will be required to pay our pre-IPO owners for most of the benefits relating to any additional tax depreciation or amortization deductions that we may claim as a result of ZoomInfo Technologies Inc.’s allocable share of existing tax basis acquired in this offering, ZoomInfo Technologies Inc.’s increase in its allocable share of existing tax basis, and anticipated tax basis adjustments we receive in connection with sales or exchanges of LLC Units after this offering, and certain other tax attributes .</w:t>
      </w:r>
    </w:p>
    <w:p>
      <w:pPr>
        <w:spacing w:after="0" w:line="1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Prior to the completion of this offering, we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ZoomInfo Technologies Inc.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 under the tax receivable agreement is an obligation of ZoomInfo Technologies Inc. and not of ZoomInfo OpCo.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this offering, the payments that ZoomInfo Technologies Inc. may make under the tax receivable agreement will be substantial. We estimate the amount of existing tax basis with respect to which our pre-IPO owners will be entitled to receive payments under the tax receivable agreement (assuming all Pre-IPO LLC</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Unitholders exchange their LLC Units on the date of this offering) is approximately $ million. The payments under the tax receivable agreement are not conditioned upon continued ownership of us by the exchanging holders of LLC Units or the prior owners of the Blocker Companies. See “Certain Relationships and Related Person Transactions—Tax Receivable Agreement.”</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ZoomInfo Technologies Inc. realizes in respect of the tax attributes subject to the tax receivable agreement.</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ZoomInfo Technologies Inc.’s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ZoomInfo Technologies Inc. The accelerated payments required in such circumstances will be calculated by reference to</w:t>
      </w:r>
    </w:p>
    <w:p>
      <w:pPr>
        <w:jc w:val="both"/>
        <w:spacing w:after="0" w:line="251" w:lineRule="auto"/>
        <w:rPr>
          <w:sz w:val="20"/>
          <w:szCs w:val="20"/>
          <w:color w:val="auto"/>
        </w:rPr>
      </w:pPr>
      <w:r>
        <w:rPr>
          <w:rFonts w:ascii="Arial" w:cs="Arial" w:eastAsia="Arial" w:hAnsi="Arial"/>
          <w:sz w:val="18"/>
          <w:szCs w:val="18"/>
          <w:color w:val="auto"/>
        </w:rPr>
        <w:t>the present value (at a discount rate equal to one-year plus basis points) of all future payments that holders of LLC Units or other recipients would have been entitled to receive under the tax receivable agreement, and such accelerated payments and any other future payments under the tax receivable agreement will utilize certain valuation assumptions, including that ZoomInfo Technologies Inc.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ZoomInfo Technologies Inc.’s utilization of certain tax attributes is successfully challenged by the IRS (although any such detriment would be taken into account in future payments under the tax</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60" w:name="page61"/>
    <w:bookmarkEnd w:id="60"/>
    <w:p>
      <w:pPr>
        <w:jc w:val="both"/>
        <w:spacing w:after="0" w:line="288" w:lineRule="auto"/>
        <w:rPr>
          <w:sz w:val="20"/>
          <w:szCs w:val="20"/>
          <w:color w:val="auto"/>
        </w:rPr>
      </w:pPr>
      <w:r>
        <w:rPr>
          <w:rFonts w:ascii="Arial" w:cs="Arial" w:eastAsia="Arial" w:hAnsi="Arial"/>
          <w:sz w:val="16"/>
          <w:szCs w:val="16"/>
          <w:color w:val="auto"/>
        </w:rPr>
        <w:t>receivable agreement). ZoomInfo Technologies Inc.’s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w:t>
      </w:r>
    </w:p>
    <w:p>
      <w:pPr>
        <w:spacing w:after="0"/>
        <w:tabs>
          <w:tab w:leader="none" w:pos="1940" w:val="left"/>
        </w:tabs>
        <w:rPr>
          <w:sz w:val="20"/>
          <w:szCs w:val="20"/>
          <w:color w:val="auto"/>
        </w:rPr>
      </w:pPr>
      <w:r>
        <w:rPr>
          <w:rFonts w:ascii="Arial" w:cs="Arial" w:eastAsia="Arial" w:hAnsi="Arial"/>
          <w:sz w:val="18"/>
          <w:szCs w:val="18"/>
          <w:color w:val="auto"/>
        </w:rPr>
        <w:t>could be in excess of</w:t>
      </w:r>
      <w:r>
        <w:rPr>
          <w:sz w:val="20"/>
          <w:szCs w:val="20"/>
          <w:color w:val="auto"/>
        </w:rPr>
        <w:tab/>
      </w:r>
      <w:r>
        <w:rPr>
          <w:rFonts w:ascii="Arial" w:cs="Arial" w:eastAsia="Arial" w:hAnsi="Arial"/>
          <w:sz w:val="16"/>
          <w:szCs w:val="16"/>
          <w:color w:val="auto"/>
        </w:rPr>
        <w:t>% of ZoomInfo Technologies Inc.’s actual cash tax benefits.</w:t>
      </w:r>
    </w:p>
    <w:p>
      <w:pPr>
        <w:spacing w:after="0" w:line="15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Accordingly, it is possible that the actual cash tax benefits realized by ZoomInfo Technologies Inc.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ZoomInfo Technologies Inc. realizes in respect of the tax attributes subject to the tax receivable agreement and/or distributions to ZoomInfo Technologies Inc. by ZoomInfo OpCo are not sufficient to permit ZoomInfo Technologies Inc. to make payments under the tax receivable agreement after it has paid taxes and other expenses. Based upon certain assumptions described in greater detail below under “Certain Relationships and Related Person Transactions—Tax Receivable Agreement,” we estimate that if ZoomInfo were to exercise its termination right immediately following this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offering, the aggregate amount of these termination payments would be approximately $ million. The foregoing number is merely an estimate and the actual payments could differ materially.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case of certain changes of control, payments under the tax receivable agreement may be accelerated and may significantly exceed the actual benefits ZoomInfo Technologies Inc. realizes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ZoomInfo OpCo, applicable restrictions could make it impractical for us to continue our business as contemplated and could have a material adverse effect on our business.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w:t>
      </w:r>
    </w:p>
    <w:p>
      <w:pPr>
        <w:spacing w:after="0" w:line="46" w:lineRule="exact"/>
        <w:rPr>
          <w:sz w:val="20"/>
          <w:szCs w:val="20"/>
          <w:color w:val="auto"/>
        </w:rPr>
      </w:pPr>
    </w:p>
    <w:p>
      <w:pPr>
        <w:jc w:val="both"/>
        <w:ind w:firstLine="8"/>
        <w:spacing w:after="0" w:line="273" w:lineRule="auto"/>
        <w:tabs>
          <w:tab w:leader="none" w:pos="217"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the sole managing member of ZoomInfo OpCo, we will control and operate ZoomInfo OpCo. On that basis, we believe that our interest in ZoomInfo OpCo is not an “investment security” as that term is used in the 1940 Act. However, if we were to cease participation in the management of ZoomInfo OpCo, or if ZoomInfo OpCo itself becomes an investment company, our interest in ZoomInfo OpCo could be deemed an “investment security” for purposes of the 1940 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t>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Sponsors control us, and their interests may conflict with ours or yours in the future.</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Immediately following this offering and the application of net proceeds therefrom, our Sponsors will beneficially own approximately % of the combined voting power of our Class A and Class B common stock (or % if the underwriters exercise in full their option to purchase additional shares of</w:t>
      </w:r>
    </w:p>
    <w:p>
      <w:pPr>
        <w:jc w:val="both"/>
        <w:spacing w:after="0" w:line="267" w:lineRule="auto"/>
        <w:rPr>
          <w:sz w:val="20"/>
          <w:szCs w:val="20"/>
          <w:color w:val="auto"/>
        </w:rPr>
      </w:pPr>
      <w:r>
        <w:rPr>
          <w:rFonts w:ascii="Arial" w:cs="Arial" w:eastAsia="Arial" w:hAnsi="Arial"/>
          <w:sz w:val="17"/>
          <w:szCs w:val="17"/>
          <w:color w:val="auto"/>
        </w:rPr>
        <w:t>Class A common stock). Moreover, we will agree to nominate to our board of directors individuals designated by our Sponsors in accordance with our stockholders agreement. Our Sponsors will each retain the right to designate directors for so long as they beneficially own at least % of the voting power of all shares of our outstanding capital stock entitled to vote generally in the election of our directors. See “Certain Relationships and Related Person Transactions—Stockholders Agreement.” Even when our Sponsors cease to own shares of our stock representing a majority of the total voting power, for so long as our Sponsors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our Sponsors will have significant influence with respect to our management, business plans, and policies, including the appointment and removal of our officers. In particular, for so long as our Sponsors continue to own a significant percentage of our stock, our Sponsors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In addition, immediately following this offering and the application of the net proceeds therefrom, the Pre-IPO LLC Unitholders will own % of the LLC Units (or % if the underwriters exercise in full their option to purchase additional shares of Class A common stock). Because they hold their</w:t>
      </w:r>
    </w:p>
    <w:p>
      <w:pPr>
        <w:jc w:val="both"/>
        <w:spacing w:after="0" w:line="287" w:lineRule="auto"/>
        <w:rPr>
          <w:sz w:val="20"/>
          <w:szCs w:val="20"/>
          <w:color w:val="auto"/>
        </w:rPr>
      </w:pPr>
      <w:r>
        <w:rPr>
          <w:rFonts w:ascii="Arial" w:cs="Arial" w:eastAsia="Arial" w:hAnsi="Arial"/>
          <w:sz w:val="16"/>
          <w:szCs w:val="16"/>
          <w:color w:val="auto"/>
        </w:rPr>
        <w:t>ownership interest in our business directly in ZoomInfo OpCo, rather than through ZoomInfo Technologies Inc., the Pre-IPO LLC Unitholders may have conflicting interests with holders of shares of our Class A common stock. For example, if ZoomInfo OpCo makes distributions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 that we will enter in connection with this offering, whether and when to incur new or refinance existing indebtedness and whether and when ZoomInfo Technologies Inc. should terminate the tax receivable agreement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not limit the ability of our Sponsors to compete with us, and they and certain of our executive officers may have investments in businesses whose interests conflict with ours.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62" w:name="page63"/>
    <w:bookmarkEnd w:id="62"/>
    <w:p>
      <w:pPr>
        <w:jc w:val="both"/>
        <w:ind w:right="20"/>
        <w:spacing w:after="0" w:line="308" w:lineRule="auto"/>
        <w:rPr>
          <w:sz w:val="20"/>
          <w:szCs w:val="20"/>
          <w:color w:val="auto"/>
        </w:rPr>
      </w:pPr>
      <w:r>
        <w:rPr>
          <w:rFonts w:ascii="Arial" w:cs="Arial" w:eastAsia="Arial" w:hAnsi="Arial"/>
          <w:sz w:val="17"/>
          <w:szCs w:val="17"/>
          <w:color w:val="auto"/>
        </w:rPr>
        <w:t>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Upon the listing of our Class A common stock on , we will be a “controlled company” within the meaning of rules and, as a result, will qualify for, and intend to rely on, exemptions and relief from certain corporate governance requirements. You will not have the same protections afforded to stockholders of companies that are subject to such requirements.</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After the completion of this offering, our Sponsors will beneficially own approximately % of the combined voting power of our Class A and Class B common stock (or % if the underwriters exercise in full their option to purchase additional shares of Class A common stock) and will be parties to a stockholders agreement described in “Certain Relationships and Related Person Transactions—Stockholders Agreement.” As a result, we will be a</w:t>
      </w:r>
    </w:p>
    <w:p>
      <w:pPr>
        <w:jc w:val="both"/>
        <w:spacing w:after="0" w:line="277" w:lineRule="auto"/>
        <w:rPr>
          <w:sz w:val="20"/>
          <w:szCs w:val="20"/>
          <w:color w:val="auto"/>
        </w:rPr>
      </w:pPr>
      <w:r>
        <w:rPr>
          <w:rFonts w:ascii="Arial" w:cs="Arial" w:eastAsia="Arial" w:hAnsi="Arial"/>
          <w:sz w:val="17"/>
          <w:szCs w:val="17"/>
          <w:color w:val="auto"/>
        </w:rPr>
        <w:t>“controlled company” within the meaning of the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19" w:lineRule="exact"/>
        <w:rPr>
          <w:sz w:val="20"/>
          <w:szCs w:val="20"/>
          <w:color w:val="auto"/>
        </w:rPr>
      </w:pPr>
    </w:p>
    <w:p>
      <w:pPr>
        <w:ind w:left="340"/>
        <w:spacing w:after="0"/>
        <w:tabs>
          <w:tab w:leader="none" w:pos="640" w:val="left"/>
          <w:tab w:leader="none" w:pos="7440" w:val="left"/>
        </w:tabs>
        <w:rPr>
          <w:sz w:val="20"/>
          <w:szCs w:val="20"/>
          <w:color w:val="auto"/>
        </w:rPr>
      </w:pPr>
      <w:r>
        <w:rPr>
          <w:rFonts w:ascii="Arial" w:cs="Arial" w:eastAsia="Arial" w:hAnsi="Arial"/>
          <w:sz w:val="18"/>
          <w:szCs w:val="18"/>
          <w:color w:val="auto"/>
        </w:rPr>
        <w:t>•</w:t>
        <w:tab/>
        <w:t>a board that is composed of a majority of “independent directors,” as defined under the</w:t>
      </w:r>
      <w:r>
        <w:rPr>
          <w:sz w:val="20"/>
          <w:szCs w:val="20"/>
          <w:color w:val="auto"/>
        </w:rPr>
        <w:tab/>
      </w:r>
      <w:r>
        <w:rPr>
          <w:rFonts w:ascii="Arial" w:cs="Arial" w:eastAsia="Arial" w:hAnsi="Arial"/>
          <w:sz w:val="16"/>
          <w:szCs w:val="16"/>
          <w:color w:val="auto"/>
        </w:rPr>
        <w:t>rules;</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this offering, we intend to utilize these exemptions. Accordingly, you will not have the same protections afforded to stockholders of companies</w:t>
      </w:r>
    </w:p>
    <w:p>
      <w:pPr>
        <w:spacing w:after="0" w:line="46"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that are subject to all of the corporate governance requirements of</w:t>
      </w:r>
      <w:r>
        <w:rPr>
          <w:sz w:val="20"/>
          <w:szCs w:val="20"/>
          <w:color w:val="auto"/>
        </w:rPr>
        <w:tab/>
      </w:r>
      <w:r>
        <w:rPr>
          <w:rFonts w:ascii="Arial" w:cs="Arial" w:eastAsia="Arial" w:hAnsi="Arial"/>
          <w:sz w:val="14"/>
          <w:szCs w:val="14"/>
          <w:color w:val="auto"/>
        </w:rPr>
        <w: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1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remain an emerging growth company until the fiscal year-end following the fifth anniversary of the completion of this initial public offering, though we may cease to be an emerging growth company earlier under certain circumstances, including (1) if our gross revenue exceeds $1.07 billion in any fiscal year, (2) if we become a large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accelerated filer, with at least $700.0 million of equity securities held by non-affiliates, or (3) if we issue more than $1.0 billion in non-convertible notes in any three-year period.</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will incur increased costs and become subject to additional regulations and requirements as a result of becoming a public company, which could impair our profitability, make it more difficult to run our business, or divert management’s attention from our business.</w:t>
      </w:r>
    </w:p>
    <w:p>
      <w:pPr>
        <w:spacing w:after="0" w:line="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and recruiting and retaining independent directors. We also have incurred and will continue to incur costs associated with SOX and the Dodd-Frank Wall Street Reform and Consumer</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Protection Act and related rules implemented by the SEC and , and compliance with these requirements will place significant demands on our legal, accounting, and finance staff and on our accounting, financial, and information systems.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There may not be an active trading market for shares of our Class A common stock, which may cause shares of our Class A common stock to trade at a discount from their initial offering price and make it difficult to sell the shares of Class A common stock you purchase.</w:t>
      </w:r>
    </w:p>
    <w:p>
      <w:pPr>
        <w:spacing w:after="0" w:line="9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We cannot predict the extent to which investor interest in our Class A</w:t>
      </w:r>
    </w:p>
    <w:p>
      <w:pPr>
        <w:jc w:val="both"/>
        <w:spacing w:after="0" w:line="253" w:lineRule="auto"/>
        <w:rPr>
          <w:sz w:val="20"/>
          <w:szCs w:val="20"/>
          <w:color w:val="auto"/>
        </w:rPr>
      </w:pPr>
      <w:r>
        <w:rPr>
          <w:rFonts w:ascii="Arial" w:cs="Arial" w:eastAsia="Arial" w:hAnsi="Arial"/>
          <w:sz w:val="18"/>
          <w:szCs w:val="18"/>
          <w:color w:val="auto"/>
        </w:rPr>
        <w:t>common stock will lead to the development of an active trading market on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 and you may not be able to sell your shares of our Class A common stock at or above the price you paid in this offering, or at all.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initial public offering price due to a number of factors, such as those listed elsewhere in this “Risk Factors” section and the following:</w:t>
      </w:r>
    </w:p>
    <w:p>
      <w:pPr>
        <w:spacing w:after="0" w:line="13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our competitors’, or other comparable companies’ quarterly operating results or dividends, if any, to stockholders;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guidance, if any, that we, our competitors, or other comparable companies provide to the public, any changes in this guidance, or failure to meet this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by us or others in our industry to meet analysts’ earnings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publication of research reports about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 or 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similar companies;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relating to litigation, government investigations, changes in laws, or changes in business or regulatory conditions, or differing interpretations or enforcement thereof;</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publicity about the industries we participate in;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individual scandals.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5" w:name="page66"/>
    <w:bookmarkEnd w:id="65"/>
    <w:p>
      <w:pPr>
        <w:jc w:val="both"/>
        <w:ind w:firstLine="324"/>
        <w:spacing w:after="0" w:line="312"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r>
        <w:rPr>
          <w:rFonts w:ascii="Arial" w:cs="Arial" w:eastAsia="Arial" w:hAnsi="Arial"/>
          <w:sz w:val="16"/>
          <w:szCs w:val="16"/>
          <w:b w:val="1"/>
          <w:bCs w:val="1"/>
          <w:color w:val="auto"/>
        </w:rPr>
        <w:t>.</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suffer immediate and substantial dilution.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LLC Units by the pre-IPO owners. See “Dilution.”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Class A common stock or LLC Units in connection with our incentive plans, acquisitions, or otherwise.</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After this offering, we will have shares of Class A common stock authorized but unissued, including shares of Class A common stock issuable upon exchange of LLC Units that will be held by the Pre-IPO LLC Unitholders. Our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 of ZoomInfo OpCo permits ZoomInfo OpCo to issue an unlimited number of additional limited liability company interests of ZoomInfo OpCo with designations, preferences, rights, powers, and duties that are different from, and may be senior to, those applicable to the LLC Units, and which may be exchangeable for shares of our Class A common stock. Additionally, we have reserved an aggregate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for issuance under our Omnibus Incentive Plan. In connection with this offering, we expect to make equity-based grants to</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covering shares of Class A common stock under the Omnibus Incentive Plan. Any Class A common stock that we issue, including under our Omnibus Incentive Plan or other equity incentive plans that we may adopt in the future, would dilute the percentage ownership held by the investors who purchase Class A common stock in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Class A common stock.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w:t>
      </w:r>
    </w:p>
    <w:p>
      <w:pPr>
        <w:spacing w:after="0"/>
        <w:tabs>
          <w:tab w:leader="none" w:pos="1540" w:val="left"/>
          <w:tab w:leader="none" w:pos="6340" w:val="left"/>
        </w:tabs>
        <w:rPr>
          <w:sz w:val="20"/>
          <w:szCs w:val="20"/>
          <w:color w:val="auto"/>
        </w:rPr>
      </w:pPr>
      <w:r>
        <w:rPr>
          <w:rFonts w:ascii="Arial" w:cs="Arial" w:eastAsia="Arial" w:hAnsi="Arial"/>
          <w:sz w:val="18"/>
          <w:szCs w:val="18"/>
          <w:color w:val="auto"/>
        </w:rPr>
        <w:t>total of</w:t>
      </w:r>
      <w:r>
        <w:rPr>
          <w:sz w:val="20"/>
          <w:szCs w:val="20"/>
          <w:color w:val="auto"/>
        </w:rPr>
        <w:tab/>
      </w:r>
      <w:r>
        <w:rPr>
          <w:rFonts w:ascii="Arial" w:cs="Arial" w:eastAsia="Arial" w:hAnsi="Arial"/>
          <w:sz w:val="18"/>
          <w:szCs w:val="18"/>
          <w:color w:val="auto"/>
        </w:rPr>
        <w:t>shares of our Class A common stock outstanding (or</w:t>
      </w:r>
      <w:r>
        <w:rPr>
          <w:sz w:val="20"/>
          <w:szCs w:val="20"/>
          <w:color w:val="auto"/>
        </w:rPr>
        <w:tab/>
      </w:r>
      <w:r>
        <w:rPr>
          <w:rFonts w:ascii="Arial" w:cs="Arial" w:eastAsia="Arial" w:hAnsi="Arial"/>
          <w:sz w:val="16"/>
          <w:szCs w:val="16"/>
          <w:color w:val="auto"/>
        </w:rPr>
        <w:t>shares if the underwriters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6" w:name="page67"/>
    <w:bookmarkEnd w:id="66"/>
    <w:p>
      <w:pPr>
        <w:jc w:val="both"/>
        <w:spacing w:after="0" w:line="291" w:lineRule="auto"/>
        <w:rPr>
          <w:sz w:val="20"/>
          <w:szCs w:val="20"/>
          <w:color w:val="auto"/>
        </w:rPr>
      </w:pPr>
      <w:r>
        <w:rPr>
          <w:rFonts w:ascii="Arial" w:cs="Arial" w:eastAsia="Arial" w:hAnsi="Arial"/>
          <w:sz w:val="16"/>
          <w:szCs w:val="16"/>
          <w:color w:val="auto"/>
        </w:rPr>
        <w:t>exercise in full their option to purchase additional shares of our Class A common stock). All of the shares of our Class A common stock sold in this offering will be freely tradable without restriction or further registration under the Securities Act, by persons other than our “affiliates,” as that term is defined under</w:t>
      </w:r>
    </w:p>
    <w:p>
      <w:pPr>
        <w:jc w:val="both"/>
        <w:spacing w:after="0" w:line="255" w:lineRule="auto"/>
        <w:rPr>
          <w:sz w:val="20"/>
          <w:szCs w:val="20"/>
          <w:color w:val="auto"/>
        </w:rPr>
      </w:pPr>
      <w:r>
        <w:rPr>
          <w:rFonts w:ascii="Arial" w:cs="Arial" w:eastAsia="Arial" w:hAnsi="Arial"/>
          <w:sz w:val="18"/>
          <w:szCs w:val="18"/>
          <w:color w:val="auto"/>
        </w:rPr>
        <w:t>Rule 144 of the Securities Act (“Rule 144”). The remaining shares of our Class A common stock held by our affiliates, including our directors, executive officers and other affiliates (including our Sponsors), after this offering may be sold only in compliance with the limitations described in “Shares Eligible for Future Sale.”</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and the Pre-IPO LLC Unitholders will enter into an exchange agreement under which they (or certain permitted transferees) will have the right, after the completion of this offering (subject to the terms of the exchange agreement), to exchange their LLC Units for shares of our Class A common</w:t>
      </w:r>
    </w:p>
    <w:p>
      <w:pPr>
        <w:jc w:val="both"/>
        <w:spacing w:after="0" w:line="265" w:lineRule="auto"/>
        <w:rPr>
          <w:sz w:val="20"/>
          <w:szCs w:val="20"/>
          <w:color w:val="auto"/>
        </w:rPr>
      </w:pPr>
      <w:r>
        <w:rPr>
          <w:rFonts w:ascii="Arial" w:cs="Arial" w:eastAsia="Arial" w:hAnsi="Arial"/>
          <w:sz w:val="17"/>
          <w:szCs w:val="17"/>
          <w:color w:val="auto"/>
        </w:rPr>
        <w:t>stock on a basis, subject to customary conversion rate adjustments. Upon completion of this offering (subject to the terms of the exchange agreement), an aggregate of LLC Units may be exchanged for shares of our Class A common stock. Any shares we issue upon exchange of LLC Units will</w:t>
      </w:r>
    </w:p>
    <w:p>
      <w:pPr>
        <w:jc w:val="both"/>
        <w:spacing w:after="0" w:line="290" w:lineRule="auto"/>
        <w:rPr>
          <w:sz w:val="20"/>
          <w:szCs w:val="20"/>
          <w:color w:val="auto"/>
        </w:rPr>
      </w:pPr>
      <w:r>
        <w:rPr>
          <w:rFonts w:ascii="Arial" w:cs="Arial" w:eastAsia="Arial" w:hAnsi="Arial"/>
          <w:sz w:val="16"/>
          <w:szCs w:val="16"/>
          <w:color w:val="auto"/>
        </w:rPr>
        <w:t>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LLC Units exchanged. We, our executive officers, our directors, and the holders of substantially all of our LLC Units, have agreed, subject to certain exceptions, not to dispose of or hedge any shares of our Class A common stock (including shares issued upon exchange of LLC Units) or securities convertible into or exchangeable for shares of our Class A common stock, including our Class B common stock, for days from the date of this prospectus, except with the representatives’ prior written consent. See “Underwriting.”</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However, subject to the expiration or waiver of the -day lock-up period, the holders of these shares of Class A common stock (including shares issued upon exchange of LLC Units)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w:t>
      </w:r>
    </w:p>
    <w:p>
      <w:pPr>
        <w:jc w:val="both"/>
        <w:spacing w:after="0" w:line="253" w:lineRule="auto"/>
        <w:rPr>
          <w:sz w:val="20"/>
          <w:szCs w:val="20"/>
          <w:color w:val="auto"/>
        </w:rPr>
      </w:pPr>
      <w:r>
        <w:rPr>
          <w:rFonts w:ascii="Arial" w:cs="Arial" w:eastAsia="Arial" w:hAnsi="Arial"/>
          <w:sz w:val="18"/>
          <w:szCs w:val="18"/>
          <w:color w:val="auto"/>
        </w:rPr>
        <w:t>shares covered by registration rights would represent approximately % of our total Class A common stock outstanding (or shares if the underwriters exercise in full their option to purchase additional shares of our Class A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3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shares of our Class A common stock or securities convertible into or exchangeable for shares of our Class A common stock issued pursuant to our Omnibus Incentive Plan. Any such Form S-8 registration statements will automatically become effective upon filing. Accordingly, shares registered under such registration statements will be available for sale in the</w:t>
      </w:r>
    </w:p>
    <w:p>
      <w:pPr>
        <w:spacing w:after="0"/>
        <w:tabs>
          <w:tab w:leader="none" w:pos="7040" w:val="left"/>
        </w:tabs>
        <w:rPr>
          <w:sz w:val="20"/>
          <w:szCs w:val="20"/>
          <w:color w:val="auto"/>
        </w:rPr>
      </w:pPr>
      <w:r>
        <w:rPr>
          <w:rFonts w:ascii="Arial" w:cs="Arial" w:eastAsia="Arial" w:hAnsi="Arial"/>
          <w:sz w:val="18"/>
          <w:szCs w:val="18"/>
          <w:color w:val="auto"/>
        </w:rPr>
        <w:t>open market. We expect that the initial registration statement on Form S-8 will cover</w:t>
      </w:r>
      <w:r>
        <w:rPr>
          <w:sz w:val="20"/>
          <w:szCs w:val="20"/>
          <w:color w:val="auto"/>
        </w:rPr>
        <w:tab/>
      </w:r>
      <w:r>
        <w:rPr>
          <w:rFonts w:ascii="Arial" w:cs="Arial" w:eastAsia="Arial" w:hAnsi="Arial"/>
          <w:sz w:val="16"/>
          <w:szCs w:val="16"/>
          <w:color w:val="auto"/>
        </w:rPr>
        <w:t>shares of our Class A common stock.</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immediately prior to the consummation of this offering will contain provisions that may make a merger with or acquisition of our Company more difficult without the approval of our board of directors. Among other things, these provisions:</w:t>
      </w:r>
    </w:p>
    <w:p>
      <w:pPr>
        <w:sectPr>
          <w:pgSz w:w="11900" w:h="16838" w:orient="portrait"/>
          <w:cols w:equalWidth="0" w:num="1">
            <w:col w:w="11420"/>
          </w:cols>
          <w:pgMar w:left="240" w:top="341" w:right="239" w:bottom="1440" w:gutter="0" w:footer="0" w:header="0"/>
        </w:sectPr>
      </w:pP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provide for the removal of directors only for cause and only upon the affirmative vote of the holders of at least % in voting power of the outstanding shares of our capital stock entitled to vote if the parties to our stockholders agreement beneficially own less than % of the total voting power of all then-outstanding shares of our capital stock entitled to vote generally in the election of directors;</w:t>
      </w:r>
    </w:p>
    <w:p>
      <w:pPr>
        <w:spacing w:after="0" w:line="127" w:lineRule="exact"/>
        <w:rPr>
          <w:sz w:val="20"/>
          <w:szCs w:val="20"/>
          <w:color w:val="auto"/>
        </w:rPr>
      </w:pPr>
    </w:p>
    <w:p>
      <w:pPr>
        <w:sectPr>
          <w:pgSz w:w="11900" w:h="16838" w:orient="portrait"/>
          <w:cols w:equalWidth="0" w:num="2">
            <w:col w:w="400" w:space="260"/>
            <w:col w:w="10760"/>
          </w:cols>
          <w:pgMar w:left="240" w:top="341" w:right="239" w:bottom="1440" w:gutter="0" w:footer="0" w:header="0"/>
          <w:type w:val="continuous"/>
        </w:sectPr>
      </w:pPr>
    </w:p>
    <w:p>
      <w:pPr>
        <w:jc w:val="both"/>
        <w:ind w:left="66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prohibit stockholder action by written consent from and after the date on which the parties to our stockholders agreement cease to beneficially own at</w:t>
      </w:r>
    </w:p>
    <w:p>
      <w:pPr>
        <w:spacing w:after="0" w:line="46"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least % of the total voting power of all then-outstanding shares of our capital stock entitled to vote generally in the election of directors unless such action is recommended by all directors then in office;</w:t>
      </w:r>
    </w:p>
    <w:p>
      <w:pPr>
        <w:spacing w:after="0" w:line="13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certain limitations on convening special stockholder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(i) that the board of directors is expressly authorized to make, alter, or repeal our bylaws and (ii) that our stockholders may only amend our</w:t>
      </w:r>
    </w:p>
    <w:p>
      <w:pPr>
        <w:sectPr>
          <w:pgSz w:w="11900" w:h="16838" w:orient="portrait"/>
          <w:cols w:equalWidth="0" w:num="1">
            <w:col w:w="11420"/>
          </w:cols>
          <w:pgMar w:left="240" w:top="341" w:right="239" w:bottom="1440" w:gutter="0" w:footer="0" w:header="0"/>
          <w:type w:val="continuous"/>
        </w:sectPr>
      </w:pP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bylaws with the approval of % or more of all of then-outstanding shares of our capital stock entitled to vote if the parties to our stockholders agreement beneficially own less than % of the total voting power of all then-outstanding shares of our capital stock entitled to vote generally in the election of directors;</w:t>
      </w:r>
    </w:p>
    <w:p>
      <w:pPr>
        <w:sectPr>
          <w:pgSz w:w="11900" w:h="16838" w:orient="portrait"/>
          <w:cols w:equalWidth="0" w:num="1">
            <w:col w:w="11420"/>
          </w:cols>
          <w:pgMar w:left="240" w:top="341" w:right="239" w:bottom="1440" w:gutter="0" w:footer="0" w:header="0"/>
          <w:type w:val="continuous"/>
        </w:sectPr>
      </w:pPr>
    </w:p>
    <w:p>
      <w:pPr>
        <w:spacing w:after="0" w:line="13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provide that certain provisions of our amended and restated certificate of incorporation may be amended only by the affirmative vote of the holders</w:t>
      </w:r>
    </w:p>
    <w:p>
      <w:pPr>
        <w:sectPr>
          <w:pgSz w:w="11900" w:h="16838" w:orient="portrait"/>
          <w:cols w:equalWidth="0" w:num="1">
            <w:col w:w="11420"/>
          </w:cols>
          <w:pgMar w:left="240" w:top="341" w:right="239" w:bottom="1440" w:gutter="0" w:footer="0" w:header="0"/>
          <w:type w:val="continuous"/>
        </w:sectPr>
      </w:pP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of at least % in voting power of then-outstanding shares of our capital stock entitled to vote if the parties to our stockholders agreement beneficially own less than % of the total voting power of all then-outstanding shares of our capital stock entitled to vote generally in the election of directors; and</w:t>
      </w:r>
    </w:p>
    <w:p>
      <w:pPr>
        <w:sectPr>
          <w:pgSz w:w="11900" w:h="16838" w:orient="portrait"/>
          <w:cols w:equalWidth="0" w:num="1">
            <w:col w:w="11420"/>
          </w:cols>
          <w:pgMar w:left="240" w:top="341" w:right="239" w:bottom="1440" w:gutter="0" w:footer="0" w:header="0"/>
          <w:type w:val="continuous"/>
        </w:sectPr>
      </w:pPr>
    </w:p>
    <w:p>
      <w:pPr>
        <w:spacing w:after="0" w:line="136"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type w:val="continuous"/>
        </w:sectPr>
      </w:pPr>
    </w:p>
    <w:bookmarkStart w:id="68" w:name="page69"/>
    <w:bookmarkEnd w:id="68"/>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any</w:t>
      </w:r>
    </w:p>
    <w:p>
      <w:pPr>
        <w:spacing w:after="0" w:line="35" w:lineRule="exact"/>
        <w:rPr>
          <w:sz w:val="20"/>
          <w:szCs w:val="20"/>
          <w:color w:val="auto"/>
        </w:rPr>
      </w:pPr>
    </w:p>
    <w:p>
      <w:pPr>
        <w:jc w:val="both"/>
        <w:ind w:firstLine="8"/>
        <w:spacing w:after="0" w:line="285"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derivative action or proceeding brought on our behalf, (ii) action asserting a claim of breach of a fiduciary duty owed by any director, officer, stockholder or employee of ours to us or our stockholders, (iii) action asserting a claim arising pursuant to any provision of the Delaware General Corporation Law (the “DGCL”) or our amended and restated certificate of incorporation or our amended and restated bylaws, or (iv)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Securities Act or the Exchange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w:t>
      </w:r>
    </w:p>
    <w:p>
      <w:pPr>
        <w:spacing w:after="0" w:line="11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forward-looking statements contained in this prospectus are based on management’s current expectations and are not guarantees of future performance. Our expectations, beliefs and projections are expressed in good faith and we believe there is a reasonable basis for them. However, there can be no assurance that management’s expectations, beliefs and projections will result or be achieved. Such forward-looking statements are subject to various risks, uncertainties, assumptions or changes in circumstances that are difficult to predict or quantify. Accordingly, there are or will be important factors including:</w:t>
      </w:r>
    </w:p>
    <w:p>
      <w:pPr>
        <w:spacing w:after="0" w:line="10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effects of companies more effectively catering to our customers by offering more tailored products or platforms at lower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reliance on third-party systems that we do not control to integrate with our system and our potential inability to continue to support integration;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attract new customers and expand existing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factors described under “Risk Factors.”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70" w:name="page71"/>
    <w:bookmarkEnd w:id="70"/>
    <w:p>
      <w:pPr>
        <w:ind w:right="20"/>
        <w:spacing w:after="0" w:line="277" w:lineRule="auto"/>
        <w:rPr>
          <w:sz w:val="20"/>
          <w:szCs w:val="20"/>
          <w:color w:val="auto"/>
        </w:rPr>
      </w:pPr>
      <w:r>
        <w:rPr>
          <w:rFonts w:ascii="Arial" w:cs="Arial" w:eastAsia="Arial" w:hAnsi="Arial"/>
          <w:sz w:val="18"/>
          <w:szCs w:val="18"/>
          <w:color w:val="auto"/>
        </w:rPr>
        <w:t>impact of any future acquisitions, mergers, dispositions, joint ventures, investments, or other strategic transactions we may make. You should not place undue reliance on our forward-looking statements.</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Any forward-looking statement made by us in this prospectus speaks only as of the date of this prospectus. We undertake no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powered by DiscoverOrg platform. Independent consultant reports, industry publications, and other published industry sources generally indicate that the information contained therein was obtained from sources believed to be reliable.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source of certain statistical data, estimates, and forecasts contained in this prospectus are the following independent industry publications or reports:</w:t>
      </w:r>
    </w:p>
    <w:p>
      <w:pPr>
        <w:spacing w:after="0" w:line="194" w:lineRule="exact"/>
        <w:rPr>
          <w:sz w:val="20"/>
          <w:szCs w:val="20"/>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B2B Sales and Marketing Intelligence Solutions Drive Improved Business Outcomes, a commissioned study conducted by Forrester Consulting on behalf of DiscoverOrg, August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State of Sales, Salesforce Research, July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S&amp;P Global Capital IQ database, ©2019: S&amp;P Global Market Intelligence;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Global Industry Analysts, Global Customer Relationship Management (CRM) Software Industry Report, October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Tracking the True Cost of Sales, Sirius Decisions, 2019.</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72" w:name="page73"/>
    <w:bookmarkEnd w:id="72"/>
    <w:p>
      <w:pPr>
        <w:ind w:left="4300"/>
        <w:spacing w:after="0"/>
        <w:rPr>
          <w:sz w:val="20"/>
          <w:szCs w:val="20"/>
          <w:color w:val="auto"/>
        </w:rPr>
      </w:pPr>
      <w:r>
        <w:rPr>
          <w:rFonts w:ascii="Arial" w:cs="Arial" w:eastAsia="Arial" w:hAnsi="Arial"/>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 Prior to this Offering and the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diagram below depicts our current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118110</wp:posOffset>
            </wp:positionV>
            <wp:extent cx="1792605" cy="3807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2605"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DiscoverOrg, LLC serves as the borrower under our secured credit facilities. See “Description of Certain Indebtedness.”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 Following this Offering and the Transactions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of ZoomInfo OpCo and, through ZoomInfo OpCo and its subsidiaries, conduct our business. 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 ZoomInfo Technologies Inc. will consolidate ZoomInfo OpCo in its consolidated financial statements and record a non-controlling interest related to the LLC Units held by the Pre-IPO LLC Unitholders on its consolidated balance sheet and statement of income.</w:t>
      </w:r>
    </w:p>
    <w:p>
      <w:pPr>
        <w:spacing w:after="0" w:line="11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Pre-IPO LLC Unitholders will hold all of the issued and outstanding shares of our Class B common stock. The shares of Class B common stock will have no economic rights but will entitle each holder, without regard to the number of shares of Class B common stock held by such holder, to a number of</w:t>
      </w:r>
    </w:p>
    <w:p>
      <w:pPr>
        <w:jc w:val="both"/>
        <w:spacing w:after="0" w:line="261" w:lineRule="auto"/>
        <w:rPr>
          <w:sz w:val="20"/>
          <w:szCs w:val="20"/>
          <w:color w:val="auto"/>
        </w:rPr>
      </w:pPr>
      <w:r>
        <w:rPr>
          <w:rFonts w:ascii="Arial" w:cs="Arial" w:eastAsia="Arial" w:hAnsi="Arial"/>
          <w:sz w:val="18"/>
          <w:szCs w:val="18"/>
          <w:color w:val="auto"/>
        </w:rPr>
        <w:t>votes that is equal to the aggregate number of LLC Units of ZoomInfo OpCo held by such holder on all matters on which stockholders of ZoomInfo Technologies Inc. are entitled to vote generally. The voting power afforded to holders of LLC Units by their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7" w:right="239" w:bottom="1440" w:gutter="0" w:footer="0" w:header="0"/>
        </w:sectPr>
      </w:pPr>
    </w:p>
    <w:bookmarkStart w:id="73" w:name="page74"/>
    <w:bookmarkEnd w:id="73"/>
    <w:p>
      <w:pPr>
        <w:jc w:val="both"/>
        <w:spacing w:after="0" w:line="291" w:lineRule="auto"/>
        <w:rPr>
          <w:sz w:val="20"/>
          <w:szCs w:val="20"/>
          <w:color w:val="auto"/>
        </w:rPr>
      </w:pPr>
      <w:r>
        <w:rPr>
          <w:rFonts w:ascii="Arial" w:cs="Arial" w:eastAsia="Arial" w:hAnsi="Arial"/>
          <w:sz w:val="16"/>
          <w:szCs w:val="16"/>
          <w:color w:val="auto"/>
        </w:rPr>
        <w:t>shares of Class B common stock is automatically and correspondingly reduced as they exchange LLC Units for shares of Class A common stock of ZoomInfo Technologies Inc. pursuant to the exchange agreement. If at any time the ratio at which LLC Units are exchangeable for shares of our Class A common stock</w:t>
      </w:r>
    </w:p>
    <w:p>
      <w:pPr>
        <w:jc w:val="both"/>
        <w:spacing w:after="0" w:line="277" w:lineRule="auto"/>
        <w:rPr>
          <w:sz w:val="20"/>
          <w:szCs w:val="20"/>
          <w:color w:val="auto"/>
        </w:rPr>
      </w:pPr>
      <w:r>
        <w:rPr>
          <w:rFonts w:ascii="Arial" w:cs="Arial" w:eastAsia="Arial" w:hAnsi="Arial"/>
          <w:sz w:val="17"/>
          <w:szCs w:val="17"/>
          <w:color w:val="auto"/>
        </w:rPr>
        <w:t>changes from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post-offering organizational structure, as described above, is commonly referred to as an umbrella partnership-C-corporation (or UP-C) structure. This organizational structure is intended to allow our Pre-IPO LLC Unitholders to retain their equity ownership in ZoomInfo OpCo, an entity that is classified as a partnership for U.S. federal income tax purposes, in the form of LLC Units. Investors in this offering and the Pre-IPO Shareholders will, by contrast, hold their equity ownership in ZoomInfo Technologies Inc., a Delaware corporation that is a domestic corporation for U.S. federal income tax purposes, in the form of shares of Class A common stock. We believe that our Pre-IPO LLC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diagram below depicts our organizational structure immediately following the consummation of the Offering Transactions and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83185</wp:posOffset>
            </wp:positionV>
            <wp:extent cx="5351145" cy="4013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5114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42" w:lineRule="exact"/>
        <w:rPr>
          <w:sz w:val="20"/>
          <w:szCs w:val="20"/>
          <w:color w:val="auto"/>
        </w:rPr>
      </w:pPr>
    </w:p>
    <w:p>
      <w:pPr>
        <w:spacing w:after="0"/>
        <w:tabs>
          <w:tab w:leader="none" w:pos="320" w:val="left"/>
          <w:tab w:leader="none" w:pos="7700" w:val="left"/>
        </w:tabs>
        <w:rPr>
          <w:sz w:val="20"/>
          <w:szCs w:val="20"/>
          <w:color w:val="auto"/>
        </w:rPr>
      </w:pPr>
      <w:r>
        <w:rPr>
          <w:rFonts w:ascii="Arial" w:cs="Arial" w:eastAsia="Arial" w:hAnsi="Arial"/>
          <w:sz w:val="14"/>
          <w:szCs w:val="14"/>
          <w:color w:val="auto"/>
        </w:rPr>
        <w:t>(1)</w:t>
        <w:tab/>
        <w:t>The Class B common stock will provide each of the Pre-IPO LLC Unitholders with a number of votes that is equal to</w:t>
      </w:r>
      <w:r>
        <w:rPr>
          <w:sz w:val="20"/>
          <w:szCs w:val="20"/>
          <w:color w:val="auto"/>
        </w:rPr>
        <w:tab/>
      </w:r>
      <w:r>
        <w:rPr>
          <w:rFonts w:ascii="Arial" w:cs="Arial" w:eastAsia="Arial" w:hAnsi="Arial"/>
          <w:sz w:val="13"/>
          <w:szCs w:val="13"/>
          <w:color w:val="auto"/>
        </w:rPr>
        <w:t>the aggregate number of LLC Units held by such Pre-IPO LLC</w:t>
      </w:r>
    </w:p>
    <w:p>
      <w:pPr>
        <w:spacing w:after="0" w:line="55" w:lineRule="exact"/>
        <w:rPr>
          <w:sz w:val="20"/>
          <w:szCs w:val="20"/>
          <w:color w:val="auto"/>
        </w:rPr>
      </w:pPr>
    </w:p>
    <w:p>
      <w:pPr>
        <w:ind w:left="340"/>
        <w:spacing w:after="0"/>
        <w:tabs>
          <w:tab w:leader="none" w:pos="6200" w:val="left"/>
        </w:tabs>
        <w:rPr>
          <w:sz w:val="20"/>
          <w:szCs w:val="20"/>
          <w:color w:val="auto"/>
        </w:rPr>
      </w:pPr>
      <w:r>
        <w:rPr>
          <w:rFonts w:ascii="Arial" w:cs="Arial" w:eastAsia="Arial" w:hAnsi="Arial"/>
          <w:sz w:val="14"/>
          <w:szCs w:val="14"/>
          <w:color w:val="auto"/>
        </w:rPr>
        <w:t>Unitholder. Immediately following this offering, the Pre-IPO LLC Unitholders will hold</w:t>
      </w:r>
      <w:r>
        <w:rPr>
          <w:sz w:val="20"/>
          <w:szCs w:val="20"/>
          <w:color w:val="auto"/>
        </w:rPr>
        <w:tab/>
      </w:r>
      <w:r>
        <w:rPr>
          <w:rFonts w:ascii="Arial" w:cs="Arial" w:eastAsia="Arial" w:hAnsi="Arial"/>
          <w:sz w:val="14"/>
          <w:szCs w:val="14"/>
          <w:color w:val="auto"/>
        </w:rPr>
        <w:t>% of the voting power in ZoomInfo Technologies Inc. For additional information, see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“Description of Capital Stock—Common Stock—Class B Common Stock.”</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4" w:name="page75"/>
    <w:bookmarkEnd w:id="74"/>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DiscoverOrg, LLC serves as the borrower under the secured credit facilities. See “Description of Certain Indebtedness.”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ZoomInfo Technologies Inc.</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two classes of common stock, Class A common stock and Class B common stock, each having the terms described in “Description of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Blocker Mergers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Immediately prior to the completion of this offering, ZoomInfo Technologies Inc. will form a new merger subsidiary with respect to each of the Blocker Companies, through which certain of our Pre-IPO Shareholders hold their interests in us, and each merger subsidiary will merge with and into such Blocker Company in a reverse subsidiary merger, and the surviving entities will merge with and into ZoomInfo Technologies Inc. In the Blocker Mergers, the Pre-IPO</w:t>
      </w:r>
    </w:p>
    <w:p>
      <w:pPr>
        <w:jc w:val="both"/>
        <w:spacing w:after="0" w:line="261" w:lineRule="auto"/>
        <w:rPr>
          <w:sz w:val="20"/>
          <w:szCs w:val="20"/>
          <w:color w:val="auto"/>
        </w:rPr>
      </w:pPr>
      <w:r>
        <w:rPr>
          <w:rFonts w:ascii="Arial" w:cs="Arial" w:eastAsia="Arial" w:hAnsi="Arial"/>
          <w:sz w:val="18"/>
          <w:szCs w:val="18"/>
          <w:color w:val="auto"/>
        </w:rPr>
        <w:t>Shareholders, as the 100% owners of the Blocker Companies, will acquire shares of newly issued Class A common stock, and ZoomInfo Technologies Inc. will acquire an equal number of outstanding LLC Units.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and Amendment and Restatement of Limited Liability Company Agreement of ZoomInfo OpCo</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capital structure of ZoomInfo OpCo currently consists of four different classes of limited partnership interests (Series A Preferred, Preferred, Common, and Class P). Prior to the completion of this offering, the limited liability company agreement of ZoomInfo OpCo will be amended and restated to,</w:t>
      </w:r>
    </w:p>
    <w:p>
      <w:pPr>
        <w:jc w:val="both"/>
        <w:spacing w:after="0" w:line="261" w:lineRule="auto"/>
        <w:rPr>
          <w:sz w:val="20"/>
          <w:szCs w:val="20"/>
          <w:color w:val="auto"/>
        </w:rPr>
      </w:pPr>
      <w:r>
        <w:rPr>
          <w:rFonts w:ascii="Arial" w:cs="Arial" w:eastAsia="Arial" w:hAnsi="Arial"/>
          <w:sz w:val="18"/>
          <w:szCs w:val="18"/>
          <w:color w:val="auto"/>
        </w:rPr>
        <w:t>among other things, modify its capital structure by creating a single new class of units that we refer to as “LLC Units.” Immediately following the Reorganization Transactions but prior to the other Offering Transactions described below, there will be LLC Units issued and outstanding.</w:t>
      </w:r>
    </w:p>
    <w:p>
      <w:pPr>
        <w:spacing w:after="0" w:line="13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Pursuant to the amended and restated limited liability company agreement of ZoomInfo OpCo, ZoomInfo Technologies Inc. will be the sole managing member of ZoomInfo OpCo. Accordingly, ZoomInfo Technologies Inc. will have the right to determine when distributions will be made to the members of ZoomInfo OpCo and the amount of any such distributions. If ZoomInfo Technologies Inc., as managing member, authorizes a distribution, such distribution will be made to the members of ZoomInfo OpCo pro rata in accordance with the percentages of their respective limited liability company interests.</w:t>
      </w:r>
    </w:p>
    <w:p>
      <w:pPr>
        <w:spacing w:after="0" w:line="10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holders of LLC Units in ZoomInfo OpCo, including ZoomInfo Technologies Inc., will incur United States federal, state and local income taxes on their proportionate share of any taxable income of ZoomInfo OpCo. Net profits and net losses of ZoomInfo OpCo will generally be allocated to its members (including ZoomInfo Technologies Inc.) pro rata in accordance with the percentages of their respective limited liability company interests, except as otherwise required by law. The amended and restated limited liability company agreement provides for cash distributions to the holders of limited liability company interests in ZoomInfo OpCo if ZoomInfo Technologies Inc. determines that the taxable income of ZoomInfo OpCo will give rise to taxable income for its members. In accordance with the amended and restated limited liability company agreement, we intend to cause ZoomInfo OpCo to make pro rata cash distributions to the holders of limited liability company interests in ZoomInfo OpCo for purposes of funding their tax obligations in respect of the income of ZoomInfo OpCo that is allocated to them. Generally, these tax distributions will be computed based on our estimate of the taxable income of ZoomInfo OpCo allocated to the holder of LLC Units that receives the greatest proportionate allocation of income multiplied by an assumed tax rate. See “Certain Relationships and Related Person Transactions—ZoomInfo OpCo Amended and Restated Limited Liability Company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and the holders of outstanding LLC Units will enter into an exchange agreement at the time of this offering under which they (or certain of their permitted transferees) will have the right (subject to the terms of the exchange agreement) to exchange their LLC Units for shares of our Class A common</w:t>
      </w:r>
    </w:p>
    <w:p>
      <w:pPr>
        <w:jc w:val="both"/>
        <w:spacing w:after="0" w:line="261" w:lineRule="auto"/>
        <w:rPr>
          <w:sz w:val="20"/>
          <w:szCs w:val="20"/>
          <w:color w:val="auto"/>
        </w:rPr>
      </w:pPr>
      <w:r>
        <w:rPr>
          <w:rFonts w:ascii="Arial" w:cs="Arial" w:eastAsia="Arial" w:hAnsi="Arial"/>
          <w:sz w:val="18"/>
          <w:szCs w:val="18"/>
          <w:color w:val="auto"/>
        </w:rPr>
        <w:t>stock on a basis, subject to customary conversion rate adjustments for stock splits, stock dividends, and reclassifications. Our board of directors may impose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7" w:right="23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8"/>
          <w:szCs w:val="18"/>
          <w:color w:val="auto"/>
        </w:rPr>
        <w:t>restrictions on exchange that it determines in good faith to be necessary so that ZoomInfo OpCo is not treated as a “publicly traded partnership” for U.S. federal income tax purposes. The exchange agreement will also provide that a holder of LLC Units will not have the right to exchange LLC Units if ZoomInfo Technologies Inc. determines that such exchange would be prohibited by law or regulation or would violate debt agreements or other material agreements of ZoomInfo Technologies Inc. or its subsidiaries, other agreements with ZoomInfo Technologies Inc. or its subsidiaries to which the holder of LLC Units may be subject, or ZoomInfo Technologies Inc.’s insider trading policies. As a holder exchanges LLC Units for shares of Class A common stock, the number of LLC Units held by ZoomInfo Technologies Inc. is correspondingly increased as it acquires the exchanged LLC Units. See “Certain Relationships and Related Person Transactions—Exchange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Transactions</w:t>
      </w:r>
    </w:p>
    <w:p>
      <w:pPr>
        <w:spacing w:after="0" w:line="17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At the time of the consummation of this offering, ZoomInfo Technologies Inc. intends to consummate the purchase, for cash, of newly issued LLC Units from ZoomInfo OpCo at a purchase price per unit equal to the initial public offering price per share of Class A common stock in this offering net of</w:t>
      </w:r>
    </w:p>
    <w:p>
      <w:pPr>
        <w:jc w:val="both"/>
        <w:spacing w:after="0" w:line="265" w:lineRule="auto"/>
        <w:rPr>
          <w:sz w:val="20"/>
          <w:szCs w:val="20"/>
          <w:color w:val="auto"/>
        </w:rPr>
      </w:pPr>
      <w:r>
        <w:rPr>
          <w:rFonts w:ascii="Arial" w:cs="Arial" w:eastAsia="Arial" w:hAnsi="Arial"/>
          <w:sz w:val="17"/>
          <w:szCs w:val="17"/>
          <w:color w:val="auto"/>
        </w:rPr>
        <w:t>underwriting discounts and commissions. Assuming that the shares of Class A common stock to be sold in this offering are sold at $ per share, which is the midpoint of the range on the front cover of this prospectus, at the time of this offering, ZoomInfo Technologies Inc. will purchase from ZoomInfo</w:t>
      </w:r>
    </w:p>
    <w:p>
      <w:pPr>
        <w:jc w:val="both"/>
        <w:spacing w:after="0" w:line="252" w:lineRule="auto"/>
        <w:rPr>
          <w:sz w:val="20"/>
          <w:szCs w:val="20"/>
          <w:color w:val="auto"/>
        </w:rPr>
      </w:pPr>
      <w:r>
        <w:rPr>
          <w:rFonts w:ascii="Arial" w:cs="Arial" w:eastAsia="Arial" w:hAnsi="Arial"/>
          <w:sz w:val="18"/>
          <w:szCs w:val="18"/>
          <w:color w:val="auto"/>
        </w:rPr>
        <w:t>OpCo newly issued LLC Units for an aggregate of $ (or newly issued LLC Units for an aggregate of $ if the underwriters exercise in full their option to purchase additional shares of Class A common stock). The issuance and sale of such newly issued LLC Units by ZoomInfo OpCo to ZoomInfo Technologies Inc. will correspondingly dilute the ownership interests of our pre-IPO owners in ZoomInfo OpCo. See “Principal Stockholders” for more information regarding the proceeds from this offering that will be paid to our directors and named executive officers. Accordingly, following this offering ZoomInfo Technologies Inc. will hold a number of LLC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LLC Unit.</w:t>
      </w:r>
    </w:p>
    <w:p>
      <w:pPr>
        <w:spacing w:after="0" w:line="13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the completion of this offering, we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the tax basis adjustments generated over time may increase (for tax purposes) depreciation and amortization deductions and, therefore, may reduce the amount of tax that ZoomInfo Technologies Inc. would otherwise be required to pay in the future. Actual tax benefits realized by ZoomInfo Technologies Inc.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ZoomInfo Technologies Inc. and not of ZoomInfo OpCo. See “Certain Relationships and Related Person Transactions—Tax Receivable Agreement.”</w:t>
      </w:r>
    </w:p>
    <w:p>
      <w:pPr>
        <w:spacing w:after="0" w:line="126" w:lineRule="exact"/>
        <w:rPr>
          <w:sz w:val="20"/>
          <w:szCs w:val="20"/>
          <w:color w:val="auto"/>
        </w:rPr>
      </w:pPr>
    </w:p>
    <w:p>
      <w:pPr>
        <w:ind w:left="340"/>
        <w:spacing w:after="0"/>
        <w:tabs>
          <w:tab w:leader="none" w:pos="8900" w:val="left"/>
        </w:tabs>
        <w:rPr>
          <w:sz w:val="20"/>
          <w:szCs w:val="20"/>
          <w:color w:val="auto"/>
        </w:rPr>
      </w:pPr>
      <w:r>
        <w:rPr>
          <w:rFonts w:ascii="Arial" w:cs="Arial" w:eastAsia="Arial" w:hAnsi="Arial"/>
          <w:sz w:val="18"/>
          <w:szCs w:val="18"/>
          <w:color w:val="auto"/>
        </w:rPr>
        <w:t>ZoomInfo Technologies Inc. intends to cause ZoomInfo OpCo to use the net proceeds from this offering to</w:t>
      </w:r>
      <w:r>
        <w:rPr>
          <w:sz w:val="20"/>
          <w:szCs w:val="20"/>
          <w:color w:val="auto"/>
        </w:rPr>
        <w:tab/>
      </w:r>
      <w:r>
        <w:rPr>
          <w:rFonts w:ascii="Arial" w:cs="Arial" w:eastAsia="Arial" w:hAnsi="Arial"/>
          <w:sz w:val="16"/>
          <w:szCs w:val="16"/>
          <w:color w:val="auto"/>
        </w:rPr>
        <w:t>. See “Use of Proceeds.”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refer to the foregoing transactions as the “Offering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transactions described above:</w:t>
      </w:r>
    </w:p>
    <w:p>
      <w:pPr>
        <w:spacing w:after="0" w:line="171"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the investors in this offering will collectively own shares of our Class A common stock (or shares of Class A common stock if the underwriters exercise in full their option to purchase additional shares of Class A common stock);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1"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the Pre-IPO LLC Unitholders will hold</w:t>
            </w:r>
          </w:p>
        </w:tc>
        <w:tc>
          <w:tcPr>
            <w:tcW w:w="3860" w:type="dxa"/>
            <w:vAlign w:val="bottom"/>
            <w:gridSpan w:val="2"/>
          </w:tcPr>
          <w:p>
            <w:pPr>
              <w:ind w:left="100"/>
              <w:spacing w:after="0"/>
              <w:rPr>
                <w:sz w:val="20"/>
                <w:szCs w:val="20"/>
                <w:color w:val="auto"/>
              </w:rPr>
            </w:pPr>
            <w:r>
              <w:rPr>
                <w:rFonts w:ascii="Arial" w:cs="Arial" w:eastAsia="Arial" w:hAnsi="Arial"/>
                <w:sz w:val="18"/>
                <w:szCs w:val="18"/>
                <w:color w:val="auto"/>
                <w:w w:val="94"/>
              </w:rPr>
              <w:t>LLC Units and the Pre-IPO Shareholders will hold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shares of our Class A common</w:t>
            </w:r>
          </w:p>
        </w:tc>
      </w:tr>
      <w:tr>
        <w:trPr>
          <w:trHeight w:val="230"/>
        </w:trPr>
        <w:tc>
          <w:tcPr>
            <w:tcW w:w="180" w:type="dxa"/>
            <w:vAlign w:val="bottom"/>
          </w:tcPr>
          <w:p>
            <w:pPr>
              <w:spacing w:after="0"/>
              <w:rPr>
                <w:sz w:val="20"/>
                <w:szCs w:val="20"/>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stock;</w:t>
            </w:r>
          </w:p>
        </w:tc>
        <w:tc>
          <w:tcPr>
            <w:tcW w:w="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40"/>
              <w:spacing w:after="0"/>
              <w:rPr>
                <w:sz w:val="20"/>
                <w:szCs w:val="20"/>
                <w:color w:val="auto"/>
              </w:rPr>
            </w:pPr>
            <w:r>
              <w:rPr>
                <w:rFonts w:ascii="Arial" w:cs="Arial" w:eastAsia="Arial" w:hAnsi="Arial"/>
                <w:sz w:val="18"/>
                <w:szCs w:val="18"/>
                <w:color w:val="auto"/>
                <w:w w:val="95"/>
              </w:rPr>
              <w:t>ZoomInfo Technologies Inc. will hold</w:t>
            </w:r>
          </w:p>
        </w:tc>
        <w:tc>
          <w:tcPr>
            <w:tcW w:w="980" w:type="dxa"/>
            <w:vAlign w:val="bottom"/>
          </w:tcPr>
          <w:p>
            <w:pPr>
              <w:spacing w:after="0"/>
              <w:rPr>
                <w:sz w:val="24"/>
                <w:szCs w:val="24"/>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LLC Units (or</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w w:val="98"/>
              </w:rPr>
              <w:t>LLC Units if the underwriters exercise in full their option to</w:t>
            </w:r>
          </w:p>
        </w:tc>
      </w:tr>
      <w:tr>
        <w:trPr>
          <w:trHeight w:val="230"/>
        </w:trPr>
        <w:tc>
          <w:tcPr>
            <w:tcW w:w="180" w:type="dxa"/>
            <w:vAlign w:val="bottom"/>
          </w:tcPr>
          <w:p>
            <w:pPr>
              <w:spacing w:after="0"/>
              <w:rPr>
                <w:sz w:val="20"/>
                <w:szCs w:val="20"/>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purchase additional shares of Class A common stock);</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w w:val="97"/>
              </w:rPr>
              <w:t>the investors in this offering will collectively have</w:t>
            </w:r>
          </w:p>
        </w:tc>
        <w:tc>
          <w:tcPr>
            <w:tcW w:w="4940" w:type="dxa"/>
            <w:vAlign w:val="bottom"/>
            <w:gridSpan w:val="3"/>
          </w:tcPr>
          <w:p>
            <w:pPr>
              <w:ind w:left="540"/>
              <w:spacing w:after="0"/>
              <w:rPr>
                <w:sz w:val="20"/>
                <w:szCs w:val="20"/>
                <w:color w:val="auto"/>
              </w:rPr>
            </w:pPr>
            <w:r>
              <w:rPr>
                <w:rFonts w:ascii="Arial" w:cs="Arial" w:eastAsia="Arial" w:hAnsi="Arial"/>
                <w:sz w:val="18"/>
                <w:szCs w:val="18"/>
                <w:color w:val="auto"/>
                <w:w w:val="98"/>
              </w:rPr>
              <w:t>% of the voting power in ZoomInfo Technologies Inc. (or</w:t>
            </w:r>
          </w:p>
        </w:tc>
        <w:tc>
          <w:tcPr>
            <w:tcW w:w="2040" w:type="dxa"/>
            <w:vAlign w:val="bottom"/>
          </w:tcPr>
          <w:p>
            <w:pPr>
              <w:jc w:val="right"/>
              <w:spacing w:after="0"/>
              <w:rPr>
                <w:sz w:val="20"/>
                <w:szCs w:val="20"/>
                <w:color w:val="auto"/>
              </w:rPr>
            </w:pPr>
            <w:r>
              <w:rPr>
                <w:rFonts w:ascii="Arial" w:cs="Arial" w:eastAsia="Arial" w:hAnsi="Arial"/>
                <w:sz w:val="18"/>
                <w:szCs w:val="18"/>
                <w:color w:val="auto"/>
              </w:rPr>
              <w:t>% if the underwriters</w:t>
            </w:r>
          </w:p>
        </w:tc>
      </w:tr>
      <w:tr>
        <w:trPr>
          <w:trHeight w:val="230"/>
        </w:trPr>
        <w:tc>
          <w:tcPr>
            <w:tcW w:w="180" w:type="dxa"/>
            <w:vAlign w:val="bottom"/>
          </w:tcPr>
          <w:p>
            <w:pPr>
              <w:spacing w:after="0"/>
              <w:rPr>
                <w:sz w:val="20"/>
                <w:szCs w:val="20"/>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w w:val="92"/>
              </w:rPr>
              <w:t>exercise in full their option to purchase additional shares of Class A common stock);</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8860" w:type="dxa"/>
            <w:vAlign w:val="bottom"/>
            <w:gridSpan w:val="5"/>
          </w:tcPr>
          <w:p>
            <w:pPr>
              <w:ind w:left="140"/>
              <w:spacing w:after="0"/>
              <w:rPr>
                <w:sz w:val="20"/>
                <w:szCs w:val="20"/>
                <w:color w:val="auto"/>
              </w:rPr>
            </w:pPr>
            <w:r>
              <w:rPr>
                <w:rFonts w:ascii="Arial" w:cs="Arial" w:eastAsia="Arial" w:hAnsi="Arial"/>
                <w:sz w:val="18"/>
                <w:szCs w:val="18"/>
                <w:color w:val="auto"/>
              </w:rPr>
              <w:t>the Pre-IPO LLC Unitholders, as holders of all of the outstanding shares of Class B common stock, will have</w:t>
            </w:r>
          </w:p>
        </w:tc>
        <w:tc>
          <w:tcPr>
            <w:tcW w:w="2040" w:type="dxa"/>
            <w:vAlign w:val="bottom"/>
          </w:tcPr>
          <w:p>
            <w:pPr>
              <w:jc w:val="right"/>
              <w:spacing w:after="0"/>
              <w:rPr>
                <w:sz w:val="20"/>
                <w:szCs w:val="20"/>
                <w:color w:val="auto"/>
              </w:rPr>
            </w:pPr>
            <w:r>
              <w:rPr>
                <w:rFonts w:ascii="Arial" w:cs="Arial" w:eastAsia="Arial" w:hAnsi="Arial"/>
                <w:sz w:val="18"/>
                <w:szCs w:val="18"/>
                <w:color w:val="auto"/>
              </w:rPr>
              <w:t>% of the voting power in</w:t>
            </w:r>
          </w:p>
        </w:tc>
      </w:tr>
      <w:tr>
        <w:trPr>
          <w:trHeight w:val="230"/>
        </w:trPr>
        <w:tc>
          <w:tcPr>
            <w:tcW w:w="180" w:type="dxa"/>
            <w:vAlign w:val="bottom"/>
          </w:tcPr>
          <w:p>
            <w:pPr>
              <w:spacing w:after="0"/>
              <w:rPr>
                <w:sz w:val="20"/>
                <w:szCs w:val="20"/>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ZoomInfo Technologies Inc. (or</w:t>
            </w:r>
          </w:p>
        </w:tc>
        <w:tc>
          <w:tcPr>
            <w:tcW w:w="7960" w:type="dxa"/>
            <w:vAlign w:val="bottom"/>
            <w:gridSpan w:val="5"/>
          </w:tcPr>
          <w:p>
            <w:pPr>
              <w:jc w:val="right"/>
              <w:spacing w:after="0"/>
              <w:rPr>
                <w:sz w:val="20"/>
                <w:szCs w:val="20"/>
                <w:color w:val="auto"/>
              </w:rPr>
            </w:pPr>
            <w:r>
              <w:rPr>
                <w:rFonts w:ascii="Arial" w:cs="Arial" w:eastAsia="Arial" w:hAnsi="Arial"/>
                <w:sz w:val="18"/>
                <w:szCs w:val="18"/>
                <w:color w:val="auto"/>
                <w:w w:val="91"/>
              </w:rPr>
              <w:t>% if the underwriters exercise in full their option to purchase additional shares of Class A common stock); and</w:t>
            </w: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40"/>
              <w:spacing w:after="0"/>
              <w:rPr>
                <w:sz w:val="20"/>
                <w:szCs w:val="20"/>
                <w:color w:val="auto"/>
              </w:rPr>
            </w:pPr>
            <w:r>
              <w:rPr>
                <w:rFonts w:ascii="Arial" w:cs="Arial" w:eastAsia="Arial" w:hAnsi="Arial"/>
                <w:sz w:val="18"/>
                <w:szCs w:val="18"/>
                <w:color w:val="auto"/>
                <w:w w:val="98"/>
              </w:rPr>
              <w:t>the Pre-IPO Shareholders will have</w:t>
            </w:r>
          </w:p>
        </w:tc>
        <w:tc>
          <w:tcPr>
            <w:tcW w:w="4840" w:type="dxa"/>
            <w:vAlign w:val="bottom"/>
            <w:gridSpan w:val="3"/>
          </w:tcPr>
          <w:p>
            <w:pPr>
              <w:ind w:left="260"/>
              <w:spacing w:after="0"/>
              <w:rPr>
                <w:sz w:val="20"/>
                <w:szCs w:val="20"/>
                <w:color w:val="auto"/>
              </w:rPr>
            </w:pPr>
            <w:r>
              <w:rPr>
                <w:rFonts w:ascii="Arial" w:cs="Arial" w:eastAsia="Arial" w:hAnsi="Arial"/>
                <w:sz w:val="18"/>
                <w:szCs w:val="18"/>
                <w:color w:val="auto"/>
              </w:rPr>
              <w:t>% of the voting power in ZoomInfo Technologies Inc. (or</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w w:val="95"/>
              </w:rPr>
              <w:t>% if the underwriters exercise in full their</w:t>
            </w:r>
          </w:p>
        </w:tc>
      </w:tr>
    </w:tbl>
    <w:p>
      <w:pPr>
        <w:ind w:left="320"/>
        <w:spacing w:after="0"/>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580" w:top="34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340"/>
        <w:spacing w:after="0"/>
        <w:tabs>
          <w:tab w:leader="none" w:pos="10200" w:val="left"/>
        </w:tabs>
        <w:rPr>
          <w:sz w:val="20"/>
          <w:szCs w:val="20"/>
          <w:color w:val="auto"/>
        </w:rPr>
      </w:pPr>
      <w:r>
        <w:rPr>
          <w:rFonts w:ascii="Arial" w:cs="Arial" w:eastAsia="Arial" w:hAnsi="Arial"/>
          <w:sz w:val="18"/>
          <w:szCs w:val="18"/>
          <w:color w:val="auto"/>
        </w:rPr>
        <w:t>We estimate that the net proceeds to ZoomInfo Technologies Inc. from this offering at an assumed initial public offering price of $</w:t>
      </w:r>
      <w:r>
        <w:rPr>
          <w:sz w:val="20"/>
          <w:szCs w:val="20"/>
          <w:color w:val="auto"/>
        </w:rPr>
        <w:tab/>
      </w:r>
      <w:r>
        <w:rPr>
          <w:rFonts w:ascii="Arial" w:cs="Arial" w:eastAsia="Arial" w:hAnsi="Arial"/>
          <w:sz w:val="16"/>
          <w:szCs w:val="16"/>
          <w:color w:val="auto"/>
        </w:rPr>
        <w:t>per share, which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is the midpoint of the price range set forth on the cover page of this prospectus, after deducting estimated underwriting discounts and commissions, will be</w:t>
      </w:r>
    </w:p>
    <w:p>
      <w:pPr>
        <w:spacing w:after="0" w:line="38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approximately $ million (or $ million if the underwriters exercise in full their option to purchase additional shares of Class A common stock). A $1.00 increase or decrease in the assumed initial public offering price of $ per share would increase or decrease, as applicable, the net proceeds to ZoomInfo Technologies Inc. from this offering by approximately $ million, assuming the number of shares offered by us remains the same as set forth</w:t>
      </w:r>
    </w:p>
    <w:p>
      <w:pPr>
        <w:jc w:val="both"/>
        <w:spacing w:after="0" w:line="281" w:lineRule="auto"/>
        <w:rPr>
          <w:sz w:val="20"/>
          <w:szCs w:val="20"/>
          <w:color w:val="auto"/>
        </w:rPr>
      </w:pPr>
      <w:r>
        <w:rPr>
          <w:rFonts w:ascii="Arial" w:cs="Arial" w:eastAsia="Arial" w:hAnsi="Arial"/>
          <w:sz w:val="16"/>
          <w:szCs w:val="16"/>
          <w:color w:val="auto"/>
        </w:rPr>
        <w:t>on the cover page of this prospectus and after deducting the estimated underwriting discounts and commissions. ZoomInfo OpCo will bear or reimburse ZoomInfo Technologies Inc. for all of the expenses payable by it in this offering. We estimate these offering expenses (excluding underwriting discounts and</w:t>
      </w:r>
    </w:p>
    <w:p>
      <w:pPr>
        <w:spacing w:after="0" w:line="1"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commissions) will be approximately $</w:t>
      </w:r>
      <w:r>
        <w:rPr>
          <w:sz w:val="20"/>
          <w:szCs w:val="20"/>
          <w:color w:val="auto"/>
        </w:rPr>
        <w:tab/>
      </w:r>
      <w:r>
        <w:rPr>
          <w:rFonts w:ascii="Arial" w:cs="Arial" w:eastAsia="Arial" w:hAnsi="Arial"/>
          <w:sz w:val="18"/>
          <w:szCs w:val="18"/>
          <w:color w:val="auto"/>
        </w:rPr>
        <w:t>million.</w:t>
      </w:r>
    </w:p>
    <w:p>
      <w:pPr>
        <w:spacing w:after="0" w:line="15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ZoomInfo Technologies Inc. intends to use all of the net proceeds from this offering (including from any exercise by the underwriters of their option to purchase additional shares of Class A common stock) to purchase a number of newly issued LLC Units from ZoomInfo OpCo that is equivalent to the number of shares of Class A common stock that we offer and sell in this offering, as described under “Organizational Structure—Offering Transactions.” We intend to</w:t>
      </w:r>
    </w:p>
    <w:p>
      <w:pPr>
        <w:spacing w:after="0"/>
        <w:tabs>
          <w:tab w:leader="none" w:pos="5720" w:val="left"/>
        </w:tabs>
        <w:rPr>
          <w:sz w:val="20"/>
          <w:szCs w:val="20"/>
          <w:color w:val="auto"/>
        </w:rPr>
      </w:pPr>
      <w:r>
        <w:rPr>
          <w:rFonts w:ascii="Arial" w:cs="Arial" w:eastAsia="Arial" w:hAnsi="Arial"/>
          <w:sz w:val="18"/>
          <w:szCs w:val="18"/>
          <w:color w:val="auto"/>
        </w:rPr>
        <w:t>cause ZoomInfo OpCo to use the net proceeds from this offering to</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no current plans to pay dividends on our Class A common stock. The declaration, amount, and payment of any future dividends on shares of Class A common stock will be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 Holders of our Class B common stock do not have any right to receive dividends or to receive a distribution upon a liquidation, dissolution, or winding up of ZoomInfo Technologies Inc.</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LLC Units in ZoomInfo OpCo. We intend to cause ZoomInfo OpCo to make distributions to us in an amount sufficient to cover our taxes and obligations under the tax receivable agreement, as well as any cash dividends declared by us. If ZoomInfo OpCo makes such distributions to ZoomInfo Technologies Inc., the other holders of LLC Units will also be entitled to receive distributions pro rata in accordance with the percentages of their respective limited liability company interests.</w:t>
      </w:r>
    </w:p>
    <w:p>
      <w:pPr>
        <w:spacing w:after="0" w:line="11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The amended and restated limited liability company agreement of ZoomInfo OpCo provides that pro rata cash distributions be made to holders of LLC Units (including ZoomInfo Technologies Inc.) at certain assumed tax rates, which we refer to as “tax distributions.” See “Certain Relationships and Related Person Transactions—ZoomInfo OpCo Amended and Restated Limited Liability Company Agreement.” We anticipate that amounts received by ZoomInfo Technologies Inc. may, in certain periods, exceed ZoomInfo Technologies Inc.’s actual tax liabilities and obligations to make payments under the tax receivable agreement. We expect that ZoomInfo Technologies Inc. will use any such excess cash from time to time to acquire additional newly issued LLC Units from ZoomInfo OpCo at a per unit price determined by reference to the market value of the Class A common stock; to pay dividends, which may include special dividends, on its Class A common stock; to fund repurchases of its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LLC Units, or declare a stock dividend on our Class A common stock of an aggregate number of additional newly issued shares that corresponds to the number of additional</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LLC Units that ZoomInfo Technologies Inc. is acquiring, to maintain parity between LLC Units and shares of Class A common stock. See “Risk Factors —Risks Related to Our Organizational Structure—ZoomInfo Technologies Inc. is a holding company, its only material asset after completion of this offering will be its interest in ZoomInfo OpCo, and it is accordingly dependent upon distributions from ZoomInfo OpCo to pay taxes, make payments under the tax receivable agreement, and pay dividends.”</w:t>
      </w:r>
    </w:p>
    <w:p>
      <w:pPr>
        <w:spacing w:after="0" w:line="13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agreements governing our secured credit facilities contain a number of covenants that restrict, subject to certain exceptions, certain of our subsidiaries’ ability to pay dividends to us. See “Description of Certain Indebtedness.”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tabs>
          <w:tab w:leader="none" w:pos="8020" w:val="left"/>
          <w:tab w:leader="none" w:pos="8320" w:val="left"/>
        </w:tabs>
        <w:rPr>
          <w:sz w:val="20"/>
          <w:szCs w:val="20"/>
          <w:color w:val="auto"/>
        </w:rPr>
      </w:pPr>
      <w:r>
        <w:rPr>
          <w:rFonts w:ascii="Arial" w:cs="Arial" w:eastAsia="Arial" w:hAnsi="Arial"/>
          <w:sz w:val="18"/>
          <w:szCs w:val="18"/>
          <w:color w:val="auto"/>
        </w:rPr>
        <w:t>The following table sets forth our consolidated cash and cash equivalents and capitalization as of</w:t>
      </w:r>
      <w:r>
        <w:rPr>
          <w:sz w:val="20"/>
          <w:szCs w:val="20"/>
          <w:color w:val="auto"/>
        </w:rPr>
        <w:tab/>
      </w:r>
      <w:r>
        <w:rPr>
          <w:rFonts w:ascii="Arial" w:cs="Arial" w:eastAsia="Arial" w:hAnsi="Arial"/>
          <w:sz w:val="18"/>
          <w:szCs w:val="18"/>
          <w:color w:val="auto"/>
        </w:rPr>
        <w:t>,</w:t>
        <w:tab/>
        <w:t>:</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a pro forma basis giving effect to the transactions described under “Unaudited Pro Forma Combined and Consolidated Financial Information,”</w:t>
      </w:r>
    </w:p>
    <w:p>
      <w:pPr>
        <w:spacing w:after="0" w:line="4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including the sale by us of shares of Class A common stock in this offering at an assumed initial public offering price of $ per share (the midpoint of the range set forth on the cover page of this prospectus) and the application of the proceeds therefrom as described in “Use of Proceeds.”</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are not components of our total capitalization. You should read this table together with the other information contained in this prospectus, including “Organizational Structure,” “Use of Proceeds,” “Unaudited Pro Forma Combined and Consolidated Financial Information,” “Management’s Discussion and Analysis of Financial Condition and Results of Operations,” and our historical financial statements and related notes thereto included elsewhere in this prospectus.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ZoomInfo OpCo Actual</w:t>
            </w:r>
          </w:p>
        </w:tc>
        <w:tc>
          <w:tcPr>
            <w:tcW w:w="1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3"/>
              </w:rPr>
              <w:t>ZoomInfo Technologies</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Inc. Pro Forma</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0" w:type="dxa"/>
            <w:vAlign w:val="bottom"/>
            <w:tcBorders>
              <w:bottom w:val="single" w:sz="8" w:color="auto"/>
            </w:tcBorders>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5"/>
                <w:szCs w:val="25"/>
                <w:color w:val="auto"/>
                <w:vertAlign w:val="superscript"/>
              </w:rPr>
              <w:t>(2)</w:t>
            </w:r>
          </w:p>
        </w:tc>
        <w:tc>
          <w:tcPr>
            <w:tcW w:w="1600" w:type="dxa"/>
            <w:vAlign w:val="bottom"/>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line="270" w:lineRule="exact"/>
              <w:rPr>
                <w:sz w:val="20"/>
                <w:szCs w:val="20"/>
                <w:color w:val="auto"/>
              </w:rPr>
            </w:pPr>
            <w:r>
              <w:rPr>
                <w:rFonts w:ascii="Arial" w:cs="Arial" w:eastAsia="Arial" w:hAnsi="Arial"/>
                <w:sz w:val="18"/>
                <w:szCs w:val="18"/>
                <w:color w:val="auto"/>
              </w:rPr>
              <w:t>First lien term loans</w:t>
            </w:r>
            <w:r>
              <w:rPr>
                <w:rFonts w:ascii="Arial" w:cs="Arial" w:eastAsia="Arial" w:hAnsi="Arial"/>
                <w:sz w:val="25"/>
                <w:szCs w:val="25"/>
                <w:color w:val="auto"/>
                <w:vertAlign w:val="superscript"/>
              </w:rPr>
              <w:t>(3)</w:t>
            </w:r>
          </w:p>
        </w:tc>
        <w:tc>
          <w:tcPr>
            <w:tcW w:w="1600" w:type="dxa"/>
            <w:vAlign w:val="bottom"/>
          </w:tcPr>
          <w:p>
            <w:pPr>
              <w:jc w:val="right"/>
              <w:ind w:right="141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1580" w:type="dxa"/>
            <w:vAlign w:val="bottom"/>
          </w:tcPr>
          <w:p>
            <w:pPr>
              <w:jc w:val="right"/>
              <w:ind w:right="13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Second lien term loans</w:t>
            </w:r>
            <w:r>
              <w:rPr>
                <w:rFonts w:ascii="Arial" w:cs="Arial" w:eastAsia="Arial" w:hAnsi="Arial"/>
                <w:sz w:val="25"/>
                <w:szCs w:val="25"/>
                <w:color w:val="auto"/>
                <w:vertAlign w:val="superscript"/>
              </w:rPr>
              <w:t>(4)</w:t>
            </w:r>
          </w:p>
        </w:tc>
        <w:tc>
          <w:tcPr>
            <w:tcW w:w="1600" w:type="dxa"/>
            <w:vAlign w:val="bottom"/>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Unamortized debt transaction costs and prepayment premiums</w:t>
            </w:r>
          </w:p>
        </w:tc>
        <w:tc>
          <w:tcPr>
            <w:tcW w:w="1600" w:type="dxa"/>
            <w:vAlign w:val="bottom"/>
          </w:tcPr>
          <w:p>
            <w:pPr>
              <w:jc w:val="right"/>
              <w:ind w:right="141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580" w:type="dxa"/>
            <w:vAlign w:val="bottom"/>
          </w:tcPr>
          <w:p>
            <w:pPr>
              <w:jc w:val="right"/>
              <w:ind w:right="13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Members’ equity (deficit):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gridSpan w:val="5"/>
          </w:tcPr>
          <w:p>
            <w:pPr>
              <w:ind w:left="40"/>
              <w:spacing w:after="0"/>
              <w:rPr>
                <w:sz w:val="20"/>
                <w:szCs w:val="20"/>
                <w:color w:val="auto"/>
              </w:rPr>
            </w:pPr>
            <w:r>
              <w:rPr>
                <w:rFonts w:ascii="Arial" w:cs="Arial" w:eastAsia="Arial" w:hAnsi="Arial"/>
                <w:sz w:val="18"/>
                <w:szCs w:val="18"/>
                <w:color w:val="auto"/>
              </w:rPr>
              <w:t>Class A common stock, $0.01 par value per share, 1,000 shares authorized and no shares issued and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0"/>
              <w:spacing w:after="0"/>
              <w:rPr>
                <w:sz w:val="20"/>
                <w:szCs w:val="20"/>
                <w:color w:val="auto"/>
              </w:rPr>
            </w:pPr>
            <w:r>
              <w:rPr>
                <w:rFonts w:ascii="Arial" w:cs="Arial" w:eastAsia="Arial" w:hAnsi="Arial"/>
                <w:sz w:val="18"/>
                <w:szCs w:val="18"/>
                <w:color w:val="auto"/>
                <w:w w:val="94"/>
              </w:rPr>
              <w:t>outstanding, actual; and</w:t>
            </w:r>
          </w:p>
        </w:tc>
        <w:tc>
          <w:tcPr>
            <w:tcW w:w="1780" w:type="dxa"/>
            <w:vAlign w:val="bottom"/>
          </w:tcPr>
          <w:p>
            <w:pPr>
              <w:ind w:left="120"/>
              <w:spacing w:after="0"/>
              <w:rPr>
                <w:sz w:val="20"/>
                <w:szCs w:val="20"/>
                <w:color w:val="auto"/>
              </w:rPr>
            </w:pPr>
            <w:r>
              <w:rPr>
                <w:rFonts w:ascii="Arial" w:cs="Arial" w:eastAsia="Arial" w:hAnsi="Arial"/>
                <w:sz w:val="18"/>
                <w:szCs w:val="18"/>
                <w:color w:val="auto"/>
                <w:w w:val="92"/>
              </w:rPr>
              <w:t>shares authorized and</w:t>
            </w:r>
          </w:p>
        </w:tc>
        <w:tc>
          <w:tcPr>
            <w:tcW w:w="6040" w:type="dxa"/>
            <w:vAlign w:val="bottom"/>
            <w:gridSpan w:val="3"/>
          </w:tcPr>
          <w:p>
            <w:pPr>
              <w:ind w:left="120"/>
              <w:spacing w:after="0"/>
              <w:rPr>
                <w:sz w:val="20"/>
                <w:szCs w:val="20"/>
                <w:color w:val="auto"/>
              </w:rPr>
            </w:pPr>
            <w:r>
              <w:rPr>
                <w:rFonts w:ascii="Arial" w:cs="Arial" w:eastAsia="Arial" w:hAnsi="Arial"/>
                <w:sz w:val="18"/>
                <w:szCs w:val="18"/>
                <w:color w:val="auto"/>
              </w:rPr>
              <w:t>shares issued and outstanding on a pro forma basis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gridSpan w:val="3"/>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8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Class B common stock, $0.01 par value per share, 1,000 shares authorized and 100 shares issued and</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outstanding, actual; and</w:t>
            </w:r>
          </w:p>
        </w:tc>
        <w:tc>
          <w:tcPr>
            <w:tcW w:w="1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shares authorized and</w:t>
            </w:r>
          </w:p>
        </w:tc>
        <w:tc>
          <w:tcPr>
            <w:tcW w:w="60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on a pro forma basis</w:t>
            </w: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7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78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capitalization</w:t>
            </w:r>
          </w:p>
        </w:tc>
        <w:tc>
          <w:tcPr>
            <w:tcW w:w="1780" w:type="dxa"/>
            <w:vAlign w:val="bottom"/>
            <w:shd w:val="clear" w:color="auto" w:fill="CCEEFF"/>
          </w:tcPr>
          <w:p>
            <w:pPr>
              <w:spacing w:after="0"/>
              <w:rPr>
                <w:sz w:val="22"/>
                <w:szCs w:val="22"/>
                <w:color w:val="auto"/>
              </w:rPr>
            </w:pPr>
          </w:p>
        </w:tc>
        <w:tc>
          <w:tcPr>
            <w:tcW w:w="592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w:t>
            </w:r>
          </w:p>
        </w:tc>
        <w:tc>
          <w:tcPr>
            <w:tcW w:w="17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To the extent we change the number of shares of Class A common stock sold by us in this offering from the shares we expect to sell or we change the initial public offering price from the</w:t>
      </w:r>
    </w:p>
    <w:p>
      <w:pPr>
        <w:spacing w:after="0" w:line="12" w:lineRule="exact"/>
        <w:rPr>
          <w:rFonts w:ascii="Arial" w:cs="Arial" w:eastAsia="Arial" w:hAnsi="Arial"/>
          <w:sz w:val="13"/>
          <w:szCs w:val="13"/>
          <w:color w:val="auto"/>
        </w:rPr>
      </w:pPr>
    </w:p>
    <w:p>
      <w:pPr>
        <w:jc w:val="both"/>
        <w:ind w:left="340"/>
        <w:spacing w:after="0" w:line="260" w:lineRule="auto"/>
        <w:rPr>
          <w:rFonts w:ascii="Arial" w:cs="Arial" w:eastAsia="Arial" w:hAnsi="Arial"/>
          <w:sz w:val="13"/>
          <w:szCs w:val="13"/>
          <w:color w:val="auto"/>
        </w:rPr>
      </w:pPr>
      <w:r>
        <w:rPr>
          <w:rFonts w:ascii="Arial" w:cs="Arial" w:eastAsia="Arial" w:hAnsi="Arial"/>
          <w:sz w:val="13"/>
          <w:szCs w:val="13"/>
          <w:color w:val="auto"/>
        </w:rPr>
        <w:t>$ per share assumed initial public offering price, representing the midpoint of the price range set forth on the cover page of this prospectus, or any combination of these events occurs, the net proceeds to us from this offering and each of as adjusted total equity and total capitalization may increase or decrease. A $1.00 increase (decrease) in the assumed initial public offering</w:t>
      </w:r>
    </w:p>
    <w:p>
      <w:pPr>
        <w:ind w:left="340"/>
        <w:spacing w:after="0"/>
        <w:rPr>
          <w:sz w:val="20"/>
          <w:szCs w:val="20"/>
          <w:color w:val="auto"/>
        </w:rPr>
      </w:pPr>
      <w:r>
        <w:rPr>
          <w:rFonts w:ascii="Arial" w:cs="Arial" w:eastAsia="Arial" w:hAnsi="Arial"/>
          <w:sz w:val="13"/>
          <w:szCs w:val="13"/>
          <w:color w:val="auto"/>
        </w:rPr>
        <w:t>price per share, assuming no change in the number of shares to be sold, would increase (decrease) the net proceeds that we receive in this offering and each of as adjusted total stockholders’</w:t>
      </w:r>
    </w:p>
    <w:p>
      <w:pPr>
        <w:spacing w:after="0" w:line="13" w:lineRule="exact"/>
        <w:rPr>
          <w:sz w:val="20"/>
          <w:szCs w:val="20"/>
          <w:color w:val="auto"/>
        </w:rPr>
      </w:pPr>
    </w:p>
    <w:p>
      <w:pPr>
        <w:ind w:left="340" w:right="20"/>
        <w:spacing w:after="0" w:line="241" w:lineRule="auto"/>
        <w:rPr>
          <w:sz w:val="20"/>
          <w:szCs w:val="20"/>
          <w:color w:val="auto"/>
        </w:rPr>
      </w:pPr>
      <w:r>
        <w:rPr>
          <w:rFonts w:ascii="Arial" w:cs="Arial" w:eastAsia="Arial" w:hAnsi="Arial"/>
          <w:sz w:val="14"/>
          <w:szCs w:val="14"/>
          <w:color w:val="auto"/>
        </w:rPr>
        <w:t>equity and total capitalization by approximately $ . An increase (decrease) of 1,000,000 shares in the expected number of shares to be sold in the offering, assuming no change in the assumed initial offering price per share, would increase (decrease) our net proceeds from this offering and our as adjusted total equity and total capitalization by approximately</w:t>
      </w:r>
    </w:p>
    <w:p>
      <w:pPr>
        <w:spacing w:after="0" w:line="1" w:lineRule="exact"/>
        <w:rPr>
          <w:sz w:val="20"/>
          <w:szCs w:val="20"/>
          <w:color w:val="auto"/>
        </w:rPr>
      </w:pPr>
    </w:p>
    <w:p>
      <w:pPr>
        <w:ind w:left="1200" w:hanging="868"/>
        <w:spacing w:after="0"/>
        <w:tabs>
          <w:tab w:leader="none" w:pos="12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 If the underwriters exercise in full their option to purchase additional shares of Class A common stock, the as adjusted amount of each of cash, additional paid-in capital, total</w:t>
      </w:r>
    </w:p>
    <w:p>
      <w:pPr>
        <w:spacing w:after="0" w:line="13" w:lineRule="exact"/>
        <w:rPr>
          <w:sz w:val="20"/>
          <w:szCs w:val="20"/>
          <w:color w:val="auto"/>
        </w:rPr>
      </w:pPr>
    </w:p>
    <w:p>
      <w:pPr>
        <w:ind w:left="340"/>
        <w:spacing w:after="0"/>
        <w:tabs>
          <w:tab w:leader="none" w:pos="4840" w:val="left"/>
          <w:tab w:leader="none" w:pos="10160" w:val="left"/>
        </w:tabs>
        <w:rPr>
          <w:sz w:val="20"/>
          <w:szCs w:val="20"/>
          <w:color w:val="auto"/>
        </w:rPr>
      </w:pPr>
      <w:r>
        <w:rPr>
          <w:rFonts w:ascii="Arial" w:cs="Arial" w:eastAsia="Arial" w:hAnsi="Arial"/>
          <w:sz w:val="14"/>
          <w:szCs w:val="14"/>
          <w:color w:val="auto"/>
        </w:rPr>
        <w:t>equity, and total capitalization would increase by approximately $</w:t>
      </w:r>
      <w:r>
        <w:rPr>
          <w:sz w:val="20"/>
          <w:szCs w:val="20"/>
          <w:color w:val="auto"/>
        </w:rPr>
        <w:tab/>
      </w:r>
      <w:r>
        <w:rPr>
          <w:rFonts w:ascii="Arial" w:cs="Arial" w:eastAsia="Arial" w:hAnsi="Arial"/>
          <w:sz w:val="14"/>
          <w:szCs w:val="14"/>
          <w:color w:val="auto"/>
        </w:rPr>
        <w:t>, after deducting underwriting discounts and commissions, and we would have</w:t>
      </w:r>
      <w:r>
        <w:rPr>
          <w:sz w:val="20"/>
          <w:szCs w:val="20"/>
          <w:color w:val="auto"/>
        </w:rPr>
        <w:tab/>
      </w:r>
      <w:r>
        <w:rPr>
          <w:rFonts w:ascii="Arial" w:cs="Arial" w:eastAsia="Arial" w:hAnsi="Arial"/>
          <w:sz w:val="12"/>
          <w:szCs w:val="12"/>
          <w:color w:val="auto"/>
        </w:rPr>
        <w:t>shares of our Class A</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common stock issued and outstanding, as adjusted.</w:t>
      </w:r>
    </w:p>
    <w:p>
      <w:pPr>
        <w:spacing w:after="0" w:line="1" w:lineRule="exact"/>
        <w:rPr>
          <w:sz w:val="20"/>
          <w:szCs w:val="20"/>
          <w:color w:val="auto"/>
        </w:rPr>
      </w:pPr>
    </w:p>
    <w:p>
      <w:pPr>
        <w:spacing w:after="0"/>
        <w:tabs>
          <w:tab w:leader="none" w:pos="320" w:val="left"/>
          <w:tab w:leader="none" w:pos="1200" w:val="left"/>
          <w:tab w:leader="none" w:pos="1460" w:val="left"/>
          <w:tab w:leader="none" w:pos="2740" w:val="left"/>
          <w:tab w:leader="none" w:pos="4440" w:val="left"/>
        </w:tabs>
        <w:rPr>
          <w:sz w:val="20"/>
          <w:szCs w:val="20"/>
          <w:color w:val="auto"/>
        </w:rPr>
      </w:pPr>
      <w:r>
        <w:rPr>
          <w:rFonts w:ascii="Arial" w:cs="Arial" w:eastAsia="Arial" w:hAnsi="Arial"/>
          <w:sz w:val="14"/>
          <w:szCs w:val="14"/>
          <w:color w:val="auto"/>
        </w:rPr>
        <w:t>(2)</w:t>
        <w:tab/>
        <w:t>As of</w:t>
      </w:r>
      <w:r>
        <w:rPr>
          <w:sz w:val="20"/>
          <w:szCs w:val="20"/>
          <w:color w:val="auto"/>
        </w:rPr>
        <w:tab/>
      </w:r>
      <w:r>
        <w:rPr>
          <w:rFonts w:ascii="Arial" w:cs="Arial" w:eastAsia="Arial" w:hAnsi="Arial"/>
          <w:sz w:val="14"/>
          <w:szCs w:val="14"/>
          <w:color w:val="auto"/>
        </w:rPr>
        <w:t>,</w:t>
        <w:tab/>
        <w:t>, we had</w:t>
      </w:r>
      <w:r>
        <w:rPr>
          <w:sz w:val="20"/>
          <w:szCs w:val="20"/>
          <w:color w:val="auto"/>
        </w:rPr>
        <w:tab/>
      </w:r>
      <w:r>
        <w:rPr>
          <w:rFonts w:ascii="Arial" w:cs="Arial" w:eastAsia="Arial" w:hAnsi="Arial"/>
          <w:sz w:val="14"/>
          <w:szCs w:val="14"/>
          <w:color w:val="auto"/>
        </w:rPr>
        <w:t>borrowings and</w:t>
      </w:r>
      <w:r>
        <w:rPr>
          <w:sz w:val="20"/>
          <w:szCs w:val="20"/>
          <w:color w:val="auto"/>
        </w:rPr>
        <w:tab/>
      </w:r>
      <w:r>
        <w:rPr>
          <w:rFonts w:ascii="Arial" w:cs="Arial" w:eastAsia="Arial" w:hAnsi="Arial"/>
          <w:sz w:val="13"/>
          <w:szCs w:val="13"/>
          <w:color w:val="auto"/>
        </w:rPr>
        <w:t>in outstanding letters of credit under our first lien revolving credit facility. For a further description of our first lien credit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agreement, see “Description of Certain Indebtedness.”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80" w:name="page81"/>
    <w:bookmarkEnd w:id="80"/>
    <w:p>
      <w:pPr>
        <w:ind w:left="332" w:hanging="332"/>
        <w:spacing w:after="0" w:line="250" w:lineRule="auto"/>
        <w:tabs>
          <w:tab w:leader="none" w:pos="3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February 1, 2026. For a further description of our first lien credit agreement, see “Description of Certain Indebtedness.”</w:t>
      </w:r>
    </w:p>
    <w:p>
      <w:pPr>
        <w:ind w:left="332" w:right="20" w:hanging="332"/>
        <w:spacing w:after="0" w:line="255" w:lineRule="auto"/>
        <w:tabs>
          <w:tab w:leader="none" w:pos="3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aggregate face amount of our second lien term loans. Our second lien term loans mature on February 1, 2027. For a further description of our second lien credit agreement, see “Description of Certain Indebtedness.”</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12"/>
          </w:cols>
          <w:pgMar w:left="248" w:top="33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the Class A common stock held by our pre-IPO owners.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pro forma net tangible book value as of December 31, 2019 was approximately $ million, or $ per share of Class A common stock. Pro forma net tangible book value represents the amount of total tangible assets less total liabilities, and pro forma net tangible book value per share of Class A common stock represents pro forma net tangible book value divided by the number of shares of Class A common stock outstanding, after giving effect to the Reorganization Transactions and assuming that all of the holders of LLC Units in ZoomInfo OpCo (other than ZoomInfo Technologies Inc.) exchanged their</w:t>
      </w:r>
    </w:p>
    <w:p>
      <w:pPr>
        <w:spacing w:after="0" w:line="2"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LLC Units for newly issued shares of Class A common stock on a</w:t>
      </w:r>
      <w:r>
        <w:rPr>
          <w:sz w:val="20"/>
          <w:szCs w:val="20"/>
          <w:color w:val="auto"/>
        </w:rPr>
        <w:tab/>
      </w:r>
      <w:r>
        <w:rPr>
          <w:rFonts w:ascii="Arial" w:cs="Arial" w:eastAsia="Arial" w:hAnsi="Arial"/>
          <w:sz w:val="16"/>
          <w:szCs w:val="16"/>
          <w:color w:val="auto"/>
        </w:rPr>
        <w:t>basis.</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After giving effect to the transactions described under “Unaudited Pro Forma Combined and Consolidated Financial Information,” including the application of the proceeds from this offering as described in “Use of Proceeds,” our pro forma net tangible book value as of December 31, 2019 would have</w:t>
      </w:r>
    </w:p>
    <w:p>
      <w:pPr>
        <w:spacing w:after="0" w:line="255" w:lineRule="auto"/>
        <w:rPr>
          <w:sz w:val="20"/>
          <w:szCs w:val="20"/>
          <w:color w:val="auto"/>
        </w:rPr>
      </w:pPr>
      <w:r>
        <w:rPr>
          <w:rFonts w:ascii="Arial" w:cs="Arial" w:eastAsia="Arial" w:hAnsi="Arial"/>
          <w:sz w:val="18"/>
          <w:szCs w:val="18"/>
          <w:color w:val="auto"/>
        </w:rPr>
        <w:t>been $ million, or $ per share of Class A common stock. This represents an immediate increase in net tangible book value of $ per share of Class A common stock to our pre-IPO owners and an immediate dilution in net tangible book value of $ per share of Class A common stock to investors in this offering.</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this dilution on a per share of Class A common stock basis assuming the underwriters do not exercise their option to purchase additional shares of Class A common stock: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initial public offering price per share of Class A common stock</w:t>
            </w:r>
          </w:p>
        </w:tc>
        <w:tc>
          <w:tcPr>
            <w:tcW w:w="3300" w:type="dxa"/>
            <w:vAlign w:val="bottom"/>
            <w:gridSpan w:val="3"/>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 forma net tangible book value per share of Class A common stock as of December 31, 2019</w:t>
            </w:r>
          </w:p>
        </w:tc>
        <w:tc>
          <w:tcPr>
            <w:tcW w:w="160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Increase in pro forma net tangible book value per share of Class A common stock attributable to investors in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this offering</w:t>
            </w:r>
          </w:p>
        </w:tc>
        <w:tc>
          <w:tcPr>
            <w:tcW w:w="160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Pro forma net tangible book value per share of Class A common stock after the offering</w:t>
            </w:r>
          </w:p>
        </w:tc>
        <w:tc>
          <w:tcPr>
            <w:tcW w:w="1600" w:type="dxa"/>
            <w:vAlign w:val="bottom"/>
            <w:tcBorders>
              <w:top w:val="single" w:sz="8" w:color="auto"/>
            </w:tcBorders>
          </w:tcPr>
          <w:p>
            <w:pPr>
              <w:spacing w:after="0"/>
              <w:rPr>
                <w:sz w:val="20"/>
                <w:szCs w:val="20"/>
                <w:color w:val="auto"/>
              </w:rPr>
            </w:pPr>
          </w:p>
        </w:tc>
        <w:tc>
          <w:tcPr>
            <w:tcW w:w="170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Dilution in pro forma net tangible book value per share of Class A common stock to investors in this offering</w:t>
            </w:r>
          </w:p>
        </w:tc>
        <w:tc>
          <w:tcPr>
            <w:tcW w:w="3300" w:type="dxa"/>
            <w:vAlign w:val="bottom"/>
            <w:gridSpan w:val="3"/>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Because the Pre-IPO LLC Unitholders do not own any Class A common stock or other economic interests in ZoomInfo Technologies Inc., we have presented dilution in pro forma net tangible book value per share of Class A common stock to investors in this offering assuming that all of the holders of LLC Units in ZoomInfo OpCo (other than ZoomInfo Technologies Inc.) exchanged their LLC Units for newly issued shares of Class A common stock on</w:t>
      </w: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basis in order to more meaningfully present the dilutive impact on the investors in this offering.</w:t>
      </w:r>
    </w:p>
    <w:p>
      <w:pPr>
        <w:spacing w:after="0" w:line="157"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8"/>
          <w:szCs w:val="18"/>
          <w:color w:val="auto"/>
        </w:rPr>
        <w:t>A $1.00 increase in the assumed initial public offering price of $</w:t>
      </w:r>
      <w:r>
        <w:rPr>
          <w:sz w:val="20"/>
          <w:szCs w:val="20"/>
          <w:color w:val="auto"/>
        </w:rPr>
        <w:tab/>
      </w:r>
      <w:r>
        <w:rPr>
          <w:rFonts w:ascii="Arial" w:cs="Arial" w:eastAsia="Arial" w:hAnsi="Arial"/>
          <w:sz w:val="16"/>
          <w:szCs w:val="16"/>
          <w:color w:val="auto"/>
        </w:rPr>
        <w:t>per share of our Class A common stock would increase our pro forma net tangible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 value after giving effect to this offering by $ million, or by $ per share of our Class A common stock, assuming the number of shares offered by us remains the same and after deducting estimated underwriting discounts and commissions. A $1.00 decrease in the assumed initial public offering price per share would result in equal changes in the opposite direction.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82" w:name="page83"/>
    <w:bookmarkEnd w:id="82"/>
    <w:p>
      <w:pPr>
        <w:jc w:val="both"/>
        <w:ind w:firstLine="324"/>
        <w:spacing w:after="0" w:line="288" w:lineRule="auto"/>
        <w:rPr>
          <w:sz w:val="20"/>
          <w:szCs w:val="20"/>
          <w:color w:val="auto"/>
        </w:rPr>
      </w:pPr>
      <w:r>
        <w:rPr>
          <w:rFonts w:ascii="Arial" w:cs="Arial" w:eastAsia="Arial" w:hAnsi="Arial"/>
          <w:sz w:val="16"/>
          <w:szCs w:val="16"/>
          <w:color w:val="auto"/>
        </w:rPr>
        <w:t>The following table summarizes, on the same pro forma basis as of December 31, 2019,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of the holders of LLC Units in ZoomInfo OpCo (other than ZoomInfo</w:t>
      </w:r>
    </w:p>
    <w:p>
      <w:pPr>
        <w:spacing w:after="0"/>
        <w:tabs>
          <w:tab w:leader="none" w:pos="8040" w:val="left"/>
        </w:tabs>
        <w:rPr>
          <w:sz w:val="20"/>
          <w:szCs w:val="20"/>
          <w:color w:val="auto"/>
        </w:rPr>
      </w:pPr>
      <w:r>
        <w:rPr>
          <w:rFonts w:ascii="Arial" w:cs="Arial" w:eastAsia="Arial" w:hAnsi="Arial"/>
          <w:sz w:val="18"/>
          <w:szCs w:val="18"/>
          <w:color w:val="auto"/>
        </w:rPr>
        <w:t>Technologies Inc.) exchanged their LLC Units for newly issued shares of our Class A common stock on a</w:t>
      </w:r>
      <w:r>
        <w:rPr>
          <w:sz w:val="20"/>
          <w:szCs w:val="20"/>
          <w:color w:val="auto"/>
        </w:rPr>
        <w:tab/>
      </w:r>
      <w:r>
        <w:rPr>
          <w:rFonts w:ascii="Arial" w:cs="Arial" w:eastAsia="Arial" w:hAnsi="Arial"/>
          <w:sz w:val="15"/>
          <w:szCs w:val="15"/>
          <w:color w:val="auto"/>
        </w:rPr>
        <w:t>basis.</w:t>
      </w:r>
    </w:p>
    <w:p>
      <w:pPr>
        <w:sectPr>
          <w:pgSz w:w="11900" w:h="16838" w:orient="portrait"/>
          <w:cols w:equalWidth="0" w:num="1">
            <w:col w:w="11420"/>
          </w:cols>
          <w:pgMar w:left="240" w:top="341" w:right="239" w:bottom="1440" w:gutter="0" w:footer="0" w:header="0"/>
        </w:sectPr>
      </w:pPr>
    </w:p>
    <w:p>
      <w:pPr>
        <w:spacing w:after="0" w:line="298" w:lineRule="exact"/>
        <w:rPr>
          <w:sz w:val="20"/>
          <w:szCs w:val="20"/>
          <w:color w:val="auto"/>
        </w:rPr>
      </w:pPr>
    </w:p>
    <w:tbl>
      <w:tblPr>
        <w:tblLayout w:type="fixed"/>
        <w:tblInd w:w="33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30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89"/>
              </w:rPr>
              <w:t>Shares of Class A</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vMerge w:val="restart"/>
          </w:tcPr>
          <w:p>
            <w:pPr>
              <w:jc w:val="center"/>
              <w:ind w:right="13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300" w:type="dxa"/>
            <w:vAlign w:val="bottom"/>
            <w:gridSpan w:val="4"/>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right="928"/>
              <w:spacing w:after="0"/>
              <w:rPr>
                <w:sz w:val="20"/>
                <w:szCs w:val="20"/>
                <w:color w:val="auto"/>
              </w:rPr>
            </w:pPr>
            <w:r>
              <w:rPr>
                <w:rFonts w:ascii="Arial" w:cs="Arial" w:eastAsia="Arial" w:hAnsi="Arial"/>
                <w:sz w:val="14"/>
                <w:szCs w:val="14"/>
                <w:b w:val="1"/>
                <w:bCs w:val="1"/>
                <w:color w:val="auto"/>
                <w:w w:val="92"/>
              </w:rPr>
              <w:t>Purchased</w:t>
            </w: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right="1088"/>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64"/>
        </w:trPr>
        <w:tc>
          <w:tcPr>
            <w:tcW w:w="1000" w:type="dxa"/>
            <w:vAlign w:val="bottom"/>
          </w:tcPr>
          <w:p>
            <w:pPr>
              <w:ind w:left="46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2"/>
          </w:tcPr>
          <w:p>
            <w:pPr>
              <w:ind w:left="600"/>
              <w:spacing w:after="0"/>
              <w:rPr>
                <w:sz w:val="20"/>
                <w:szCs w:val="20"/>
                <w:color w:val="auto"/>
              </w:rPr>
            </w:pPr>
            <w:r>
              <w:rPr>
                <w:rFonts w:ascii="Arial" w:cs="Arial" w:eastAsia="Arial" w:hAnsi="Arial"/>
                <w:sz w:val="14"/>
                <w:szCs w:val="14"/>
                <w:b w:val="1"/>
                <w:bCs w:val="1"/>
                <w:color w:val="auto"/>
              </w:rPr>
              <w:t>Percent</w:t>
            </w:r>
          </w:p>
        </w:tc>
        <w:tc>
          <w:tcPr>
            <w:tcW w:w="112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ind w:lef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8"/>
        </w:trPr>
        <w:tc>
          <w:tcPr>
            <w:tcW w:w="10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right="160"/>
        <w:spacing w:after="0" w:line="268" w:lineRule="auto"/>
        <w:rPr>
          <w:sz w:val="20"/>
          <w:szCs w:val="20"/>
          <w:color w:val="auto"/>
        </w:rPr>
      </w:pPr>
      <w:r>
        <w:rPr>
          <w:rFonts w:ascii="Arial" w:cs="Arial" w:eastAsia="Arial" w:hAnsi="Arial"/>
          <w:sz w:val="13"/>
          <w:szCs w:val="13"/>
          <w:b w:val="1"/>
          <w:bCs w:val="1"/>
          <w:color w:val="auto"/>
        </w:rPr>
        <w:t>Average Price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-2540</wp:posOffset>
            </wp:positionV>
            <wp:extent cx="917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9860" w:space="280"/>
            <w:col w:w="128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Pre-IPO owners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Investors in this offering</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r>
      <w:tr>
        <w:trPr>
          <w:trHeight w:val="27"/>
        </w:trPr>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r>
      <w:tr>
        <w:trPr>
          <w:trHeight w:val="27"/>
        </w:trPr>
        <w:tc>
          <w:tcPr>
            <w:tcW w:w="3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tabs>
          <w:tab w:leader="none" w:pos="4740" w:val="left"/>
        </w:tabs>
        <w:rPr>
          <w:sz w:val="20"/>
          <w:szCs w:val="20"/>
          <w:color w:val="auto"/>
        </w:rPr>
      </w:pPr>
      <w:r>
        <w:rPr>
          <w:rFonts w:ascii="Arial" w:cs="Arial" w:eastAsia="Arial" w:hAnsi="Arial"/>
          <w:sz w:val="18"/>
          <w:szCs w:val="18"/>
          <w:color w:val="auto"/>
        </w:rPr>
        <w:t>Each $1.00 increase in the assumed offering price of $</w:t>
      </w:r>
      <w:r>
        <w:rPr>
          <w:sz w:val="20"/>
          <w:szCs w:val="20"/>
          <w:color w:val="auto"/>
        </w:rPr>
        <w:tab/>
      </w:r>
      <w:r>
        <w:rPr>
          <w:rFonts w:ascii="Arial" w:cs="Arial" w:eastAsia="Arial" w:hAnsi="Arial"/>
          <w:sz w:val="16"/>
          <w:szCs w:val="16"/>
          <w:color w:val="auto"/>
        </w:rPr>
        <w:t>per share of our Class A common stock would increase total consideration paid by investors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this offering by $ million, assuming the number of shares offered by us remains the same. A $1.00 decrease in the assumed initial public offering price per share of our Class A common stock would result in equal changes in the opposite direction.</w:t>
      </w:r>
    </w:p>
    <w:p>
      <w:pPr>
        <w:spacing w:after="0" w:line="130" w:lineRule="exact"/>
        <w:rPr>
          <w:sz w:val="20"/>
          <w:szCs w:val="20"/>
          <w:color w:val="auto"/>
        </w:rPr>
      </w:pPr>
    </w:p>
    <w:p>
      <w:pPr>
        <w:ind w:right="980" w:firstLine="324"/>
        <w:spacing w:after="0" w:line="277" w:lineRule="auto"/>
        <w:rPr>
          <w:sz w:val="20"/>
          <w:szCs w:val="20"/>
          <w:color w:val="auto"/>
        </w:rPr>
      </w:pPr>
      <w:r>
        <w:rPr>
          <w:rFonts w:ascii="Arial" w:cs="Arial" w:eastAsia="Arial" w:hAnsi="Arial"/>
          <w:sz w:val="18"/>
          <w:szCs w:val="18"/>
          <w:color w:val="auto"/>
        </w:rPr>
        <w:t>If the underwriters’ option to purchase additional shares is exercised in full, the number of shares held by new investors will be increased to , or approximately % of the total number of shares of Class A common stock.</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dilution information above is for illustrative purposes only. Our net tangible book value following the consummation of this offering is subject to adjustment based on the actual initial public offering price of our shares of Class A common stock and other terms of this offering determined at pricing.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UNAUDITED PRO FORMA COMBINED AND CONSOLIDATED FINANCIAL INFORMATION</w:t>
      </w:r>
    </w:p>
    <w:p>
      <w:pPr>
        <w:spacing w:after="0" w:line="17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following unaudited pro forma combined and consolidated statement of operations for , and the unaudited pro forma consolidated balance sheet as of , give pro forma effect to the Zoom Information Acquisition, the Reorganization Transactions, and the Offering Transactions (collectively, the “Transactions”).</w:t>
      </w: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 forma adjustments related to the Zoom Information Acquisition are described in the notes to the unaudited pro forma combined and consolidated statement of operations and primarily include:</w:t>
      </w:r>
    </w:p>
    <w:p>
      <w:pPr>
        <w:spacing w:after="0" w:line="11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of term loans to fund the Zoom Information Acquisition and refinancing our pre-existing term loans;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amortization of acquired intangibles and acquisition-related unearned revenue adjustments.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 forma adjustments related to the Reorganization Transactions are described in the notes to the unaudited pro forma combined and consolidated financial information and primarily include:</w:t>
      </w:r>
    </w:p>
    <w:p>
      <w:pPr>
        <w:spacing w:after="0" w:line="116" w:lineRule="exact"/>
        <w:rPr>
          <w:sz w:val="20"/>
          <w:szCs w:val="20"/>
          <w:color w:val="auto"/>
        </w:rPr>
      </w:pPr>
    </w:p>
    <w:p>
      <w:pPr>
        <w:ind w:left="660" w:right="2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amendment and restatement of ZoomInfo Technologies Inc.’s certificate of incorporation to, among other things, (i) provide for Class A and Class B common stock and (ii) issue shares of Class B common stock to the Pre-IPO LLC Unitholders equal to the number of LLC Units they own;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Blocker Mergers;</w:t>
      </w:r>
    </w:p>
    <w:p>
      <w:pPr>
        <w:spacing w:after="0" w:line="171"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the approximate % non-controlling interest in ZoomInfo OpCo represented by LLC Units not held by ZoomInfo Technologies Inc. after the completion of the Reorganization Transactions; and</w:t>
      </w:r>
    </w:p>
    <w:p>
      <w:pPr>
        <w:spacing w:after="0" w:line="11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execution of the tax receivable agreement and recognition of the related payable under such agreements.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 forma adjustments related to the Offering Transactions are described in the notes to the unaudited pro forma combined and consolidated financial information and primarily include:</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140"/>
              <w:spacing w:after="0"/>
              <w:rPr>
                <w:sz w:val="20"/>
                <w:szCs w:val="20"/>
                <w:color w:val="auto"/>
              </w:rPr>
            </w:pPr>
            <w:r>
              <w:rPr>
                <w:rFonts w:ascii="Arial" w:cs="Arial" w:eastAsia="Arial" w:hAnsi="Arial"/>
                <w:sz w:val="18"/>
                <w:szCs w:val="18"/>
                <w:color w:val="auto"/>
              </w:rPr>
              <w:t>the issuance of</w:t>
            </w:r>
          </w:p>
        </w:tc>
        <w:tc>
          <w:tcPr>
            <w:tcW w:w="8060" w:type="dxa"/>
            <w:vAlign w:val="bottom"/>
            <w:gridSpan w:val="3"/>
          </w:tcPr>
          <w:p>
            <w:pPr>
              <w:ind w:left="180"/>
              <w:spacing w:after="0"/>
              <w:rPr>
                <w:sz w:val="20"/>
                <w:szCs w:val="20"/>
                <w:color w:val="auto"/>
              </w:rPr>
            </w:pPr>
            <w:r>
              <w:rPr>
                <w:rFonts w:ascii="Arial" w:cs="Arial" w:eastAsia="Arial" w:hAnsi="Arial"/>
                <w:sz w:val="18"/>
                <w:szCs w:val="18"/>
                <w:color w:val="auto"/>
                <w:w w:val="96"/>
              </w:rPr>
              <w:t>shares of our Class A common stock in this offering and the receipt of net proceeds of approximately $</w:t>
            </w:r>
          </w:p>
        </w:tc>
        <w:tc>
          <w:tcPr>
            <w:tcW w:w="1320" w:type="dxa"/>
            <w:vAlign w:val="bottom"/>
          </w:tcPr>
          <w:p>
            <w:pPr>
              <w:jc w:val="right"/>
              <w:spacing w:after="0"/>
              <w:rPr>
                <w:sz w:val="20"/>
                <w:szCs w:val="20"/>
                <w:color w:val="auto"/>
              </w:rPr>
            </w:pPr>
            <w:r>
              <w:rPr>
                <w:rFonts w:ascii="Arial" w:cs="Arial" w:eastAsia="Arial" w:hAnsi="Arial"/>
                <w:sz w:val="18"/>
                <w:szCs w:val="18"/>
                <w:color w:val="auto"/>
                <w:w w:val="94"/>
              </w:rPr>
              <w:t>million, based on</w:t>
            </w:r>
          </w:p>
        </w:tc>
      </w:tr>
      <w:tr>
        <w:trPr>
          <w:trHeight w:val="216"/>
        </w:trPr>
        <w:tc>
          <w:tcPr>
            <w:tcW w:w="180" w:type="dxa"/>
            <w:vAlign w:val="bottom"/>
          </w:tcPr>
          <w:p>
            <w:pPr>
              <w:spacing w:after="0"/>
              <w:rPr>
                <w:sz w:val="18"/>
                <w:szCs w:val="18"/>
                <w:color w:val="auto"/>
              </w:rPr>
            </w:pP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the initial public offering price of $</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w w:val="97"/>
              </w:rPr>
              <w:t>per share, which is the midpoint of the range on the front cover of this prospectus, after deducting</w:t>
            </w:r>
          </w:p>
        </w:tc>
      </w:tr>
      <w:tr>
        <w:trPr>
          <w:trHeight w:val="230"/>
        </w:trPr>
        <w:tc>
          <w:tcPr>
            <w:tcW w:w="180" w:type="dxa"/>
            <w:vAlign w:val="bottom"/>
          </w:tcPr>
          <w:p>
            <w:pPr>
              <w:spacing w:after="0"/>
              <w:rPr>
                <w:sz w:val="20"/>
                <w:szCs w:val="20"/>
                <w:color w:val="auto"/>
              </w:rPr>
            </w:pPr>
          </w:p>
        </w:tc>
        <w:tc>
          <w:tcPr>
            <w:tcW w:w="9580" w:type="dxa"/>
            <w:vAlign w:val="bottom"/>
            <w:gridSpan w:val="4"/>
          </w:tcPr>
          <w:p>
            <w:pPr>
              <w:ind w:left="140"/>
              <w:spacing w:after="0"/>
              <w:rPr>
                <w:sz w:val="20"/>
                <w:szCs w:val="20"/>
                <w:color w:val="auto"/>
              </w:rPr>
            </w:pPr>
            <w:r>
              <w:rPr>
                <w:rFonts w:ascii="Arial" w:cs="Arial" w:eastAsia="Arial" w:hAnsi="Arial"/>
                <w:sz w:val="18"/>
                <w:szCs w:val="18"/>
                <w:color w:val="auto"/>
              </w:rPr>
              <w:t>underwriting discounts and estimated unpaid offering expenses; and</w:t>
            </w:r>
          </w:p>
        </w:tc>
        <w:tc>
          <w:tcPr>
            <w:tcW w:w="132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140"/>
              <w:spacing w:after="0"/>
              <w:rPr>
                <w:sz w:val="20"/>
                <w:szCs w:val="20"/>
                <w:color w:val="auto"/>
              </w:rPr>
            </w:pPr>
            <w:r>
              <w:rPr>
                <w:rFonts w:ascii="Arial" w:cs="Arial" w:eastAsia="Arial" w:hAnsi="Arial"/>
                <w:sz w:val="18"/>
                <w:szCs w:val="18"/>
                <w:color w:val="auto"/>
              </w:rPr>
              <w:t>the payment of $</w:t>
            </w: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2"/>
              </w:rPr>
              <w:t>million to repay our second lien term loan, which includes related prepayment penalties of approximately $</w:t>
            </w:r>
          </w:p>
        </w:tc>
        <w:tc>
          <w:tcPr>
            <w:tcW w:w="1320" w:type="dxa"/>
            <w:vAlign w:val="bottom"/>
          </w:tcPr>
          <w:p>
            <w:pPr>
              <w:jc w:val="right"/>
              <w:spacing w:after="0"/>
              <w:rPr>
                <w:sz w:val="20"/>
                <w:szCs w:val="20"/>
                <w:color w:val="auto"/>
              </w:rPr>
            </w:pPr>
            <w:r>
              <w:rPr>
                <w:rFonts w:ascii="Arial" w:cs="Arial" w:eastAsia="Arial" w:hAnsi="Arial"/>
                <w:sz w:val="18"/>
                <w:szCs w:val="18"/>
                <w:color w:val="auto"/>
              </w:rPr>
              <w:t>and accrued</w:t>
            </w:r>
          </w:p>
        </w:tc>
      </w:tr>
      <w:tr>
        <w:trPr>
          <w:trHeight w:val="230"/>
        </w:trPr>
        <w:tc>
          <w:tcPr>
            <w:tcW w:w="180" w:type="dxa"/>
            <w:vAlign w:val="bottom"/>
          </w:tcPr>
          <w:p>
            <w:pPr>
              <w:spacing w:after="0"/>
              <w:rPr>
                <w:sz w:val="20"/>
                <w:szCs w:val="20"/>
                <w:color w:val="auto"/>
              </w:rPr>
            </w:pPr>
          </w:p>
        </w:tc>
        <w:tc>
          <w:tcPr>
            <w:tcW w:w="2320" w:type="dxa"/>
            <w:vAlign w:val="bottom"/>
            <w:gridSpan w:val="2"/>
          </w:tcPr>
          <w:p>
            <w:pPr>
              <w:ind w:left="140"/>
              <w:spacing w:after="0"/>
              <w:rPr>
                <w:sz w:val="20"/>
                <w:szCs w:val="20"/>
                <w:color w:val="auto"/>
              </w:rPr>
            </w:pPr>
            <w:r>
              <w:rPr>
                <w:rFonts w:ascii="Arial" w:cs="Arial" w:eastAsia="Arial" w:hAnsi="Arial"/>
                <w:sz w:val="18"/>
                <w:szCs w:val="18"/>
                <w:color w:val="auto"/>
              </w:rPr>
              <w:t>interest of approximately $</w:t>
            </w:r>
          </w:p>
        </w:tc>
        <w:tc>
          <w:tcPr>
            <w:tcW w:w="960" w:type="dxa"/>
            <w:vAlign w:val="bottom"/>
          </w:tcPr>
          <w:p>
            <w:pPr>
              <w:ind w:left="260"/>
              <w:spacing w:after="0"/>
              <w:rPr>
                <w:sz w:val="20"/>
                <w:szCs w:val="20"/>
                <w:color w:val="auto"/>
              </w:rPr>
            </w:pPr>
            <w:r>
              <w:rPr>
                <w:rFonts w:ascii="Arial" w:cs="Arial" w:eastAsia="Arial" w:hAnsi="Arial"/>
                <w:sz w:val="18"/>
                <w:szCs w:val="18"/>
                <w:color w:val="auto"/>
              </w:rPr>
              <w:t>million.</w:t>
            </w:r>
          </w:p>
        </w:tc>
        <w:tc>
          <w:tcPr>
            <w:tcW w:w="63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unaudited pro forma combined and consolidated statement of operations for December 31, 2019 gives pro forma effect to the Transactions as if they had occurred on January 1, 2019. The unaudited pro forma consolidated balance sheet as of December 31, 2019 gives effect to the Transactions as if they had occurred on December 31, 2019.</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OpCo’s 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ZoomInfo Technologies Inc. was formed on November 14, 2019 and will have no material assets or results of operations until the completion of this offering. Therefore, its historical financial information is not included in the unaudited pro forma combined and consolidated financial information.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7" w:right="239" w:bottom="1440" w:gutter="0" w:footer="0" w:header="0"/>
        </w:sectPr>
      </w:pPr>
    </w:p>
    <w:bookmarkStart w:id="84" w:name="page85"/>
    <w:bookmarkEnd w:id="84"/>
    <w:p>
      <w:pPr>
        <w:jc w:val="both"/>
        <w:spacing w:after="0" w:line="279" w:lineRule="auto"/>
        <w:rPr>
          <w:sz w:val="20"/>
          <w:szCs w:val="20"/>
          <w:color w:val="auto"/>
        </w:rPr>
      </w:pPr>
      <w:r>
        <w:rPr>
          <w:rFonts w:ascii="Arial" w:cs="Arial" w:eastAsia="Arial" w:hAnsi="Arial"/>
          <w:sz w:val="17"/>
          <w:szCs w:val="17"/>
          <w:color w:val="auto"/>
        </w:rPr>
        <w:t>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included elsewhere in this prospectus.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UNAUDITED PRO FORMA COMBINED AND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Historical</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3"/>
              </w:rPr>
              <w:t>Pro Forma Adjustments</w:t>
            </w:r>
          </w:p>
        </w:tc>
        <w:tc>
          <w:tcPr>
            <w:tcW w:w="1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ZoomInfo OpCo </w:t>
            </w:r>
            <w:r>
              <w:rPr>
                <w:rFonts w:ascii="Arial" w:cs="Arial" w:eastAsia="Arial" w:hAnsi="Arial"/>
                <w:sz w:val="8"/>
                <w:szCs w:val="8"/>
                <w:b w:val="1"/>
                <w:bCs w:val="1"/>
                <w:color w:val="auto"/>
              </w:rPr>
              <w:t>(a)</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Pre-Acquisition ZI</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Zoom Information</w:t>
            </w:r>
          </w:p>
        </w:tc>
        <w:tc>
          <w:tcPr>
            <w:tcW w:w="1600" w:type="dxa"/>
            <w:vAlign w:val="bottom"/>
            <w:gridSpan w:val="3"/>
          </w:tcPr>
          <w:p>
            <w:pPr>
              <w:ind w:left="260"/>
              <w:spacing w:after="0"/>
              <w:rPr>
                <w:sz w:val="20"/>
                <w:szCs w:val="20"/>
                <w:color w:val="auto"/>
              </w:rPr>
            </w:pPr>
            <w:r>
              <w:rPr>
                <w:rFonts w:ascii="Arial" w:cs="Arial" w:eastAsia="Arial" w:hAnsi="Arial"/>
                <w:sz w:val="14"/>
                <w:szCs w:val="14"/>
                <w:b w:val="1"/>
                <w:bCs w:val="1"/>
                <w:color w:val="auto"/>
              </w:rPr>
              <w:t>Reorganization</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Offering Transactions</w:t>
            </w: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9"/>
                <w:szCs w:val="9"/>
                <w:b w:val="1"/>
                <w:bCs w:val="1"/>
                <w:color w:val="auto"/>
              </w:rPr>
              <w:t>(b)</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(c)</w:t>
            </w:r>
          </w:p>
        </w:tc>
        <w:tc>
          <w:tcPr>
            <w:tcW w:w="1600" w:type="dxa"/>
            <w:vAlign w:val="bottom"/>
            <w:gridSpan w:val="3"/>
          </w:tcPr>
          <w:p>
            <w:pPr>
              <w:ind w:left="260"/>
              <w:spacing w:after="0"/>
              <w:rPr>
                <w:sz w:val="20"/>
                <w:szCs w:val="20"/>
                <w:color w:val="auto"/>
              </w:rPr>
            </w:pPr>
            <w:r>
              <w:rPr>
                <w:rFonts w:ascii="Arial" w:cs="Arial" w:eastAsia="Arial" w:hAnsi="Arial"/>
                <w:sz w:val="14"/>
                <w:szCs w:val="14"/>
                <w:b w:val="1"/>
                <w:bCs w:val="1"/>
                <w:color w:val="auto"/>
              </w:rPr>
              <w:t xml:space="preserve">Transactions </w:t>
            </w:r>
            <w:r>
              <w:rPr>
                <w:rFonts w:ascii="Arial" w:cs="Arial" w:eastAsia="Arial" w:hAnsi="Arial"/>
                <w:sz w:val="8"/>
                <w:szCs w:val="8"/>
                <w:b w:val="1"/>
                <w:bCs w:val="1"/>
                <w:color w:val="auto"/>
              </w:rPr>
              <w:t>(d)</w:t>
            </w:r>
          </w:p>
        </w:tc>
        <w:tc>
          <w:tcPr>
            <w:tcW w:w="156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0"/>
              </w:rPr>
              <w:t>(e)</w:t>
            </w: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4"/>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Cost of service</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acquired</w:t>
            </w: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technology</w:t>
            </w:r>
          </w:p>
        </w:tc>
        <w:tc>
          <w:tcPr>
            <w:tcW w:w="5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80"/>
              <w:spacing w:after="0"/>
              <w:rPr>
                <w:sz w:val="20"/>
                <w:szCs w:val="20"/>
                <w:color w:val="auto"/>
              </w:rPr>
            </w:pPr>
            <w:r>
              <w:rPr>
                <w:rFonts w:ascii="Arial" w:cs="Arial" w:eastAsia="Arial" w:hAnsi="Arial"/>
                <w:sz w:val="18"/>
                <w:szCs w:val="18"/>
                <w:color w:val="auto"/>
              </w:rPr>
              <w:t>Amortization of other acquired</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40"/>
              <w:spacing w:after="0"/>
              <w:rPr>
                <w:sz w:val="20"/>
                <w:szCs w:val="20"/>
                <w:color w:val="auto"/>
              </w:rPr>
            </w:pPr>
            <w:r>
              <w:rPr>
                <w:rFonts w:ascii="Arial" w:cs="Arial" w:eastAsia="Arial" w:hAnsi="Arial"/>
                <w:sz w:val="18"/>
                <w:szCs w:val="18"/>
                <w:color w:val="auto"/>
              </w:rPr>
              <w:t>intangibles</w:t>
            </w: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Restructuring and transaction-</w:t>
            </w: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related expenses</w:t>
            </w:r>
          </w:p>
        </w:tc>
        <w:tc>
          <w:tcPr>
            <w:tcW w:w="5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Benefit from income taxes</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Less: Net loss attributable to the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40"/>
              <w:spacing w:after="0"/>
              <w:rPr>
                <w:sz w:val="20"/>
                <w:szCs w:val="20"/>
                <w:color w:val="auto"/>
              </w:rPr>
            </w:pPr>
            <w:r>
              <w:rPr>
                <w:rFonts w:ascii="Arial" w:cs="Arial" w:eastAsia="Arial" w:hAnsi="Arial"/>
                <w:sz w:val="18"/>
                <w:szCs w:val="18"/>
                <w:color w:val="auto"/>
              </w:rPr>
              <w:t>non-controlling interest</w:t>
            </w: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ZoomInfo</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125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125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Technologies Inc.</w:t>
            </w:r>
          </w:p>
        </w:tc>
        <w:tc>
          <w:tcPr>
            <w:tcW w:w="5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40"/>
        <w:spacing w:after="0" w:line="199" w:lineRule="auto"/>
        <w:rPr>
          <w:sz w:val="20"/>
          <w:szCs w:val="20"/>
          <w:color w:val="auto"/>
        </w:rPr>
      </w:pPr>
      <w:r>
        <w:rPr>
          <w:rFonts w:ascii="Arial" w:cs="Arial" w:eastAsia="Arial" w:hAnsi="Arial"/>
          <w:sz w:val="18"/>
          <w:szCs w:val="18"/>
          <w:color w:val="auto"/>
        </w:rPr>
        <w:t xml:space="preserve">Net loss per share–basic and diluted </w:t>
      </w:r>
      <w:r>
        <w:rPr>
          <w:rFonts w:ascii="Arial" w:cs="Arial" w:eastAsia="Arial" w:hAnsi="Arial"/>
          <w:sz w:val="25"/>
          <w:szCs w:val="25"/>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-142240</wp:posOffset>
            </wp:positionV>
            <wp:extent cx="2795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outstanding–basic and diluted </w:t>
      </w:r>
      <w:r>
        <w:rPr>
          <w:rFonts w:ascii="Arial" w:cs="Arial" w:eastAsia="Arial" w:hAnsi="Arial"/>
          <w:sz w:val="25"/>
          <w:szCs w:val="25"/>
          <w:color w:val="auto"/>
          <w:vertAlign w:val="superscript"/>
        </w:rPr>
        <w:t>(f)(g)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-19050</wp:posOffset>
            </wp:positionV>
            <wp:extent cx="2795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pro forma combined and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45"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6380" w:type="dxa"/>
            <w:vAlign w:val="bottom"/>
            <w:gridSpan w:val="6"/>
          </w:tcPr>
          <w:p>
            <w:pPr>
              <w:jc w:val="right"/>
              <w:ind w:right="948"/>
              <w:spacing w:after="0"/>
              <w:rPr>
                <w:sz w:val="20"/>
                <w:szCs w:val="20"/>
                <w:color w:val="auto"/>
              </w:rPr>
            </w:pPr>
            <w:r>
              <w:rPr>
                <w:rFonts w:ascii="Arial" w:cs="Arial" w:eastAsia="Arial" w:hAnsi="Arial"/>
                <w:sz w:val="18"/>
                <w:szCs w:val="18"/>
                <w:b w:val="1"/>
                <w:bCs w:val="1"/>
                <w:color w:val="auto"/>
              </w:rPr>
              <w:t>UNAUDITED PRO FORMA CONSOLIDATED BALANCE SHEET</w:t>
            </w: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gridSpan w:val="2"/>
          </w:tcPr>
          <w:p>
            <w:pPr>
              <w:ind w:left="640"/>
              <w:spacing w:after="0"/>
              <w:rPr>
                <w:sz w:val="20"/>
                <w:szCs w:val="20"/>
                <w:color w:val="auto"/>
              </w:rPr>
            </w:pPr>
            <w:r>
              <w:rPr>
                <w:rFonts w:ascii="Arial" w:cs="Arial" w:eastAsia="Arial" w:hAnsi="Arial"/>
                <w:sz w:val="18"/>
                <w:szCs w:val="18"/>
                <w:b w:val="1"/>
                <w:bCs w:val="1"/>
                <w:color w:val="auto"/>
              </w:rPr>
              <w:t>As of</w:t>
            </w: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8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89"/>
              </w:rPr>
              <w:t>($ millions, except share amounts)</w:t>
            </w: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Pro Forma Adjustments</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ZoomInfo OpCo</w:t>
            </w:r>
          </w:p>
        </w:tc>
        <w:tc>
          <w:tcPr>
            <w:tcW w:w="14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Reorganization</w:t>
            </w:r>
          </w:p>
        </w:tc>
        <w:tc>
          <w:tcPr>
            <w:tcW w:w="680" w:type="dxa"/>
            <w:vAlign w:val="bottom"/>
          </w:tcPr>
          <w:p>
            <w:pPr>
              <w:spacing w:after="0"/>
              <w:rPr>
                <w:sz w:val="13"/>
                <w:szCs w:val="13"/>
                <w:color w:val="auto"/>
              </w:rPr>
            </w:pPr>
          </w:p>
        </w:tc>
        <w:tc>
          <w:tcPr>
            <w:tcW w:w="136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Offering</w:t>
            </w:r>
          </w:p>
        </w:tc>
        <w:tc>
          <w:tcPr>
            <w:tcW w:w="68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Transactions</w:t>
            </w:r>
          </w:p>
        </w:tc>
        <w:tc>
          <w:tcPr>
            <w:tcW w:w="680" w:type="dxa"/>
            <w:vAlign w:val="bottom"/>
          </w:tcPr>
          <w:p>
            <w:pPr>
              <w:spacing w:after="0"/>
              <w:rPr>
                <w:sz w:val="16"/>
                <w:szCs w:val="16"/>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Transactions</w:t>
            </w:r>
          </w:p>
        </w:tc>
        <w:tc>
          <w:tcPr>
            <w:tcW w:w="6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740" w:type="dxa"/>
            <w:vAlign w:val="bottom"/>
            <w:tcBorders>
              <w:bottom w:val="single" w:sz="8" w:color="CCEEFF"/>
            </w:tcBorders>
            <w:gridSpan w:val="2"/>
            <w:shd w:val="clear" w:color="auto" w:fill="CCEEFF"/>
          </w:tcPr>
          <w:p>
            <w:pPr>
              <w:jc w:val="right"/>
              <w:ind w:right="117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8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right"/>
              <w:ind w:right="1168"/>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11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828"/>
              <w:spacing w:after="0"/>
              <w:rPr>
                <w:sz w:val="20"/>
                <w:szCs w:val="20"/>
                <w:color w:val="auto"/>
              </w:rPr>
            </w:pPr>
            <w:r>
              <w:rPr>
                <w:rFonts w:ascii="Arial" w:cs="Arial" w:eastAsia="Arial" w:hAnsi="Arial"/>
                <w:sz w:val="13"/>
                <w:szCs w:val="13"/>
                <w:color w:val="auto"/>
              </w:rPr>
              <w:t>(l)</w:t>
            </w: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Deferred costs</w:t>
            </w:r>
          </w:p>
        </w:tc>
        <w:tc>
          <w:tcPr>
            <w:tcW w:w="1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Related party receivable</w:t>
            </w:r>
          </w:p>
        </w:tc>
        <w:tc>
          <w:tcPr>
            <w:tcW w:w="1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1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1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40" w:type="dxa"/>
            <w:vAlign w:val="bottom"/>
            <w:gridSpan w:val="2"/>
          </w:tcPr>
          <w:p>
            <w:pPr>
              <w:jc w:val="right"/>
              <w:ind w:right="1668"/>
              <w:spacing w:after="0"/>
              <w:rPr>
                <w:sz w:val="20"/>
                <w:szCs w:val="20"/>
                <w:color w:val="auto"/>
              </w:rPr>
            </w:pPr>
            <w:r>
              <w:rPr>
                <w:rFonts w:ascii="Arial" w:cs="Arial" w:eastAsia="Arial" w:hAnsi="Arial"/>
                <w:sz w:val="13"/>
                <w:szCs w:val="13"/>
                <w:color w:val="auto"/>
              </w:rPr>
              <w:t>(h)(i)</w:t>
            </w: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Deferred costs, net of current portion</w:t>
            </w:r>
          </w:p>
        </w:tc>
        <w:tc>
          <w:tcPr>
            <w:tcW w:w="1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337" w:right="23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Accrued expenses and other current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Unearned revenue,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31750</wp:posOffset>
            </wp:positionV>
            <wp:extent cx="875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Unearned revenue, net of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Liabilities under the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875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248285</wp:posOffset>
            </wp:positionV>
            <wp:extent cx="35331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582930</wp:posOffset>
            </wp:positionV>
            <wp:extent cx="35331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51" w:lineRule="exact"/>
        <w:rPr>
          <w:sz w:val="20"/>
          <w:szCs w:val="20"/>
          <w:color w:val="auto"/>
        </w:rPr>
      </w:pPr>
    </w:p>
    <w:p>
      <w:pPr>
        <w:sectPr>
          <w:pgSz w:w="11900" w:h="16838" w:orient="portrait"/>
          <w:cols w:equalWidth="0" w:num="2">
            <w:col w:w="8680" w:space="720"/>
            <w:col w:w="202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37" w:right="2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(j)</w:t>
            </w: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par value $0.01 per share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(j)</w:t>
            </w: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Class B common stock, par value $0.01 per share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(h)(i)(j)</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(k)(l)</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Retained earnings (accumulated deficit)</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(j)</w:t>
            </w: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(k)(l)</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36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36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1380" w:type="dxa"/>
            <w:vAlign w:val="bottom"/>
            <w:vMerge w:val="restart"/>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337"/>
              <w:spacing w:after="0"/>
              <w:rPr>
                <w:sz w:val="20"/>
                <w:szCs w:val="20"/>
                <w:color w:val="auto"/>
              </w:rPr>
            </w:pPr>
            <w:r>
              <w:rPr>
                <w:rFonts w:ascii="Arial" w:cs="Arial" w:eastAsia="Arial" w:hAnsi="Arial"/>
                <w:sz w:val="13"/>
                <w:szCs w:val="13"/>
                <w:color w:val="auto"/>
                <w:w w:val="82"/>
              </w:rPr>
              <w:t>$</w:t>
            </w:r>
          </w:p>
        </w:tc>
        <w:tc>
          <w:tcPr>
            <w:tcW w:w="2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40" w:type="dxa"/>
            <w:vAlign w:val="bottom"/>
            <w:gridSpan w:val="2"/>
            <w:vMerge w:val="restart"/>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436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040" w:type="dxa"/>
            <w:vAlign w:val="bottom"/>
            <w:gridSpan w:val="2"/>
            <w:vMerge w:val="continue"/>
            <w:shd w:val="clear" w:color="auto" w:fill="CCEEFF"/>
          </w:tcPr>
          <w:p>
            <w:pPr>
              <w:spacing w:after="0"/>
              <w:rPr>
                <w:sz w:val="7"/>
                <w:szCs w:val="7"/>
                <w:color w:val="auto"/>
              </w:rPr>
            </w:pPr>
          </w:p>
        </w:tc>
        <w:tc>
          <w:tcPr>
            <w:tcW w:w="20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pro forma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0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Notes to Unaudited Pro Forma Combined and Consolidated Statements of Operations</w:t>
      </w:r>
    </w:p>
    <w:p>
      <w:pPr>
        <w:spacing w:after="0" w:line="175" w:lineRule="exact"/>
        <w:rPr>
          <w:sz w:val="20"/>
          <w:szCs w:val="20"/>
          <w:color w:val="auto"/>
        </w:rPr>
      </w:pPr>
    </w:p>
    <w:p>
      <w:pPr>
        <w:ind w:left="340" w:hanging="332"/>
        <w:spacing w:after="0" w:line="342"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ZoomInfo Technologies Inc. was formed on November 14, 2019, and will have no results of operations until the completion of this offering. Therefore, its historical results of operations are not shown in a separate column in the unaudited pro forma combined and consolidated statement of operations.</w:t>
      </w:r>
    </w:p>
    <w:p>
      <w:pPr>
        <w:spacing w:after="0" w:line="69"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financials of Pre-Acquisition ZI to those of ZoomInfo OpCo as follows:</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9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Pre-Acquisition ZI</w:t>
            </w:r>
          </w:p>
        </w:tc>
        <w:tc>
          <w:tcPr>
            <w:tcW w:w="19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Reclassifications</w:t>
            </w:r>
          </w:p>
        </w:tc>
        <w:tc>
          <w:tcPr>
            <w:tcW w:w="1800" w:type="dxa"/>
            <w:vAlign w:val="bottom"/>
          </w:tcPr>
          <w:p>
            <w:pPr>
              <w:ind w:left="240"/>
              <w:spacing w:after="0"/>
              <w:rPr>
                <w:sz w:val="20"/>
                <w:szCs w:val="20"/>
                <w:color w:val="auto"/>
              </w:rPr>
            </w:pPr>
            <w:r>
              <w:rPr>
                <w:rFonts w:ascii="Arial" w:cs="Arial" w:eastAsia="Arial" w:hAnsi="Arial"/>
                <w:sz w:val="14"/>
                <w:szCs w:val="14"/>
                <w:b w:val="1"/>
                <w:bCs w:val="1"/>
                <w:color w:val="auto"/>
              </w:rPr>
              <w:t>Pre-Acquisition ZI as</w:t>
            </w:r>
          </w:p>
        </w:tc>
        <w:tc>
          <w:tcPr>
            <w:tcW w:w="0" w:type="dxa"/>
            <w:vAlign w:val="bottom"/>
          </w:tcPr>
          <w:p>
            <w:pPr>
              <w:spacing w:after="0"/>
              <w:rPr>
                <w:sz w:val="1"/>
                <w:szCs w:val="1"/>
                <w:color w:val="auto"/>
              </w:rPr>
            </w:pPr>
          </w:p>
        </w:tc>
      </w:tr>
      <w:tr>
        <w:trPr>
          <w:trHeight w:val="192"/>
        </w:trPr>
        <w:tc>
          <w:tcPr>
            <w:tcW w:w="50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800" w:type="dxa"/>
            <w:vAlign w:val="bottom"/>
          </w:tcPr>
          <w:p>
            <w:pPr>
              <w:ind w:left="6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 / revenue</w:t>
            </w:r>
          </w:p>
        </w:tc>
        <w:tc>
          <w:tcPr>
            <w:tcW w:w="1820" w:type="dxa"/>
            <w:vAlign w:val="bottom"/>
            <w:tcBorders>
              <w:top w:val="single" w:sz="8" w:color="auto"/>
              <w:bottom w:val="single" w:sz="8" w:color="CCEEFF"/>
            </w:tcBorders>
            <w:shd w:val="clear" w:color="auto" w:fill="CCEEFF"/>
          </w:tcPr>
          <w:p>
            <w:pPr>
              <w:jc w:val="right"/>
              <w:ind w:right="147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ind w:right="147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Amortization of acquired technology</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Amortization of other acquired intangibles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accordance with the rules of Article 11 of Regulation S-X, the following pro forma adjustments were made relating to the Zoom Information Acquisition:</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adjustment to revenue represents the removal of the amortization of fair value adjustments to historical Pre-Acquisition ZI’s unearned revenue. The amortization is removed because it will not have a continuing impact on the financial results of the combined company.</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Operating expenses were adjusted to recognize an increase in depreciation expense resulting from the fair value adjustments to acquired property and equipment.</w:t>
      </w:r>
    </w:p>
    <w:p>
      <w:pPr>
        <w:spacing w:after="0" w:line="11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 million under our first lien term loan facility and $370 million under our second lien term loan facility associated with the acquisition of Pre-Acquisition ZI and a refinancing of the term loans included in ZoomInfo OpCo’s historical financial statements,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3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an continuing impact on the financial results of the combined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7" w:right="239" w:bottom="1440" w:gutter="0" w:footer="0" w:header="0"/>
        </w:sectPr>
      </w:pPr>
    </w:p>
    <w:bookmarkStart w:id="89" w:name="page90"/>
    <w:bookmarkEnd w:id="89"/>
    <w:p>
      <w:pPr>
        <w:jc w:val="both"/>
        <w:ind w:left="340" w:hanging="332"/>
        <w:spacing w:after="0" w:line="271"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ZoomInfo OpCo is a limited liability company and is treated as a partnership for U.S. federal and most applicable state and local income tax purposes. As a result, it is not liable for U.S. federal or state and local income taxes in most jurisdictions in which we operate, and the income, expenses, gains and losses are reported on the returns of its members. It is subject to local income tax in certain jurisdictions in which it is not treated like a partnership, where it pays income taxes. Upon completion of the Reorganization Transactions, ZoomInfo Technologies Inc. will be subject to U.S. federal income taxes, in addition to state and local taxes, with respect to our allocable share of any net taxable income of ZoomInfo OpCo, which will result in higher income taxes. As a result, the unaudited pro forma combined and consolidated statement of operations reflects an adjustment to our provision for corporate income taxes to reflect an effective rate of 26.7%, which includes provision for U.S. federal income taxes and assumes the highest statutory rates apportioned to each state and local jurisdiction.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1"/>
              </w:rPr>
              <w:t>The effective tax rate derived from the face of the unaudited pro forma combined and consolidated statement of operations will be lower than the stated</w:t>
            </w:r>
          </w:p>
        </w:tc>
      </w:tr>
      <w:tr>
        <w:trPr>
          <w:trHeight w:val="216"/>
        </w:trPr>
        <w:tc>
          <w:tcPr>
            <w:tcW w:w="28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8"/>
                <w:szCs w:val="18"/>
                <w:color w:val="auto"/>
                <w:w w:val="97"/>
              </w:rPr>
              <w:t>effective tax rate because the effective tax rate is applied to only</w:t>
            </w:r>
          </w:p>
        </w:tc>
        <w:tc>
          <w:tcPr>
            <w:tcW w:w="6100" w:type="dxa"/>
            <w:vAlign w:val="bottom"/>
          </w:tcPr>
          <w:p>
            <w:pPr>
              <w:jc w:val="right"/>
              <w:spacing w:after="0"/>
              <w:rPr>
                <w:sz w:val="20"/>
                <w:szCs w:val="20"/>
                <w:color w:val="auto"/>
              </w:rPr>
            </w:pPr>
            <w:r>
              <w:rPr>
                <w:rFonts w:ascii="Arial" w:cs="Arial" w:eastAsia="Arial" w:hAnsi="Arial"/>
                <w:sz w:val="18"/>
                <w:szCs w:val="18"/>
                <w:color w:val="auto"/>
                <w:w w:val="95"/>
              </w:rPr>
              <w:t>% of the income before taxes based on ZoomInfo Technologies Inc.’s economic</w:t>
            </w:r>
          </w:p>
        </w:tc>
      </w:tr>
      <w:tr>
        <w:trPr>
          <w:trHeight w:val="230"/>
        </w:trPr>
        <w:tc>
          <w:tcPr>
            <w:tcW w:w="28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Arial" w:cs="Arial" w:eastAsia="Arial" w:hAnsi="Arial"/>
                <w:sz w:val="18"/>
                <w:szCs w:val="18"/>
                <w:color w:val="auto"/>
              </w:rPr>
              <w:t>interest in ZoomInfo OpCo.</w:t>
            </w:r>
          </w:p>
        </w:tc>
        <w:tc>
          <w:tcPr>
            <w:tcW w:w="6100" w:type="dxa"/>
            <w:vAlign w:val="bottom"/>
          </w:tcPr>
          <w:p>
            <w:pPr>
              <w:spacing w:after="0"/>
              <w:rPr>
                <w:sz w:val="20"/>
                <w:szCs w:val="20"/>
                <w:color w:val="auto"/>
              </w:rPr>
            </w:pPr>
          </w:p>
        </w:tc>
      </w:tr>
      <w:tr>
        <w:trPr>
          <w:trHeight w:val="364"/>
        </w:trPr>
        <w:tc>
          <w:tcPr>
            <w:tcW w:w="280" w:type="dxa"/>
            <w:vAlign w:val="bottom"/>
          </w:tcPr>
          <w:p>
            <w:pPr>
              <w:spacing w:after="0"/>
              <w:rPr>
                <w:sz w:val="20"/>
                <w:szCs w:val="20"/>
                <w:color w:val="auto"/>
              </w:rPr>
            </w:pPr>
            <w:r>
              <w:rPr>
                <w:rFonts w:ascii="Arial" w:cs="Arial" w:eastAsia="Arial" w:hAnsi="Arial"/>
                <w:sz w:val="18"/>
                <w:szCs w:val="18"/>
                <w:color w:val="auto"/>
              </w:rPr>
              <w:t>(e)</w:t>
            </w: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4"/>
              </w:rPr>
              <w:t>Upon completion of the Reorganization Transactions, ZoomInfo Technologies Inc. will become the sole managing member of ZoomInfo OpCo. As a</w:t>
            </w:r>
          </w:p>
        </w:tc>
      </w:tr>
      <w:tr>
        <w:trPr>
          <w:trHeight w:val="216"/>
        </w:trPr>
        <w:tc>
          <w:tcPr>
            <w:tcW w:w="280" w:type="dxa"/>
            <w:vAlign w:val="bottom"/>
          </w:tcPr>
          <w:p>
            <w:pPr>
              <w:spacing w:after="0"/>
              <w:rPr>
                <w:sz w:val="18"/>
                <w:szCs w:val="18"/>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4"/>
              </w:rPr>
              <w:t>result of the Offering Transactions, ZoomInfo Technologies Inc. will own approximately   % of the economic interest in ZoomInfo OpCo, but will have</w:t>
            </w:r>
          </w:p>
        </w:tc>
      </w:tr>
      <w:tr>
        <w:trPr>
          <w:trHeight w:val="216"/>
        </w:trPr>
        <w:tc>
          <w:tcPr>
            <w:tcW w:w="280" w:type="dxa"/>
            <w:vAlign w:val="bottom"/>
          </w:tcPr>
          <w:p>
            <w:pPr>
              <w:spacing w:after="0"/>
              <w:rPr>
                <w:sz w:val="18"/>
                <w:szCs w:val="18"/>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3"/>
              </w:rPr>
              <w:t>100% of the voting power and control the management of ZoomInfo OpCo. Immediately following this offering, the ownership percentage held by the</w:t>
            </w:r>
          </w:p>
        </w:tc>
      </w:tr>
      <w:tr>
        <w:trPr>
          <w:trHeight w:val="216"/>
        </w:trPr>
        <w:tc>
          <w:tcPr>
            <w:tcW w:w="280" w:type="dxa"/>
            <w:vAlign w:val="bottom"/>
          </w:tcPr>
          <w:p>
            <w:pPr>
              <w:spacing w:after="0"/>
              <w:rPr>
                <w:sz w:val="18"/>
                <w:szCs w:val="18"/>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4"/>
              </w:rPr>
              <w:t>non-controlling interest will be approximately   %. Net loss attributable to the non-controlling interest will represent approximately   % of the net loss</w:t>
            </w:r>
          </w:p>
        </w:tc>
      </w:tr>
      <w:tr>
        <w:trPr>
          <w:trHeight w:val="216"/>
        </w:trPr>
        <w:tc>
          <w:tcPr>
            <w:tcW w:w="280" w:type="dxa"/>
            <w:vAlign w:val="bottom"/>
          </w:tcPr>
          <w:p>
            <w:pPr>
              <w:spacing w:after="0"/>
              <w:rPr>
                <w:sz w:val="18"/>
                <w:szCs w:val="18"/>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0"/>
              </w:rPr>
              <w:t>before the provision for income taxes. These amounts have been determined based on an assumption that the underwriters’ option to purchase additional</w:t>
            </w:r>
          </w:p>
        </w:tc>
      </w:tr>
      <w:tr>
        <w:trPr>
          <w:trHeight w:val="216"/>
        </w:trPr>
        <w:tc>
          <w:tcPr>
            <w:tcW w:w="280" w:type="dxa"/>
            <w:vAlign w:val="bottom"/>
          </w:tcPr>
          <w:p>
            <w:pPr>
              <w:spacing w:after="0"/>
              <w:rPr>
                <w:sz w:val="18"/>
                <w:szCs w:val="18"/>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3"/>
              </w:rPr>
              <w:t>shares of Class A common stock is not exercised. If the underwriters’ option to purchase additional shares of Class A common stock is exercised, the</w:t>
            </w:r>
          </w:p>
        </w:tc>
      </w:tr>
      <w:tr>
        <w:trPr>
          <w:trHeight w:val="230"/>
        </w:trPr>
        <w:tc>
          <w:tcPr>
            <w:tcW w:w="280" w:type="dxa"/>
            <w:vAlign w:val="bottom"/>
          </w:tcPr>
          <w:p>
            <w:pPr>
              <w:spacing w:after="0"/>
              <w:rPr>
                <w:sz w:val="20"/>
                <w:szCs w:val="20"/>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rPr>
              <w:t>ownership percentage held by the non-controlling interest would decrease to  %.</w:t>
            </w:r>
          </w:p>
        </w:tc>
      </w:tr>
      <w:tr>
        <w:trPr>
          <w:trHeight w:val="364"/>
        </w:trPr>
        <w:tc>
          <w:tcPr>
            <w:tcW w:w="280" w:type="dxa"/>
            <w:vAlign w:val="bottom"/>
          </w:tcPr>
          <w:p>
            <w:pPr>
              <w:spacing w:after="0"/>
              <w:rPr>
                <w:sz w:val="20"/>
                <w:szCs w:val="20"/>
                <w:color w:val="auto"/>
              </w:rPr>
            </w:pPr>
            <w:r>
              <w:rPr>
                <w:rFonts w:ascii="Arial" w:cs="Arial" w:eastAsia="Arial" w:hAnsi="Arial"/>
                <w:sz w:val="18"/>
                <w:szCs w:val="18"/>
                <w:color w:val="auto"/>
              </w:rPr>
              <w:t>(f)</w:t>
            </w: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0"/>
              </w:rPr>
              <w:t>The basic and diluted pro forma net loss per share of Class A common stock represents net loss attributable to ZoomInfo Technologies Inc. divided by the</w:t>
            </w:r>
          </w:p>
        </w:tc>
      </w:tr>
      <w:tr>
        <w:trPr>
          <w:trHeight w:val="216"/>
        </w:trPr>
        <w:tc>
          <w:tcPr>
            <w:tcW w:w="2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99"/>
              </w:rPr>
              <w:t>combination of</w:t>
            </w:r>
          </w:p>
        </w:tc>
        <w:tc>
          <w:tcPr>
            <w:tcW w:w="9900" w:type="dxa"/>
            <w:vAlign w:val="bottom"/>
            <w:gridSpan w:val="2"/>
          </w:tcPr>
          <w:p>
            <w:pPr>
              <w:jc w:val="right"/>
              <w:spacing w:after="0"/>
              <w:rPr>
                <w:sz w:val="20"/>
                <w:szCs w:val="20"/>
                <w:color w:val="auto"/>
              </w:rPr>
            </w:pPr>
            <w:r>
              <w:rPr>
                <w:rFonts w:ascii="Arial" w:cs="Arial" w:eastAsia="Arial" w:hAnsi="Arial"/>
                <w:sz w:val="18"/>
                <w:szCs w:val="18"/>
                <w:color w:val="auto"/>
                <w:w w:val="93"/>
              </w:rPr>
              <w:t>million shares of Class A common stock owned by the Blocker Companies after giving effect to the Reorganization Transactions and</w:t>
            </w:r>
          </w:p>
        </w:tc>
      </w:tr>
      <w:tr>
        <w:trPr>
          <w:trHeight w:val="216"/>
        </w:trPr>
        <w:tc>
          <w:tcPr>
            <w:tcW w:w="2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approximately</w:t>
            </w:r>
          </w:p>
        </w:tc>
        <w:tc>
          <w:tcPr>
            <w:tcW w:w="9900" w:type="dxa"/>
            <w:vAlign w:val="bottom"/>
            <w:gridSpan w:val="2"/>
          </w:tcPr>
          <w:p>
            <w:pPr>
              <w:jc w:val="right"/>
              <w:spacing w:after="0"/>
              <w:rPr>
                <w:sz w:val="20"/>
                <w:szCs w:val="20"/>
                <w:color w:val="auto"/>
              </w:rPr>
            </w:pPr>
            <w:r>
              <w:rPr>
                <w:rFonts w:ascii="Arial" w:cs="Arial" w:eastAsia="Arial" w:hAnsi="Arial"/>
                <w:sz w:val="18"/>
                <w:szCs w:val="18"/>
                <w:color w:val="auto"/>
                <w:w w:val="91"/>
              </w:rPr>
              <w:t>million shares of Class A common stock sold in this offering, representing only those shares whose proceeds will be used to repay debt</w:t>
            </w:r>
          </w:p>
        </w:tc>
      </w:tr>
      <w:tr>
        <w:trPr>
          <w:trHeight w:val="216"/>
        </w:trPr>
        <w:tc>
          <w:tcPr>
            <w:tcW w:w="280" w:type="dxa"/>
            <w:vAlign w:val="bottom"/>
          </w:tcPr>
          <w:p>
            <w:pPr>
              <w:spacing w:after="0"/>
              <w:rPr>
                <w:sz w:val="18"/>
                <w:szCs w:val="18"/>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5"/>
              </w:rPr>
              <w:t>under the second lien term loan facility (including related prepayment premiums and accrued interest), based on the initial public offering price of $</w:t>
            </w:r>
          </w:p>
        </w:tc>
      </w:tr>
      <w:tr>
        <w:trPr>
          <w:trHeight w:val="230"/>
        </w:trPr>
        <w:tc>
          <w:tcPr>
            <w:tcW w:w="280" w:type="dxa"/>
            <w:vAlign w:val="bottom"/>
          </w:tcPr>
          <w:p>
            <w:pPr>
              <w:spacing w:after="0"/>
              <w:rPr>
                <w:sz w:val="20"/>
                <w:szCs w:val="20"/>
                <w:color w:val="auto"/>
              </w:rPr>
            </w:pPr>
          </w:p>
        </w:tc>
        <w:tc>
          <w:tcPr>
            <w:tcW w:w="11140" w:type="dxa"/>
            <w:vAlign w:val="bottom"/>
            <w:gridSpan w:val="3"/>
          </w:tcPr>
          <w:p>
            <w:pPr>
              <w:ind w:left="60"/>
              <w:spacing w:after="0"/>
              <w:rPr>
                <w:sz w:val="20"/>
                <w:szCs w:val="20"/>
                <w:color w:val="auto"/>
              </w:rPr>
            </w:pPr>
            <w:r>
              <w:rPr>
                <w:rFonts w:ascii="Arial" w:cs="Arial" w:eastAsia="Arial" w:hAnsi="Arial"/>
                <w:sz w:val="18"/>
                <w:szCs w:val="18"/>
                <w:color w:val="auto"/>
                <w:w w:val="95"/>
              </w:rPr>
              <w:t>per share, which is the midpoint of the range on the front cover of this prospectus, after deducting underwriting discounts. See “Use of Proceeds.”</w:t>
            </w:r>
          </w:p>
        </w:tc>
      </w:tr>
    </w:tbl>
    <w:p>
      <w:pPr>
        <w:spacing w:after="0" w:line="148" w:lineRule="exact"/>
        <w:rPr>
          <w:sz w:val="20"/>
          <w:szCs w:val="20"/>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shares of Class B common stock do not share in our earnings and are therefore not included in the weighted-average shares outstanding or net loss per share.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4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Notes to Unaudited Pro Forma Consolidated Balance Sheet</w:t>
      </w:r>
    </w:p>
    <w:p>
      <w:pPr>
        <w:spacing w:after="0" w:line="175" w:lineRule="exact"/>
        <w:rPr>
          <w:sz w:val="20"/>
          <w:szCs w:val="20"/>
          <w:color w:val="auto"/>
        </w:rPr>
      </w:pPr>
    </w:p>
    <w:p>
      <w:pPr>
        <w:jc w:val="both"/>
        <w:ind w:left="340" w:hanging="332"/>
        <w:spacing w:after="0" w:line="312"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Following the Reorganization Transactions, we will be subject to U.S. federal income taxes, in addition to state and local taxes, with respect to our allocable share of any net taxable income of ZoomInfo OpCo, which will result in higher income taxes. As a result, the pro forma balance sheet reflects an adjustment to our taxes assuming the federal rates currently in effect and the highest statutory rates apportioned to each state and local jurisdiction.</w:t>
      </w:r>
    </w:p>
    <w:p>
      <w:pPr>
        <w:spacing w:after="0" w:line="92" w:lineRule="exact"/>
        <w:rPr>
          <w:rFonts w:ascii="Arial" w:cs="Arial" w:eastAsia="Arial" w:hAnsi="Arial"/>
          <w:sz w:val="16"/>
          <w:szCs w:val="16"/>
          <w:color w:val="auto"/>
        </w:rPr>
      </w:pPr>
    </w:p>
    <w:p>
      <w:pPr>
        <w:jc w:val="both"/>
        <w:ind w:left="340" w:hanging="332"/>
        <w:spacing w:after="0" w:line="288"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the completion of this offering, we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See “Certain Relationships and Related Person Transactions—Tax Receivable Agreement.” The tax receivable agreement will be accounted for as a contingent liability, with amounts accrued when considered probable and reasonably estimable. Although no exchanges of LLC Units are expected to occur as part of the Offering Transactions, we have recorded adjustments relating to the items described in clauses (i) and (iii) above, as follows:</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2800" w:type="dxa"/>
            <w:vAlign w:val="bottom"/>
            <w:gridSpan w:val="2"/>
          </w:tcPr>
          <w:p>
            <w:pPr>
              <w:ind w:left="60"/>
              <w:spacing w:after="0"/>
              <w:rPr>
                <w:sz w:val="20"/>
                <w:szCs w:val="20"/>
                <w:color w:val="auto"/>
              </w:rPr>
            </w:pPr>
            <w:r>
              <w:rPr>
                <w:rFonts w:ascii="Arial" w:cs="Arial" w:eastAsia="Arial" w:hAnsi="Arial"/>
                <w:sz w:val="18"/>
                <w:szCs w:val="18"/>
                <w:color w:val="auto"/>
              </w:rPr>
              <w:t>We will record an increase of $</w:t>
            </w:r>
          </w:p>
        </w:tc>
        <w:tc>
          <w:tcPr>
            <w:tcW w:w="3800" w:type="dxa"/>
            <w:vAlign w:val="bottom"/>
            <w:gridSpan w:val="2"/>
          </w:tcPr>
          <w:p>
            <w:pPr>
              <w:ind w:left="440"/>
              <w:spacing w:after="0"/>
              <w:rPr>
                <w:sz w:val="20"/>
                <w:szCs w:val="20"/>
                <w:color w:val="auto"/>
              </w:rPr>
            </w:pPr>
            <w:r>
              <w:rPr>
                <w:rFonts w:ascii="Arial" w:cs="Arial" w:eastAsia="Arial" w:hAnsi="Arial"/>
                <w:sz w:val="18"/>
                <w:szCs w:val="18"/>
                <w:color w:val="auto"/>
              </w:rPr>
              <w:t>million in deferred tax assets (or $</w:t>
            </w:r>
          </w:p>
        </w:tc>
        <w:tc>
          <w:tcPr>
            <w:tcW w:w="4220" w:type="dxa"/>
            <w:vAlign w:val="bottom"/>
          </w:tcPr>
          <w:p>
            <w:pPr>
              <w:jc w:val="right"/>
              <w:spacing w:after="0"/>
              <w:rPr>
                <w:sz w:val="20"/>
                <w:szCs w:val="20"/>
                <w:color w:val="auto"/>
              </w:rPr>
            </w:pPr>
            <w:r>
              <w:rPr>
                <w:rFonts w:ascii="Arial" w:cs="Arial" w:eastAsia="Arial" w:hAnsi="Arial"/>
                <w:sz w:val="18"/>
                <w:szCs w:val="18"/>
                <w:color w:val="auto"/>
                <w:w w:val="97"/>
              </w:rPr>
              <w:t>million if the underwriters exercise in full their option to</w:t>
            </w:r>
          </w:p>
        </w:tc>
      </w:tr>
      <w:tr>
        <w:trPr>
          <w:trHeight w:val="216"/>
        </w:trPr>
        <w:tc>
          <w:tcPr>
            <w:tcW w:w="260" w:type="dxa"/>
            <w:vAlign w:val="bottom"/>
          </w:tcPr>
          <w:p>
            <w:pPr>
              <w:spacing w:after="0"/>
              <w:rPr>
                <w:sz w:val="18"/>
                <w:szCs w:val="18"/>
                <w:color w:val="auto"/>
              </w:rPr>
            </w:pPr>
          </w:p>
        </w:tc>
        <w:tc>
          <w:tcPr>
            <w:tcW w:w="10820" w:type="dxa"/>
            <w:vAlign w:val="bottom"/>
            <w:gridSpan w:val="5"/>
          </w:tcPr>
          <w:p>
            <w:pPr>
              <w:ind w:left="60"/>
              <w:spacing w:after="0"/>
              <w:rPr>
                <w:sz w:val="20"/>
                <w:szCs w:val="20"/>
                <w:color w:val="auto"/>
              </w:rPr>
            </w:pPr>
            <w:r>
              <w:rPr>
                <w:rFonts w:ascii="Arial" w:cs="Arial" w:eastAsia="Arial" w:hAnsi="Arial"/>
                <w:sz w:val="18"/>
                <w:szCs w:val="18"/>
                <w:color w:val="auto"/>
                <w:w w:val="90"/>
              </w:rPr>
              <w:t>purchase additional shares of Class A common stock) related to tax benefits from future deductions attributable to payments under the tax receivable</w:t>
            </w:r>
          </w:p>
        </w:tc>
      </w:tr>
      <w:tr>
        <w:trPr>
          <w:trHeight w:val="216"/>
        </w:trPr>
        <w:tc>
          <w:tcPr>
            <w:tcW w:w="260" w:type="dxa"/>
            <w:vAlign w:val="bottom"/>
          </w:tcPr>
          <w:p>
            <w:pPr>
              <w:spacing w:after="0"/>
              <w:rPr>
                <w:sz w:val="18"/>
                <w:szCs w:val="18"/>
                <w:color w:val="auto"/>
              </w:rPr>
            </w:pPr>
          </w:p>
        </w:tc>
        <w:tc>
          <w:tcPr>
            <w:tcW w:w="10820" w:type="dxa"/>
            <w:vAlign w:val="bottom"/>
            <w:gridSpan w:val="5"/>
          </w:tcPr>
          <w:p>
            <w:pPr>
              <w:ind w:left="60"/>
              <w:spacing w:after="0"/>
              <w:rPr>
                <w:sz w:val="20"/>
                <w:szCs w:val="20"/>
                <w:color w:val="auto"/>
              </w:rPr>
            </w:pPr>
            <w:r>
              <w:rPr>
                <w:rFonts w:ascii="Arial" w:cs="Arial" w:eastAsia="Arial" w:hAnsi="Arial"/>
                <w:sz w:val="18"/>
                <w:szCs w:val="18"/>
                <w:color w:val="auto"/>
                <w:w w:val="91"/>
              </w:rPr>
              <w:t>agreement as a result of the Offering Transactions. To the extent we estimate that we will not realize the full benefit represented by the deferred tax</w:t>
            </w:r>
          </w:p>
        </w:tc>
      </w:tr>
      <w:tr>
        <w:trPr>
          <w:trHeight w:val="230"/>
        </w:trPr>
        <w:tc>
          <w:tcPr>
            <w:tcW w:w="260" w:type="dxa"/>
            <w:vAlign w:val="bottom"/>
          </w:tcPr>
          <w:p>
            <w:pPr>
              <w:spacing w:after="0"/>
              <w:rPr>
                <w:sz w:val="20"/>
                <w:szCs w:val="20"/>
                <w:color w:val="auto"/>
              </w:rPr>
            </w:pPr>
          </w:p>
        </w:tc>
        <w:tc>
          <w:tcPr>
            <w:tcW w:w="10820" w:type="dxa"/>
            <w:vAlign w:val="bottom"/>
            <w:gridSpan w:val="5"/>
          </w:tcPr>
          <w:p>
            <w:pPr>
              <w:ind w:left="60"/>
              <w:spacing w:after="0"/>
              <w:rPr>
                <w:sz w:val="20"/>
                <w:szCs w:val="20"/>
                <w:color w:val="auto"/>
              </w:rPr>
            </w:pPr>
            <w:r>
              <w:rPr>
                <w:rFonts w:ascii="Arial" w:cs="Arial" w:eastAsia="Arial" w:hAnsi="Arial"/>
                <w:sz w:val="18"/>
                <w:szCs w:val="18"/>
                <w:color w:val="auto"/>
              </w:rPr>
              <w:t>assets, based on an analysis of expected future earnings, we will reduce deferred tax assets with a valuation allowance;</w:t>
            </w:r>
          </w:p>
        </w:tc>
      </w:tr>
      <w:tr>
        <w:trPr>
          <w:trHeight w:val="364"/>
        </w:trPr>
        <w:tc>
          <w:tcPr>
            <w:tcW w:w="26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1540" w:type="dxa"/>
            <w:vAlign w:val="bottom"/>
          </w:tcPr>
          <w:p>
            <w:pPr>
              <w:ind w:left="60"/>
              <w:spacing w:after="0"/>
              <w:rPr>
                <w:sz w:val="20"/>
                <w:szCs w:val="20"/>
                <w:color w:val="auto"/>
              </w:rPr>
            </w:pPr>
            <w:r>
              <w:rPr>
                <w:rFonts w:ascii="Arial" w:cs="Arial" w:eastAsia="Arial" w:hAnsi="Arial"/>
                <w:sz w:val="18"/>
                <w:szCs w:val="18"/>
                <w:color w:val="auto"/>
              </w:rPr>
              <w:t>We will record $</w:t>
            </w:r>
          </w:p>
        </w:tc>
        <w:tc>
          <w:tcPr>
            <w:tcW w:w="5060" w:type="dxa"/>
            <w:vAlign w:val="bottom"/>
            <w:gridSpan w:val="3"/>
          </w:tcPr>
          <w:p>
            <w:pPr>
              <w:ind w:left="560"/>
              <w:spacing w:after="0"/>
              <w:rPr>
                <w:sz w:val="20"/>
                <w:szCs w:val="20"/>
                <w:color w:val="auto"/>
              </w:rPr>
            </w:pPr>
            <w:r>
              <w:rPr>
                <w:rFonts w:ascii="Arial" w:cs="Arial" w:eastAsia="Arial" w:hAnsi="Arial"/>
                <w:sz w:val="18"/>
                <w:szCs w:val="18"/>
                <w:color w:val="auto"/>
                <w:w w:val="94"/>
              </w:rPr>
              <w:t>million in liabilities under the tax receivable agreement (or $</w:t>
            </w:r>
          </w:p>
        </w:tc>
        <w:tc>
          <w:tcPr>
            <w:tcW w:w="4220" w:type="dxa"/>
            <w:vAlign w:val="bottom"/>
          </w:tcPr>
          <w:p>
            <w:pPr>
              <w:jc w:val="right"/>
              <w:spacing w:after="0"/>
              <w:rPr>
                <w:sz w:val="20"/>
                <w:szCs w:val="20"/>
                <w:color w:val="auto"/>
              </w:rPr>
            </w:pPr>
            <w:r>
              <w:rPr>
                <w:rFonts w:ascii="Arial" w:cs="Arial" w:eastAsia="Arial" w:hAnsi="Arial"/>
                <w:sz w:val="18"/>
                <w:szCs w:val="18"/>
                <w:color w:val="auto"/>
              </w:rPr>
              <w:t>million if the underwriters exercise in full their</w:t>
            </w:r>
          </w:p>
        </w:tc>
      </w:tr>
      <w:tr>
        <w:trPr>
          <w:trHeight w:val="216"/>
        </w:trPr>
        <w:tc>
          <w:tcPr>
            <w:tcW w:w="260" w:type="dxa"/>
            <w:vAlign w:val="bottom"/>
          </w:tcPr>
          <w:p>
            <w:pPr>
              <w:spacing w:after="0"/>
              <w:rPr>
                <w:sz w:val="18"/>
                <w:szCs w:val="18"/>
                <w:color w:val="auto"/>
              </w:rPr>
            </w:pPr>
          </w:p>
        </w:tc>
        <w:tc>
          <w:tcPr>
            <w:tcW w:w="10820" w:type="dxa"/>
            <w:vAlign w:val="bottom"/>
            <w:gridSpan w:val="5"/>
          </w:tcPr>
          <w:p>
            <w:pPr>
              <w:ind w:left="60"/>
              <w:spacing w:after="0"/>
              <w:rPr>
                <w:sz w:val="20"/>
                <w:szCs w:val="20"/>
                <w:color w:val="auto"/>
              </w:rPr>
            </w:pPr>
            <w:r>
              <w:rPr>
                <w:rFonts w:ascii="Arial" w:cs="Arial" w:eastAsia="Arial" w:hAnsi="Arial"/>
                <w:sz w:val="18"/>
                <w:szCs w:val="18"/>
                <w:color w:val="auto"/>
                <w:w w:val="94"/>
              </w:rPr>
              <w:t>option to purchase additional shares of Class A common stock) based on our estimate of the aggregate amount that we will pay to the pre-IPO</w:t>
            </w:r>
          </w:p>
        </w:tc>
      </w:tr>
      <w:tr>
        <w:trPr>
          <w:trHeight w:val="230"/>
        </w:trPr>
        <w:tc>
          <w:tcPr>
            <w:tcW w:w="260" w:type="dxa"/>
            <w:vAlign w:val="bottom"/>
          </w:tcPr>
          <w:p>
            <w:pPr>
              <w:spacing w:after="0"/>
              <w:rPr>
                <w:sz w:val="20"/>
                <w:szCs w:val="20"/>
                <w:color w:val="auto"/>
              </w:rPr>
            </w:pPr>
          </w:p>
        </w:tc>
        <w:tc>
          <w:tcPr>
            <w:tcW w:w="6600" w:type="dxa"/>
            <w:vAlign w:val="bottom"/>
            <w:gridSpan w:val="4"/>
          </w:tcPr>
          <w:p>
            <w:pPr>
              <w:ind w:left="60"/>
              <w:spacing w:after="0"/>
              <w:rPr>
                <w:sz w:val="20"/>
                <w:szCs w:val="20"/>
                <w:color w:val="auto"/>
              </w:rPr>
            </w:pPr>
            <w:r>
              <w:rPr>
                <w:rFonts w:ascii="Arial" w:cs="Arial" w:eastAsia="Arial" w:hAnsi="Arial"/>
                <w:sz w:val="18"/>
                <w:szCs w:val="18"/>
                <w:color w:val="auto"/>
                <w:w w:val="97"/>
              </w:rPr>
              <w:t>owners under the tax receivable agreement as a result of the Offering Transactions;</w:t>
            </w:r>
          </w:p>
        </w:tc>
        <w:tc>
          <w:tcPr>
            <w:tcW w:w="4220" w:type="dxa"/>
            <w:vAlign w:val="bottom"/>
          </w:tcPr>
          <w:p>
            <w:pPr>
              <w:spacing w:after="0"/>
              <w:rPr>
                <w:sz w:val="20"/>
                <w:szCs w:val="20"/>
                <w:color w:val="auto"/>
              </w:rPr>
            </w:pPr>
          </w:p>
        </w:tc>
      </w:tr>
      <w:tr>
        <w:trPr>
          <w:trHeight w:val="378"/>
        </w:trPr>
        <w:tc>
          <w:tcPr>
            <w:tcW w:w="26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1540" w:type="dxa"/>
            <w:vAlign w:val="bottom"/>
          </w:tcPr>
          <w:p>
            <w:pPr>
              <w:ind w:left="60"/>
              <w:spacing w:after="0"/>
              <w:rPr>
                <w:sz w:val="20"/>
                <w:szCs w:val="20"/>
                <w:color w:val="auto"/>
              </w:rPr>
            </w:pPr>
            <w:r>
              <w:rPr>
                <w:rFonts w:ascii="Arial" w:cs="Arial" w:eastAsia="Arial" w:hAnsi="Arial"/>
                <w:sz w:val="18"/>
                <w:szCs w:val="18"/>
                <w:color w:val="auto"/>
              </w:rPr>
              <w:t>We will record</w:t>
            </w:r>
          </w:p>
        </w:tc>
        <w:tc>
          <w:tcPr>
            <w:tcW w:w="2940" w:type="dxa"/>
            <w:vAlign w:val="bottom"/>
            <w:gridSpan w:val="2"/>
          </w:tcPr>
          <w:p>
            <w:pPr>
              <w:ind w:left="280"/>
              <w:spacing w:after="0"/>
              <w:rPr>
                <w:sz w:val="20"/>
                <w:szCs w:val="20"/>
                <w:color w:val="auto"/>
              </w:rPr>
            </w:pPr>
            <w:r>
              <w:rPr>
                <w:rFonts w:ascii="Arial" w:cs="Arial" w:eastAsia="Arial" w:hAnsi="Arial"/>
                <w:sz w:val="18"/>
                <w:szCs w:val="18"/>
                <w:color w:val="auto"/>
              </w:rPr>
              <w:t>to additional paid-in capital of $</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w w:val="95"/>
              </w:rPr>
              <w:t>million, which is equal to the difference between the increase in deferred tax assets</w:t>
            </w:r>
          </w:p>
        </w:tc>
      </w:tr>
    </w:tbl>
    <w:p>
      <w:pPr>
        <w:ind w:left="660"/>
        <w:spacing w:after="0"/>
        <w:rPr>
          <w:sz w:val="20"/>
          <w:szCs w:val="20"/>
          <w:color w:val="auto"/>
        </w:rPr>
      </w:pPr>
      <w:r>
        <w:rPr>
          <w:rFonts w:ascii="Arial" w:cs="Arial" w:eastAsia="Arial" w:hAnsi="Arial"/>
          <w:sz w:val="18"/>
          <w:szCs w:val="18"/>
          <w:color w:val="auto"/>
        </w:rPr>
        <w:t>and the increase in liabilities under the tax receivable agreement as a result of the Offering Transactions.</w:t>
      </w:r>
    </w:p>
    <w:p>
      <w:pPr>
        <w:spacing w:after="0" w:line="157" w:lineRule="exact"/>
        <w:rPr>
          <w:sz w:val="20"/>
          <w:szCs w:val="20"/>
          <w:color w:val="auto"/>
        </w:rPr>
      </w:pPr>
    </w:p>
    <w:p>
      <w:pPr>
        <w:jc w:val="both"/>
        <w:ind w:left="340"/>
        <w:spacing w:after="0" w:line="285" w:lineRule="auto"/>
        <w:rPr>
          <w:sz w:val="20"/>
          <w:szCs w:val="20"/>
          <w:color w:val="auto"/>
        </w:rPr>
      </w:pPr>
      <w:r>
        <w:rPr>
          <w:rFonts w:ascii="Arial" w:cs="Arial" w:eastAsia="Arial" w:hAnsi="Arial"/>
          <w:sz w:val="16"/>
          <w:szCs w:val="16"/>
          <w:color w:val="auto"/>
        </w:rPr>
        <w:t>Due to the uncertainty as to the amount and timing of future exchanges of the LLC Units by the Pre-IPO LLC Unitholders and as to the price per share of our Class A common stock at the time of any such exchanges, the unaudited pro forma combined and consolidated financial information does not assume that exchanges of LLC Units have occurred. Therefore, no increases in tax basis in ZoomInfo Technologies Inc.’s assets or other tax benefits that may be realized as a result of any such future exchanges have been reflected in the unaudited pro forma combined and consolidated financial information. However, if all of the Pre-IPO Unitholders were to exchange their LLC Units immediately following the completion of this offering, we would recognize</w:t>
      </w:r>
    </w:p>
    <w:p>
      <w:pPr>
        <w:spacing w:after="0" w:line="2" w:lineRule="exact"/>
        <w:rPr>
          <w:sz w:val="20"/>
          <w:szCs w:val="20"/>
          <w:color w:val="auto"/>
        </w:rPr>
      </w:pPr>
    </w:p>
    <w:p>
      <w:pPr>
        <w:jc w:val="both"/>
        <w:ind w:left="340"/>
        <w:spacing w:after="0" w:line="250" w:lineRule="auto"/>
        <w:rPr>
          <w:sz w:val="20"/>
          <w:szCs w:val="20"/>
          <w:color w:val="auto"/>
        </w:rPr>
      </w:pPr>
      <w:r>
        <w:rPr>
          <w:rFonts w:ascii="Arial" w:cs="Arial" w:eastAsia="Arial" w:hAnsi="Arial"/>
          <w:sz w:val="18"/>
          <w:szCs w:val="18"/>
          <w:color w:val="auto"/>
        </w:rPr>
        <w:t>an incremental deferred tax asset of approximately $ million, a deferred tax liability of $ million and a non-current liability of approximately $ million based on our estimate of the aggregate amount that we will pay under the tax receivable agreement as a result of such future exchanges, assuming: (i) a price of $ per share (the midpoint of the public offering price range set forth on the cover page of this prospectus); (ii) a constant corporate tax rate of %; (iii) that we will have sufficient taxable income to fully utilize the tax benefits; and (iv) no</w:t>
      </w:r>
    </w:p>
    <w:p>
      <w:pPr>
        <w:spacing w:after="0" w:line="2" w:lineRule="exact"/>
        <w:rPr>
          <w:sz w:val="20"/>
          <w:szCs w:val="20"/>
          <w:color w:val="auto"/>
        </w:rPr>
      </w:pPr>
    </w:p>
    <w:p>
      <w:pPr>
        <w:jc w:val="both"/>
        <w:ind w:left="340"/>
        <w:spacing w:after="0" w:line="281" w:lineRule="auto"/>
        <w:rPr>
          <w:sz w:val="20"/>
          <w:szCs w:val="20"/>
          <w:color w:val="auto"/>
        </w:rPr>
      </w:pPr>
      <w:r>
        <w:rPr>
          <w:rFonts w:ascii="Arial" w:cs="Arial" w:eastAsia="Arial" w:hAnsi="Arial"/>
          <w:sz w:val="16"/>
          <w:szCs w:val="16"/>
          <w:color w:val="auto"/>
        </w:rPr>
        <w:t>material changes in tax law. Assuming no change in the other assumptions, a $1.00 increase (decrease) in the assumed price per share would increase (decrease) the incremental deferred tax asset and non-current liability that we would recognize if all of the Pre-IPO Unitholders were each to exchange all</w:t>
      </w:r>
    </w:p>
    <w:p>
      <w:pPr>
        <w:spacing w:after="0" w:line="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of their LLC Units immediately following the completion of this offering by approximately $ million and $ million, respectively. Assuming no change in the other assumptions, if all of the Pre-IPO Unitholders were each to exchange only 50% (rather than all) of their LLC units immediately following the completion of this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37" w:right="239" w:bottom="1440" w:gutter="0" w:footer="0" w:header="0"/>
        </w:sectPr>
      </w:pPr>
    </w:p>
    <w:bookmarkStart w:id="91" w:name="page92"/>
    <w:bookmarkEnd w:id="91"/>
    <w:p>
      <w:pPr>
        <w:jc w:val="both"/>
        <w:ind w:left="340"/>
        <w:spacing w:after="0" w:line="255" w:lineRule="auto"/>
        <w:rPr>
          <w:sz w:val="20"/>
          <w:szCs w:val="20"/>
          <w:color w:val="auto"/>
        </w:rPr>
      </w:pPr>
      <w:r>
        <w:rPr>
          <w:rFonts w:ascii="Arial" w:cs="Arial" w:eastAsia="Arial" w:hAnsi="Arial"/>
          <w:sz w:val="18"/>
          <w:szCs w:val="18"/>
          <w:color w:val="auto"/>
        </w:rPr>
        <w:t>offering we would recognize only 50% of the incremental deferred tax asset and non-current liability that we would recognize if all of the Pre-IPO Unitholders were each to exchange all of their LLC Units. These amounts are estimates and have been prepared for informational purposes only. The actual amount of deferred tax assets and related liabilities that we will recognize as a result of any such future exchanges will differ based on, among other things: (i) the amount and timing of future exchanges of LLC Units by Pre-IPO LLC Unitholders,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139" w:lineRule="exact"/>
        <w:rPr>
          <w:sz w:val="20"/>
          <w:szCs w:val="20"/>
          <w:color w:val="auto"/>
        </w:rPr>
      </w:pPr>
    </w:p>
    <w:p>
      <w:pPr>
        <w:jc w:val="both"/>
        <w:ind w:left="340" w:hanging="332"/>
        <w:spacing w:after="0" w:line="28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ZoomInfo OpCo has been, and will continue to be, treated as a partnership for U.S. federal and state income tax purposes. It is subject to local income tax in certain jurisdictions in which it is not treated like a partnership, where it pays income taxes. As such, ZoomInfo OpCo’s profits and losses will flow through to its partners, including ZoomInfo Technologies Inc., and are generally not subject to significant entity level taxes at the ZoomInfo OpCo level.</w:t>
      </w:r>
    </w:p>
    <w:p>
      <w:pPr>
        <w:jc w:val="right"/>
        <w:ind w:left="340"/>
        <w:spacing w:after="0" w:line="264" w:lineRule="auto"/>
        <w:rPr>
          <w:sz w:val="20"/>
          <w:szCs w:val="20"/>
          <w:color w:val="auto"/>
        </w:rPr>
      </w:pPr>
      <w:r>
        <w:rPr>
          <w:rFonts w:ascii="Arial" w:cs="Arial" w:eastAsia="Arial" w:hAnsi="Arial"/>
          <w:sz w:val="17"/>
          <w:szCs w:val="17"/>
          <w:color w:val="auto"/>
        </w:rPr>
        <w:t>As described in “Organizational Structure,” upon completion of the Reorganization Transactions, ZoomInfo Technologies Inc. will become the sole managing member of ZoomInfo OpCo. As a result of the Reorganization Transactions, ZoomInfo Technologies Inc. will initially own approximately % of the economic interest of ZoomInfo OpCo, but will have 100% of the voting power and will control the management of ZoomInfo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tabs>
          <w:tab w:leader="none" w:pos="11060" w:val="left"/>
        </w:tabs>
        <w:rPr>
          <w:sz w:val="20"/>
          <w:szCs w:val="20"/>
          <w:color w:val="auto"/>
        </w:rPr>
      </w:pPr>
      <w:r>
        <w:rPr>
          <w:rFonts w:ascii="Arial" w:cs="Arial" w:eastAsia="Arial" w:hAnsi="Arial"/>
          <w:sz w:val="17"/>
          <w:szCs w:val="17"/>
          <w:color w:val="auto"/>
        </w:rPr>
        <w:t>Immediately following the completion of the Reorganization Transactions, the ownership percentage held by the non-controlling interest will be</w:t>
      </w:r>
      <w:r>
        <w:rPr>
          <w:sz w:val="20"/>
          <w:szCs w:val="20"/>
          <w:color w:val="auto"/>
        </w:rPr>
        <w:tab/>
      </w:r>
      <w:r>
        <w:rPr>
          <w:rFonts w:ascii="Arial" w:cs="Arial" w:eastAsia="Arial" w:hAnsi="Arial"/>
          <w:sz w:val="17"/>
          <w:szCs w:val="17"/>
          <w:color w:val="auto"/>
        </w:rPr>
        <w:t>%.</w:t>
      </w:r>
    </w:p>
    <w:p>
      <w:pPr>
        <w:spacing w:after="0" w:line="183"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These amounts represents adjustments to equity reflecting (i) par value for common stock, (ii) a decrease in $ million of members’ deficit to allocate a portion of ZoomInfo OpCo’s equity to the non-controlling interests, and (iii) reclassification of members’ deficit of $ million to additional paid-in capital.</w:t>
      </w:r>
    </w:p>
    <w:p>
      <w:pPr>
        <w:spacing w:after="0" w:line="127" w:lineRule="exact"/>
        <w:rPr>
          <w:sz w:val="20"/>
          <w:szCs w:val="20"/>
          <w:color w:val="auto"/>
        </w:rPr>
      </w:pPr>
    </w:p>
    <w:p>
      <w:pPr>
        <w:spacing w:after="0"/>
        <w:tabs>
          <w:tab w:leader="none" w:pos="8580" w:val="left"/>
          <w:tab w:leader="none" w:pos="10420" w:val="left"/>
        </w:tabs>
        <w:rPr>
          <w:sz w:val="20"/>
          <w:szCs w:val="20"/>
          <w:color w:val="auto"/>
        </w:rPr>
      </w:pPr>
      <w:r>
        <w:rPr>
          <w:rFonts w:ascii="Arial" w:cs="Arial" w:eastAsia="Arial" w:hAnsi="Arial"/>
          <w:sz w:val="18"/>
          <w:szCs w:val="18"/>
          <w:color w:val="auto"/>
        </w:rPr>
        <w:t>(k) We estimate that the proceeds to ZoomInfo Technologies Inc. from this offering will be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million if the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underwriters exercise in full their option to purchase additional shares of Class A common stock), based on an assumed initial public offering price of</w:t>
      </w:r>
    </w:p>
    <w:p>
      <w:pPr>
        <w:spacing w:after="0" w:line="32" w:lineRule="exact"/>
        <w:rPr>
          <w:sz w:val="20"/>
          <w:szCs w:val="20"/>
          <w:color w:val="auto"/>
        </w:rPr>
      </w:pPr>
    </w:p>
    <w:p>
      <w:pPr>
        <w:ind w:left="1180" w:hanging="848"/>
        <w:spacing w:after="0"/>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after deducting assumed</w:t>
      </w:r>
    </w:p>
    <w:p>
      <w:pPr>
        <w:spacing w:after="0" w:line="38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underwriting discounts and commissions and estimated offering expenses. We intend to cause ZoomInfo OpCo to use these proceeds to . See “Use of Proceeds.”</w:t>
      </w:r>
    </w:p>
    <w:p>
      <w:pPr>
        <w:spacing w:after="0" w:line="116" w:lineRule="exact"/>
        <w:rPr>
          <w:sz w:val="20"/>
          <w:szCs w:val="20"/>
          <w:color w:val="auto"/>
        </w:rPr>
      </w:pPr>
    </w:p>
    <w:p>
      <w:pPr>
        <w:jc w:val="both"/>
        <w:ind w:left="340" w:hanging="332"/>
        <w:spacing w:after="0" w:line="264"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are deferring the direct costs associated with this offering. These costs primarily represent legal, accounting and other direct costs and are recorded in prepaid expenses and other current assets in our consolidated balance sheet. Upon completion of this offering, these deferred costs will be charged against the proceeds from this offering as a reduction of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tables present the selected historical consolidated financial data for ZoomInfo OpCo and its subsidiaries for the periods and the dates indicated. The selected consolidated statements of operations data and selected consolidated statements of cash flows data presented below for the year ended December 31, 2018 and the selected consolidated balance sheet data presented below as of December 31, 2018 have been derived from the consolidated financial statements of ZoomInfo OpCo included elsewhere in this prospectus. The selected historical consolidated financial information of ZoomInfo OpCo as of September 30, 2019 and for the nine months ended September 30, 2018 and 2019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summary historical consolidated financial and other data of ZoomInfo Technologies Inc. has not been presented because ZoomInfo Technologies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 a newly incorporated entity, has had no business transactions or activities to date, and had no assets or liabilities during the periods presented in this section.</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w:t>
            </w:r>
          </w:p>
        </w:tc>
        <w:tc>
          <w:tcPr>
            <w:tcW w:w="360" w:type="dxa"/>
            <w:vAlign w:val="bottom"/>
          </w:tcPr>
          <w:p>
            <w:pPr>
              <w:spacing w:after="0"/>
              <w:rPr>
                <w:sz w:val="14"/>
                <w:szCs w:val="14"/>
                <w:color w:val="auto"/>
              </w:rPr>
            </w:pPr>
          </w:p>
        </w:tc>
        <w:tc>
          <w:tcPr>
            <w:tcW w:w="294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7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21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Cost of service </w:t>
            </w:r>
            <w:r>
              <w:rPr>
                <w:rFonts w:ascii="Arial" w:cs="Arial" w:eastAsia="Arial" w:hAnsi="Arial"/>
                <w:sz w:val="25"/>
                <w:szCs w:val="25"/>
                <w:color w:val="auto"/>
                <w:vertAlign w:val="superscript"/>
              </w:rPr>
              <w:t>(1)</w:t>
            </w:r>
          </w:p>
        </w:tc>
        <w:tc>
          <w:tcPr>
            <w:tcW w:w="1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Amortization of acquired technology</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318"/>
        </w:trPr>
        <w:tc>
          <w:tcPr>
            <w:tcW w:w="4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1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(1)</w:t>
            </w:r>
          </w:p>
        </w:tc>
        <w:tc>
          <w:tcPr>
            <w:tcW w:w="1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46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1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Restructuring and transaction related expenses</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7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Other (income) expenses, net</w:t>
            </w: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780" w:type="dxa"/>
            <w:vAlign w:val="bottom"/>
            <w:vMerge w:val="restart"/>
          </w:tcPr>
          <w:p>
            <w:pPr>
              <w:jc w:val="right"/>
              <w:ind w:right="510"/>
              <w:spacing w:after="0"/>
              <w:rPr>
                <w:sz w:val="20"/>
                <w:szCs w:val="20"/>
                <w:color w:val="auto"/>
              </w:rPr>
            </w:pPr>
            <w:r>
              <w:rPr>
                <w:rFonts w:ascii="Arial" w:cs="Arial" w:eastAsia="Arial" w:hAnsi="Arial"/>
                <w:sz w:val="18"/>
                <w:szCs w:val="18"/>
                <w:color w:val="auto"/>
              </w:rPr>
              <w:t>86</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6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w:t>
            </w:r>
          </w:p>
        </w:tc>
        <w:tc>
          <w:tcPr>
            <w:tcW w:w="360" w:type="dxa"/>
            <w:vAlign w:val="bottom"/>
          </w:tcPr>
          <w:p>
            <w:pPr>
              <w:spacing w:after="0"/>
              <w:rPr>
                <w:sz w:val="14"/>
                <w:szCs w:val="14"/>
                <w:color w:val="auto"/>
              </w:rPr>
            </w:pPr>
          </w:p>
        </w:tc>
        <w:tc>
          <w:tcPr>
            <w:tcW w:w="294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318"/>
        </w:trPr>
        <w:tc>
          <w:tcPr>
            <w:tcW w:w="6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and per share information (unaudited)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and diluted net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Weighted average shares outstanding - basic and diluted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1,506.2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1,519.7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deficit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Cash Flows Data:</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27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59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82"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prospectus, as well as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1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offer access to our platform on a subscription basis and we generate substantially all of our revenue from sales of subscriptions, which accounted for 99% of revenue for the nine months ended September 30, 2019. Our subscription fees include the use of our platform and access to customer support. Subscriptions generally range from one to three years with over 25% of our ACV being under multi-year agreements. We typically bill our customers at the beginning of each annual or quarterly period and recognize revenue ratably over the term of the subscription period.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our ZoomInfo powered by DiscoverOrg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software, insights, and data enable over 13,000 companies to sell and market more effectively and efficiently. Our customers operate in almost every industry vertical, including software, business services, manufacturing, telecommunications, financial services and insurance, retail, media and internet, transportation, education, hospitality, healthcare, and real estate, and range from the largest global enterprises, to mid-market companies, down to SMBs. As of September 30, 2019, over 500 of our customers spent more than $100,000 in ACV. As of December 31, 2018, over 350 customers of ZoomInfo and Pre-Acquisition ZI spent more than $100,000 in ACV on a combined basis. Our net annual retention rate was 102% in 2018. For the nine months ended September 30, 2019, no single customer contributed more than 1% of revenue. We generate less than 10% of revenue from customers outside the United States.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37" w:right="239" w:bottom="1440" w:gutter="0" w:footer="0" w:header="0"/>
        </w:sectPr>
      </w:pPr>
    </w:p>
    <w:bookmarkStart w:id="95" w:name="page96"/>
    <w:bookmarkEnd w:id="95"/>
    <w:p>
      <w:pPr>
        <w:jc w:val="both"/>
        <w:ind w:firstLine="324"/>
        <w:spacing w:after="0" w:line="312" w:lineRule="auto"/>
        <w:rPr>
          <w:sz w:val="20"/>
          <w:szCs w:val="20"/>
          <w:color w:val="auto"/>
        </w:rPr>
      </w:pPr>
      <w:r>
        <w:rPr>
          <w:rFonts w:ascii="Arial" w:cs="Arial" w:eastAsia="Arial" w:hAnsi="Arial"/>
          <w:sz w:val="16"/>
          <w:szCs w:val="16"/>
          <w:color w:val="auto"/>
        </w:rPr>
        <w:t>We have experienced rapid organic and acquisition-driven growth. We and Pre-Acquisition ZI generated revenue of $144.3 million and $72.5 million in 2018, respectively. We and Pre-Acquisition ZI generated revenue of $103.5 million and $45.7 million for the nine months ended September 30, 2018, respectively, and $203.0 million for the nine months ended September 30, 2019 and $9.7 million for the one month ended January 31, 2019, respectively.</w:t>
      </w:r>
    </w:p>
    <w:p>
      <w:pPr>
        <w:spacing w:after="0" w:line="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our consolidated GAAP financial measures, we review various non-GAAP financial measures, including Allocated Combined Receipts, Adjusted Operating Income and Adjusted Operating Income Margin. See “—Non-GAAP Financial Measures.” We generated Allocated Combined Receipts of $240.7 million in 2018. For the nine months ended September 30, 2019, we generated Allocated Combined Receipts of $239.3 million , compared to $172.6 million in the nine months ended September 30, 2018. Our Adjusted Operating Income was $83.7 million in 2018. For the nine months ended September 30, 2019, our Adjusted Operating Income was $119.4 million , compared to $60.2 million in the nine months ended September 30, 2018. Our Adjusted Operating Income Margin was 57% in 2018. For the nine months ended September 30, 2019, our Adjusted Operating Income Margin was 52% , compared to 57% in the nine months ended September 30, 2018. The Allocated Combined Receipts numbers include the impact of activity from Pre-Acquisition ZI and other acquisitions in 2018 and for the one month pre-Zoom Information Acquisition in 2019. The Adjusted Operating Income and Adjusted Operating Margin do not include any impact of activities from acquired entities before their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Transactions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was incorporated in November 2019 and, pursuant to a reorganization into a holding corporation structure, will become a holding corporation, the principal asset of which will be a controlling interest in ZoomInfo OpCo. As the sole managing member of ZoomInfo OpCo, ZoomInfo Technologies Inc. will operate and control the business and affairs of ZoomInfo OpCo and its subsidiaries. ZoomInfo Technologies Inc. will consolidate ZoomInfo OpCo in its consolidated financial statements and will report a non-controlling interest related to the LLC Units held by the Pre-IPO LLC Unitholders in our consolidated financial statements.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consummation of this offering, we will execute several reorganization transactions described under “Organizational Structure— Reclassification and Amendment and Restatement of Limited Liability Company Agreement of ZoomInfo OpCo,” as a result of which the limited liability company agreement of ZoomInfo OpCo will be amended and restated to, among other things, reclassify its outstanding limited liability company units into a single new class of units that we refer to as “LLC Units.” Pursuant to the amended and restated limited liability company agreement of ZoomInfo OpCo, ZoomInfo Technologies Inc. will be the sole managing member of ZoomInfo OpCo.</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and the Pre-IPO LLC Unitholders will also enter into an exchange agreement under which they (or certain permitted transferees) will have the right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terms of the exchange agreement) to exchange their LLC Units for shares of our Class A common stock on a basis, subject to customary conversion rate adjustments for stock splits, stock dividends, and reclassifications. See “Organizational Structure” and “Certain Relationships and Related Person Transactions.”</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Following this offering, the Pre-IPO LLC Unitholders that held voting units before the Offering Transactions and that continue to hold LLC Units will hold all of the issued and outstanding shares of our Class B common stock. The shares of Class B common stock will have no economic rights but will entitle</w:t>
      </w:r>
    </w:p>
    <w:p>
      <w:pPr>
        <w:jc w:val="both"/>
        <w:spacing w:after="0" w:line="254" w:lineRule="auto"/>
        <w:rPr>
          <w:sz w:val="20"/>
          <w:szCs w:val="20"/>
          <w:color w:val="auto"/>
        </w:rPr>
      </w:pPr>
      <w:r>
        <w:rPr>
          <w:rFonts w:ascii="Arial" w:cs="Arial" w:eastAsia="Arial" w:hAnsi="Arial"/>
          <w:sz w:val="18"/>
          <w:szCs w:val="18"/>
          <w:color w:val="auto"/>
        </w:rPr>
        <w:t>each holder, without regard to the number of shares of Class B common stock held by such holder, to a number of votes that is equal to the aggregate number of LLC Units of ZoomInfo OpCo held by such holder on all matters on which stockholders of ZoomInfo Technologies Inc. are entitled to vote generally. Holders of shares of our Class B common stock will vote together with holders of our Class A common stock as a single class on all matters on which stockholders are entitled to vote generally, except as otherwise required by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September 30, 2019, we had over 13,000 customers. As of December 31, 2018, we had over 11,000 customers on a combined basis, including non-overlapping customers of Pre-Acquisition ZI. We define a customer as a company that maintains one or more active paid subscriptions to our platform.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 Additional High-Value Solutions to Our Existing Customers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ability to expand relationships with existing customers is demonstrated by our net annual retention rate. Our net annual retention rate for the year ended December 31, 2018 was 102%. We define annual net revenue retention as the total ACV generated by our customers and customers of Pre-Acquisition ZI at the end of the year divided by the ACV generated by the same group of customers in the end of the prior year. We believe that our ability to retain and grow the subscription revenue generated from our existing customers is an indicator of the long-term value of our customer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Allocated Combined Receipts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41" w:right="239" w:bottom="1440" w:gutter="0" w:footer="0" w:header="0"/>
        </w:sectPr>
      </w:pPr>
    </w:p>
    <w:bookmarkStart w:id="97" w:name="page98"/>
    <w:bookmarkEnd w:id="97"/>
    <w:p>
      <w:pPr>
        <w:jc w:val="both"/>
        <w:spacing w:after="0" w:line="257" w:lineRule="auto"/>
        <w:rPr>
          <w:sz w:val="20"/>
          <w:szCs w:val="20"/>
          <w:color w:val="auto"/>
        </w:rPr>
      </w:pPr>
      <w:r>
        <w:rPr>
          <w:rFonts w:ascii="Arial" w:cs="Arial" w:eastAsia="Arial" w:hAnsi="Arial"/>
          <w:sz w:val="18"/>
          <w:szCs w:val="18"/>
          <w:color w:val="auto"/>
        </w:rPr>
        <w:t>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Allocated Combined Receipts for the periods presented: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380" w:type="dxa"/>
            <w:vAlign w:val="bottom"/>
          </w:tcPr>
          <w:p>
            <w:pPr>
              <w:spacing w:after="0"/>
              <w:rPr>
                <w:sz w:val="14"/>
                <w:szCs w:val="14"/>
                <w:color w:val="auto"/>
              </w:rPr>
            </w:pPr>
          </w:p>
        </w:tc>
        <w:tc>
          <w:tcPr>
            <w:tcW w:w="310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1600" w:type="dxa"/>
            <w:vAlign w:val="bottom"/>
          </w:tcPr>
          <w:p>
            <w:pPr>
              <w:jc w:val="right"/>
              <w:ind w:right="376"/>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34"/>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vMerge w:val="continue"/>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Impact of fair value adjustments to acquired unearned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tcPr>
          <w:p>
            <w:pPr>
              <w:ind w:left="420"/>
              <w:spacing w:after="0" w:line="257" w:lineRule="exact"/>
              <w:rPr>
                <w:sz w:val="20"/>
                <w:szCs w:val="20"/>
                <w:color w:val="auto"/>
              </w:rPr>
            </w:pPr>
            <w:r>
              <w:rPr>
                <w:rFonts w:ascii="Arial" w:cs="Arial" w:eastAsia="Arial" w:hAnsi="Arial"/>
                <w:sz w:val="18"/>
                <w:szCs w:val="18"/>
                <w:color w:val="auto"/>
              </w:rPr>
              <w:t>revenue</w:t>
            </w:r>
            <w:r>
              <w:rPr>
                <w:rFonts w:ascii="Arial" w:cs="Arial" w:eastAsia="Arial" w:hAnsi="Arial"/>
                <w:sz w:val="25"/>
                <w:szCs w:val="25"/>
                <w:color w:val="auto"/>
                <w:vertAlign w:val="superscript"/>
              </w:rPr>
              <w:t>(a)</w:t>
            </w:r>
          </w:p>
        </w:tc>
        <w:tc>
          <w:tcPr>
            <w:tcW w:w="3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Pre-Acquisition ZI revenue</w:t>
            </w:r>
            <w:r>
              <w:rPr>
                <w:rFonts w:ascii="Arial" w:cs="Arial" w:eastAsia="Arial" w:hAnsi="Arial"/>
                <w:sz w:val="25"/>
                <w:szCs w:val="25"/>
                <w:color w:val="auto"/>
                <w:vertAlign w:val="superscript"/>
              </w:rPr>
              <w:t>(b)</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Impact of fair value adjustments to acquired unearned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tcPr>
          <w:p>
            <w:pPr>
              <w:ind w:left="420"/>
              <w:spacing w:after="0" w:line="257" w:lineRule="exact"/>
              <w:rPr>
                <w:sz w:val="20"/>
                <w:szCs w:val="20"/>
                <w:color w:val="auto"/>
              </w:rPr>
            </w:pPr>
            <w:r>
              <w:rPr>
                <w:rFonts w:ascii="Arial" w:cs="Arial" w:eastAsia="Arial" w:hAnsi="Arial"/>
                <w:sz w:val="18"/>
                <w:szCs w:val="18"/>
                <w:color w:val="auto"/>
              </w:rPr>
              <w:t>revenue recorded by Pre-Acquisition ZI</w:t>
            </w:r>
            <w:r>
              <w:rPr>
                <w:rFonts w:ascii="Arial" w:cs="Arial" w:eastAsia="Arial" w:hAnsi="Arial"/>
                <w:sz w:val="25"/>
                <w:szCs w:val="25"/>
                <w:color w:val="auto"/>
                <w:vertAlign w:val="superscript"/>
              </w:rPr>
              <w:t>(c)</w:t>
            </w:r>
          </w:p>
        </w:tc>
        <w:tc>
          <w:tcPr>
            <w:tcW w:w="3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w w:val="98"/>
              </w:rPr>
              <w:t>Pre-acquisition revenue of other acquired companies</w:t>
            </w:r>
            <w:r>
              <w:rPr>
                <w:rFonts w:ascii="Arial" w:cs="Arial" w:eastAsia="Arial" w:hAnsi="Arial"/>
                <w:sz w:val="25"/>
                <w:szCs w:val="25"/>
                <w:color w:val="auto"/>
                <w:w w:val="98"/>
                <w:vertAlign w:val="superscript"/>
              </w:rPr>
              <w:t>(d)</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Allocated Combined Receipts</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13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Figures include revenue recognized by these entities for the periods presented prior to their respective acquisitions.</w:t>
      </w:r>
    </w:p>
    <w:p>
      <w:pPr>
        <w:spacing w:after="0" w:line="13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Allocated Combined Receipts for the nine months ended September 30, 2019 was $239.3 million , which represented growth of $66.7 million, or 39% , relative to the nine months ended September 30, 2018. We consider this to be our organic growth, representative of the growth in receipts from customers allocated to the period of service delivery. This growth was primarily attributed to sales to new customers in 2018 and 2019, while incremental sales to existing customers that were mostly offset by cancellations and reductions of subscriptions upon renewal.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and Adjusted Operating Income Margin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w:t>
      </w:r>
    </w:p>
    <w:p>
      <w:pPr>
        <w:jc w:val="both"/>
        <w:ind w:firstLine="8"/>
        <w:spacing w:after="0" w:line="269" w:lineRule="auto"/>
        <w:tabs>
          <w:tab w:leader="none" w:pos="257"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 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color w:val="auto"/>
        </w:rPr>
        <w:t>investors as a means of evaluating a company’s operating performance. Adjusted Operating Income should not be considered as an alternative to operating income as an indicator of operating performance.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w:t>
            </w:r>
          </w:p>
        </w:tc>
        <w:tc>
          <w:tcPr>
            <w:tcW w:w="360" w:type="dxa"/>
            <w:vAlign w:val="bottom"/>
          </w:tcPr>
          <w:p>
            <w:pPr>
              <w:spacing w:after="0"/>
              <w:rPr>
                <w:sz w:val="14"/>
                <w:szCs w:val="14"/>
                <w:color w:val="auto"/>
              </w:rPr>
            </w:pPr>
          </w:p>
        </w:tc>
        <w:tc>
          <w:tcPr>
            <w:tcW w:w="294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Provision for taxes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(a)</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Impact of fair value adjustments to acquired unearned revenue</w:t>
            </w:r>
            <w:r>
              <w:rPr>
                <w:rFonts w:ascii="Arial" w:cs="Arial" w:eastAsia="Arial" w:hAnsi="Arial"/>
                <w:sz w:val="25"/>
                <w:szCs w:val="25"/>
                <w:color w:val="auto"/>
                <w:vertAlign w:val="superscript"/>
              </w:rPr>
              <w:t>(b)</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Amortization of acquired technology</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other acquired intangibles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5"/>
                <w:szCs w:val="25"/>
                <w:color w:val="auto"/>
                <w:vertAlign w:val="superscript"/>
              </w:rPr>
              <w:t>(c)</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Integration costs and acquisition-related compensation</w:t>
            </w:r>
            <w:r>
              <w:rPr>
                <w:rFonts w:ascii="Arial" w:cs="Arial" w:eastAsia="Arial" w:hAnsi="Arial"/>
                <w:sz w:val="25"/>
                <w:szCs w:val="25"/>
                <w:color w:val="auto"/>
                <w:vertAlign w:val="superscript"/>
              </w:rPr>
              <w:t>(d)</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2018, these expenses related primarily to retention awards related to our acquisition of RainKing and transaction bonuses related to Carlyle’s investment in us.</w:t>
      </w:r>
    </w:p>
    <w:p>
      <w:pPr>
        <w:spacing w:after="0" w:line="1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amortization of the impact of fair value adjustments to acquired unearned 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Pr>
          <w:p>
            <w:pPr>
              <w:spacing w:after="0"/>
              <w:rPr>
                <w:sz w:val="16"/>
                <w:szCs w:val="16"/>
                <w:color w:val="auto"/>
              </w:rPr>
            </w:pPr>
          </w:p>
        </w:tc>
        <w:tc>
          <w:tcPr>
            <w:tcW w:w="30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119.4</w:t>
            </w:r>
          </w:p>
        </w:tc>
      </w:tr>
      <w:tr>
        <w:trPr>
          <w:trHeight w:val="324"/>
        </w:trPr>
        <w:tc>
          <w:tcPr>
            <w:tcW w:w="5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203.0</w:t>
            </w: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w w:val="98"/>
              </w:rPr>
              <w:t>Impact of fair value adjustments to acquired unearned revenue</w:t>
            </w: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26.5</w:t>
            </w:r>
          </w:p>
        </w:tc>
      </w:tr>
      <w:tr>
        <w:trPr>
          <w:trHeight w:val="27"/>
        </w:trPr>
        <w:tc>
          <w:tcPr>
            <w:tcW w:w="5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for adjusted operating margin calculation</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229.5</w:t>
            </w: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i w:val="1"/>
                <w:iCs w:val="1"/>
                <w:color w:val="auto"/>
              </w:rPr>
              <w:t>Adjusted Operating Income Margin</w:t>
            </w: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52%</w:t>
            </w:r>
          </w:p>
        </w:tc>
      </w:tr>
      <w:tr>
        <w:trPr>
          <w:trHeight w:val="837"/>
        </w:trPr>
        <w:tc>
          <w:tcPr>
            <w:tcW w:w="5200" w:type="dxa"/>
            <w:vAlign w:val="bottom"/>
          </w:tcPr>
          <w:p>
            <w:pPr>
              <w:spacing w:after="0"/>
              <w:rPr>
                <w:sz w:val="24"/>
                <w:szCs w:val="24"/>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99" w:name="page100"/>
    <w:bookmarkEnd w:id="99"/>
    <w:p>
      <w:pPr>
        <w:jc w:val="both"/>
        <w:ind w:firstLine="324"/>
        <w:spacing w:after="0" w:line="273" w:lineRule="auto"/>
        <w:rPr>
          <w:sz w:val="20"/>
          <w:szCs w:val="20"/>
          <w:color w:val="auto"/>
        </w:rPr>
      </w:pPr>
      <w:r>
        <w:rPr>
          <w:rFonts w:ascii="Arial" w:cs="Arial" w:eastAsia="Arial" w:hAnsi="Arial"/>
          <w:sz w:val="17"/>
          <w:szCs w:val="17"/>
          <w:color w:val="auto"/>
        </w:rPr>
        <w:t>Adjusted Operating Income for the nine months ended September 2019 was $119.4 million and represented an Adjusted Operating Margin of 52% . Adjusted Operating Income for the nine months ended September 2018 was $60.1 million and represented an Adjusted Operating Margin of 57% . Growth in Adjusted Operating Income in the nine months ended September 2019 relative to the nine months ended September 2018 was an increase of $59.3 million, or 99%, and was driven primarily from the growth in revenue that resulted from the acquisition of Pre-Acquisition ZI and additional customers in 2018 and 2019. Adjusted Operating Margin decreased to 52% in the nine months ended September 30, 2019 from 57% in the nine months ended September 30, 2018 due the lower margin profile of the Pre-Acquisition ZI business, and investment to drive revenue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 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w:t>
            </w:r>
          </w:p>
        </w:tc>
        <w:tc>
          <w:tcPr>
            <w:tcW w:w="360" w:type="dxa"/>
            <w:vAlign w:val="bottom"/>
          </w:tcPr>
          <w:p>
            <w:pPr>
              <w:spacing w:after="0"/>
              <w:rPr>
                <w:sz w:val="14"/>
                <w:szCs w:val="14"/>
                <w:color w:val="auto"/>
              </w:rPr>
            </w:pPr>
          </w:p>
        </w:tc>
        <w:tc>
          <w:tcPr>
            <w:tcW w:w="294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Provision for taxes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Amortization of acquired technology</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EBITDA</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(a)</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rPr>
              <w:t>Impact of fair value adjustments to acquired unearned revenue</w:t>
            </w:r>
            <w:r>
              <w:rPr>
                <w:rFonts w:ascii="Arial" w:cs="Arial" w:eastAsia="Arial" w:hAnsi="Arial"/>
                <w:sz w:val="25"/>
                <w:szCs w:val="25"/>
                <w:color w:val="auto"/>
                <w:vertAlign w:val="superscript"/>
              </w:rPr>
              <w:t>(b)</w:t>
            </w: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5"/>
                <w:szCs w:val="25"/>
                <w:color w:val="auto"/>
                <w:vertAlign w:val="superscript"/>
              </w:rPr>
              <w:t>(c)</w:t>
            </w: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Integration costs and transaction-related compensation</w:t>
            </w:r>
            <w:r>
              <w:rPr>
                <w:rFonts w:ascii="Arial" w:cs="Arial" w:eastAsia="Arial" w:hAnsi="Arial"/>
                <w:sz w:val="25"/>
                <w:szCs w:val="25"/>
                <w:color w:val="auto"/>
                <w:vertAlign w:val="superscript"/>
              </w:rPr>
              <w:t>(d)</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20"/>
                <w:szCs w:val="20"/>
                <w:color w:val="auto"/>
              </w:rPr>
            </w:pPr>
            <w:r>
              <w:rPr>
                <w:rFonts w:ascii="Arial" w:cs="Arial" w:eastAsia="Arial" w:hAnsi="Arial"/>
                <w:sz w:val="14"/>
                <w:szCs w:val="14"/>
                <w:color w:val="auto"/>
              </w:rPr>
              <w:t>__________________</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its acquisition.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nine months ended September 30, 2019, this expense related primarily to the acquisition of Pre-Acquisition ZI, including professional fees, severance and acceleration of payments for terminated employees,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1" w:right="239" w:bottom="1440" w:gutter="0" w:footer="0" w:header="0"/>
        </w:sectPr>
      </w:pPr>
    </w:p>
    <w:bookmarkStart w:id="100" w:name="page101"/>
    <w:bookmarkEnd w:id="100"/>
    <w:p>
      <w:pPr>
        <w:ind w:left="340"/>
        <w:spacing w:after="0"/>
        <w:rPr>
          <w:sz w:val="20"/>
          <w:szCs w:val="20"/>
          <w:color w:val="auto"/>
        </w:rPr>
      </w:pPr>
      <w:r>
        <w:rPr>
          <w:rFonts w:ascii="Arial" w:cs="Arial" w:eastAsia="Arial" w:hAnsi="Arial"/>
          <w:sz w:val="14"/>
          <w:szCs w:val="14"/>
          <w:color w:val="auto"/>
        </w:rPr>
        <w:t>accretion related to deferred consideration. For the nine months ended September 30, 2018, this expense related primarily to Carlyle’s investment in us.</w:t>
      </w:r>
    </w:p>
    <w:p>
      <w:pPr>
        <w:spacing w:after="0" w:line="28" w:lineRule="exact"/>
        <w:rPr>
          <w:sz w:val="20"/>
          <w:szCs w:val="20"/>
          <w:color w:val="auto"/>
        </w:rPr>
      </w:pPr>
    </w:p>
    <w:p>
      <w:pPr>
        <w:jc w:val="both"/>
        <w:ind w:left="340" w:hanging="332"/>
        <w:spacing w:after="0" w:line="249"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2018, these expenses related primarily to retention awards related to our acquisition of RainKing and transaction bonuses related to Carlyle’s investment in us.</w:t>
      </w:r>
    </w:p>
    <w:p>
      <w:pPr>
        <w:spacing w:after="0" w:line="14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for the nine months ended September 30, 2019 was $123.6 million, an increase of $61.6 million, or 99%, relative to the nine months ended September 30, 2018. This growth was driven primarily from the growth in revenue that resulted from the acquisition of Pre-Acquisition ZI and additional customers in 2018 and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is a corporation for U.S. federal and state income tax purposes. Our accounting predecessor, ZoomInfo OpCo, was and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 any provision for U.S. federal income tax. Following this offering, ZoomInfo Technologies Inc. will pay U.S. federal and state income taxes as a corporation on its share of our taxable income.</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connection with the Reorganization Transactions and this offering we will enter into the Tax Receivable Agreement as described under “Certain Relationships and Related Person Transactions—Tax Receivable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seek to grow through both internal development and the acquisition of businesses that broaden and strengthen our platform. Our recent acquisitions include RainKing in August 2017, NeverBounce in September 2018, Pre-Acquisition ZI in February 2019, and Komiko in October 2019. In addition, Pre-Acquisition ZI acquired Datanyze in September 2018.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Zoom Information Acquisition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 2019, we acquired, through a newly formed wholly owned subsidiary, Zebra Acquisition Corporation, 100% of the stock of Pre-Acquisition ZI for $749.2 million, net of cash acquired. Pre-Acquisition ZI was a provider of company and contact information to sales and marketing professionals.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Zoom Information Acquisition qualifies as a business combination and was accounted for as such. We included the financial results of Pre-Acquisition ZI in the consolidated financial statements of ZoomInfo OpCo from the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101" w:name="page102"/>
    <w:bookmarkEnd w:id="101"/>
    <w:p>
      <w:pPr>
        <w:jc w:val="both"/>
        <w:spacing w:after="0" w:line="277" w:lineRule="auto"/>
        <w:rPr>
          <w:sz w:val="20"/>
          <w:szCs w:val="20"/>
          <w:color w:val="auto"/>
        </w:rPr>
      </w:pPr>
      <w:r>
        <w:rPr>
          <w:rFonts w:ascii="Arial" w:cs="Arial" w:eastAsia="Arial" w:hAnsi="Arial"/>
          <w:sz w:val="18"/>
          <w:szCs w:val="18"/>
          <w:color w:val="auto"/>
        </w:rPr>
        <w:t>of the Zoom Information Acquisition. Accordingly, the financial statements for the period prior to the Zoom Information Acquisition may not be comparable to those from the periods after the Zoom Information Acquisition.</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Zoom Information Acquisition, ZoomInfo OpCo entered into an $865.0 million first lien term loan facility, a $100.0 million undrawn first lien revolving credit facility and a $370.0 million second lien term loan facility and issued $207.0 million of Series A Preferred equity units. In addition to funding the Zoom Information Acquisition, the additional proceeds from such facilities were used to repay existing debt. These debt facilities significantly impact the comparability of our interest expense period over period. See “—Results of Operations.”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recognized approximately $57.9 million of revenue from acquired customers during the nine months ended September 30, 2019, of which, $28.3 million was included in the unearned revenue balance recorded at the acquisition date. Acquired unearned revenue is recorded at the acquisition date at fair value based on management’s estimates. The fair value of acquired unearned revenue was $35.6 million which differs from the unearned revenue recorded by Pre-Acquisition ZI immediately prior to the acquisition of $68.3 million, which was based on amounts received or amounts billed in advance of revenue recognized upon the satisfaction of performance obligations. For the nine months ended September 30, 2019, the amounts received or billed by Pre-Acquisition ZI in advance of revenue recognition as of the acquisition date allocated over the service period post acquisition was $54.3 million, which was $26.0 million greater than the amount recognized into revenue for those receipts and billings based on their fair value.</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incurred approximately $2.7 million of transaction costs related to the Zoom Information Acquisition. We paid $28.4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initial accounting for the Pre-Acquisition ZI business combination is incomplete at this time and the fair values of assets acquired and liabilities assumed may be subject to change as additional information is received.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 While we have completed the integration of the companies, we have only operated as a combined company for approximately one year and our sales team has only been selling the new combined platform since September 2019.</w:t>
      </w:r>
    </w:p>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new customers are sold the ZoomInfo powered by DiscoverOrg platform that we released in September 2019. We continue to support pre-existing customers on the legacy DiscoverOrg and Pre-Acquisition ZI platforms. Certain pre-existing customers have agreed to upgrade to the ZoomInfo powered by DiscoverOrg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powered by DiscoverOrg platform will often require an increase in subscription pricing for an equivalent number of users. While pre-existing customers on our legacy platforms continue to generate the majority of our revenue, we expect that pre-existing customers of DiscoverOrg and Pre-Acquisition ZI will migrate toward the new platform in order to take advantage of the more valuable features and data access available over time. We have no current plans to force customer migration.</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incurred expenses related to the integration of Pre-Acquisition ZI during 2019 and will continue to incur additional expenses in 2020, 2021, and 2022. As part of the purchase of Pre-Acquisition ZI, we agreed with the former owners of Pre-Acquisition ZI to implement a Vesting Cash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41" w:right="239" w:bottom="1440" w:gutter="0" w:footer="0" w:header="0"/>
        </w:sectPr>
      </w:pPr>
    </w:p>
    <w:bookmarkStart w:id="102" w:name="page103"/>
    <w:bookmarkEnd w:id="102"/>
    <w:p>
      <w:pPr>
        <w:jc w:val="both"/>
        <w:spacing w:after="0" w:line="264" w:lineRule="auto"/>
        <w:rPr>
          <w:sz w:val="20"/>
          <w:szCs w:val="20"/>
          <w:color w:val="auto"/>
        </w:rPr>
      </w:pPr>
      <w:r>
        <w:rPr>
          <w:rFonts w:ascii="Arial" w:cs="Arial" w:eastAsia="Arial" w:hAnsi="Arial"/>
          <w:sz w:val="18"/>
          <w:szCs w:val="18"/>
          <w:color w:val="auto"/>
        </w:rPr>
        <w:t>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and any accelerated payments under the Vesting Cash Payment Program were recorded as restructuring and transaction expenses on the statement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adopted ASC Topic 606, effective January 1, 2018, using the full retrospective method of adoption as if the adoption occurred on January 1, 2017. See Note 2 – Basis of Presentation and Summary of Significant Accounting Policies within our consolidated financial statements of ZoomInfo OpCo included elsewhere in this prospectus for additional information.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Pre-Acquisition ZI adopted ASC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within the consolidated financial statements of Pre-Acquisition ZI included elsewhere in this prospectus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derive 99% of our revenue from subscription services and the remainder from recurring usage-based services. Our subscription services consist of our SaaS applications. Pricing of our subscription contracts are generally based on the functionality provided, number of users that access our applications and add-on functionality that is provided. Our subscriptions contracts typically have a term of one to three years and are non-cancellable. We typically bill for services in advance either annually or quarterly, and we typically require payment at the beginning of each annual or quarterly period .</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support and operations of our SaaS services and research teams, including salaries, benefits, equity-based compensation, and related expenses, such as employer taxes, allocated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overhead for facilities, IT, third-party hosting fees, third-party data costs, and amortization of internally developed capitalized software.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and the extent to which we expand our customer support and research organizations. We expect that our gross margin will fluctuate from period to period depending on the interplay of these various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 Sales and market expenses primarily consists of employee compensation such as salaries, bonuses, sales commissions,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 We intend to continue to invest in our sales organization in the future and therefore expect our sales and marketing expenses to increase as we hire additional sales and marketing personnel and invest in marketing programs.</w:t>
      </w:r>
    </w:p>
    <w:p>
      <w:pPr>
        <w:spacing w:after="0" w:line="11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support our efforts to enhance our existing platform and develop new software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expenses primarily consists of employee compensation such as salaries, bonuses, stock-based compensation, and other employee-related benefits for our engineering and product management teams, as well as overhead costs.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1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primarily consists of employee-related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preparing for our initial public offering. We expect our general and administrative expenses to continue to increase due to our growing operations and being a public company, including higher legal, corporate insurance, and accounting expenses.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and brand portfolios.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Restructuring and transaction expenses. </w:t>
      </w:r>
      <w:r>
        <w:rPr>
          <w:rFonts w:ascii="Arial" w:cs="Arial" w:eastAsia="Arial" w:hAnsi="Arial"/>
          <w:sz w:val="17"/>
          <w:szCs w:val="17"/>
          <w:color w:val="auto"/>
        </w:rPr>
        <w:t>Restructuring and transaction expenses primarily consists of various restructuring and acquisition activities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represents the interest payable on our debt obligations, the amortization of debt discounts and debt issuance costs less interest income.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41"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consists primarily of foreign currency realized and unrealized gains and losses related to the impact of transactions denominated in a foreign currency.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ZoomInfo OpCo is currently treated as a pass-through entity for U.S. federal income tax purposes and most applicable state and local income tax purposes. Benefit from income tax (expense),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are subject to income taxes in both the United States and foreign jurisdictions.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3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After consummation of this offering, ZoomInfo Technologies Inc. will become subject to U.S. federal income taxes with respect to our allocable share of any U.S. taxable income of ZoomInfo OpCo, and we will be taxed at the prevailing corporate tax rates. We will be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 which we expect to be significant. We intend to cause ZoomInfo OpCo to make distributions in an amount sufficient to allow us to pay our tax obligations and operating expenses, including distributions to fund any ordinary course payments due under the tax receivable agreement. See “Certain Relationships and Related Person Transactions—Tax Receivable Agreement.” However, our ability to make such distributions may be limited due to, among other things, restrictive covenants in our secured credit facilities. See “Risk Factors—Risks Related to Our Organizational Structure—ZoomInfo Technologies Inc. is a holding company, its only material asset after completion of this offering will be its interest in ZoomInfo OpCo, and it is accordingly dependent upon distributions from ZoomInfo OpCo to pay taxes, make payments under the tax receivable agreement, and pay dividends.”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4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our results of operations for the year ended December 31, 2018 and for the nine months ended September 30, 2019 compared to the nine months ended September 30,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294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6"/>
                <w:szCs w:val="16"/>
                <w:color w:val="auto"/>
              </w:rPr>
            </w:pPr>
          </w:p>
        </w:tc>
        <w:tc>
          <w:tcPr>
            <w:tcW w:w="29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180"/>
              <w:spacing w:after="0" w:line="270" w:lineRule="exact"/>
              <w:rPr>
                <w:sz w:val="20"/>
                <w:szCs w:val="20"/>
                <w:color w:val="auto"/>
              </w:rPr>
            </w:pPr>
            <w:r>
              <w:rPr>
                <w:rFonts w:ascii="Arial" w:cs="Arial" w:eastAsia="Arial" w:hAnsi="Arial"/>
                <w:sz w:val="18"/>
                <w:szCs w:val="18"/>
                <w:color w:val="auto"/>
              </w:rPr>
              <w:t>Cost of service</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technology</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0"/>
        </w:trPr>
        <w:tc>
          <w:tcPr>
            <w:tcW w:w="6400" w:type="dxa"/>
            <w:vAlign w:val="bottom"/>
          </w:tcPr>
          <w:p>
            <w:pPr>
              <w:ind w:left="18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Amortization of other acquired intangibles</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transaction-related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27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59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2019 and Nine Months Ended September 30, 2018</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 Revenue was $203.0 million for the nine months ended September 30, 2019, an increase of $99.6 million, or 96%, as compared to $103.5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2018. This increase was primarily due to new customers acquired in the acquisitions of Pre-Acquisition ZI and NeverBounce, as well as the organic addition of new customers and net expansion with existing customers. Excluding the impact of the customers acquired in the purchases of Pre-Acquisition ZI and NeverBounce, revenue increased by $38.6 million. The increase in revenue,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37" w:right="239" w:bottom="1440" w:gutter="0" w:footer="0" w:header="0"/>
        </w:sectPr>
      </w:pPr>
    </w:p>
    <w:bookmarkStart w:id="106" w:name="page107"/>
    <w:bookmarkEnd w:id="106"/>
    <w:p>
      <w:pPr>
        <w:jc w:val="both"/>
        <w:spacing w:after="0" w:line="259" w:lineRule="auto"/>
        <w:rPr>
          <w:sz w:val="20"/>
          <w:szCs w:val="20"/>
          <w:color w:val="auto"/>
        </w:rPr>
      </w:pPr>
      <w:r>
        <w:rPr>
          <w:rFonts w:ascii="Arial" w:cs="Arial" w:eastAsia="Arial" w:hAnsi="Arial"/>
          <w:sz w:val="18"/>
          <w:szCs w:val="18"/>
          <w:color w:val="auto"/>
        </w:rPr>
        <w:t>excluding the impact of customers acquired, was primarily driven by sales to new customers and, to a lesser extent, by the addition of additional subscriptions to existing customers offset by cancellations and subscription reductions upon renewal. As of September 30, 2019, we had over 13,000 customers, an increase of over 2,000 customers, or 18%, as compared to over 11,000 customers on a combined basis, including non-overlapping customers of Pre-Acquisition ZI, as of September 30, 2018.</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$49.7 million for the nine months ended September 30, 2019, an increase of $21.0 million, or 73%,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$28.7 million for the nine months ended September 30, 2018. The increase was primarily due to additional amortization of acquired technology that arose from the acquisition of Pre-Acquisition ZI and additional headcount and hosting expense to support the acquired and new customers.</w:t>
      </w:r>
    </w:p>
    <w:p>
      <w:pPr>
        <w:spacing w:after="0" w:line="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$133.2 million for the nine months ended September 30, 2019, an increase of $71.4 million, or 116%,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$61.8 million for the nine months ended September 30, 2018. The increase was primarily due to:</w:t>
      </w:r>
    </w:p>
    <w:p>
      <w:pPr>
        <w:spacing w:after="0" w:line="116" w:lineRule="exact"/>
        <w:rPr>
          <w:sz w:val="20"/>
          <w:szCs w:val="20"/>
          <w:color w:val="auto"/>
        </w:rPr>
      </w:pPr>
    </w:p>
    <w:p>
      <w:pPr>
        <w:ind w:left="6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increase in sales and marketing expense by $29.1 million, or 88%, to $62.2 million for the nine months ended September 30, 2019, due primarily to additional sales and marketing resources added through the acquisition and additional hiring to drive continued incremental sales;</w:t>
      </w:r>
    </w:p>
    <w:p>
      <w:pPr>
        <w:spacing w:after="0" w:line="92"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increase in research and development expense by $14.2 million, or 289%, to $19.1 million for the nine months ended September 30, 2019, due primarily to additional engineering and product management resources added through the acquisition of Pre-Acquisition ZI;</w:t>
      </w:r>
    </w:p>
    <w:p>
      <w:pPr>
        <w:spacing w:after="0" w:line="92"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by $8.7 million, or 51%, to $25.6 million for the nine months ended September 30, 2019, due primarily to additional resources added through the acquisition of Pre-Acquisition ZI and additional hiring to support the larger organization;</w:t>
      </w:r>
    </w:p>
    <w:p>
      <w:pPr>
        <w:spacing w:after="0" w:line="92"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by $7.7 million, or 148%, to $12.9 million for the nine months ended September 30, 2019, due to additional amortization expense related to intangible assets acquired in purchase of Pre-Acquisition ZI; and</w:t>
      </w:r>
    </w:p>
    <w:p>
      <w:pPr>
        <w:spacing w:after="0" w:line="92"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in restructuring and transaction expenses expense by $11.8 million or 753%, to $13.4 million for the nine months ended September 30, 2019, due to expenses incurred in completing the acquisition of Pre-Acquisition ZI and restructuring activities undertaken as part of and after the acquisition to rationalize certain research, engineering and general and administrative activities, offset by restructuring and transaction-related expenses in the nine months ended September 30, 2018 related to the investment in DiscoverOrg Holdings, LLC by Carlyle and the NeverBounce acquisition that did not recur.</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 Interest expense, net was $76.8 million for the nine months ended September 30, 2019, an increase of $34.3 million, or 80%,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$42.6 million for the nine months ended September 30, 2018. The increase was primarily due to additional debt that we incurred to partially fund the acquisition of Pre-Acquisition ZI, partially offset by decreasing LIBOR rates.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was $0.2 million for the nine months ended September 30, 2019, an increase of $0.1 million, or 73%,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$0.1 million for the nine months ended September 30, 2018. The increase was primarily due to additional interest income earned on higher cash balances.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Benefit from Income Tax. </w:t>
      </w:r>
      <w:r>
        <w:rPr>
          <w:rFonts w:ascii="Arial" w:cs="Arial" w:eastAsia="Arial" w:hAnsi="Arial"/>
          <w:sz w:val="17"/>
          <w:szCs w:val="17"/>
          <w:color w:val="auto"/>
        </w:rPr>
        <w:t>Benefit from income tax was $5.8 million for the nine months ended September 30, 2019, an increase of $4.7 million, or 391%,</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$1.2 million for the nine months ended September 30, 2018. The increase was primarily due to greater losses before tax.</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$144.3 million for the year ended December 31, 2018. As of December 31, 2018, we had over 11,000 customers on a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basis, including non-overlapping customers of Pre-Acquisition ZI. On a pro forma basis, the combined revenue of ZoomInfo OpCo, Pre-Acquisition ZI, NeverBounce and Datanyze would have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4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been approximately $223.3 million for the year ended December 31, 2018 if the acquisition had occurred on January 1, 2018.</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$37.8 million for the year ended December 31, 2018, primarily reflecting the expense required to support our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database. On a pro forma basis, the combined cost of services of ZoomInfo OpCo, Pre-Acquisition ZI, NeverBounce and Datanyze would have been $61.2 million for the year ended December 31, 2018 if the acquisition had occurred on January 1, 2018.</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 forma results shown above have been adjusted for amortization of fair value adjustments to acquired intangible assets as if the acquisition had occurred on January 1, 2018. The pro forma results do not include an adjustment to amortize the fair value adjustment to acquired unearned revenue as it is not expected to have a continuing impact on the financial results of the company. See “—Non-GAAP Financial Measures—Allocated Combined Receipts” for impact of fair value adjustments to acquired unearned revenue. Management believes presenting such pro forma results is useful to investors because it demonstrates the significant impact on revenue trends resulting from acquisitions during the periods presented, including the Zoom Information Acquisition, and the related fair value adjustments required under purchase accounting that impact year-over-year comparisons. The pro forma results shown above is provided for informational purposes only and is not necessarily indicative of the operating results that would have occurred if the acquisitions had occurred on January 1, 2018, nor is it indicative of our future results.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was $79.9 million for the year ended December 31, 2018, primarily reflecting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Sales and marketing: $42.4 million for the year ended December 31, 2018, which were primarily comprised of the expense for selling new customers and upgrading and renewing existing customers;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Research and development: $6.1 million for the year ended December 31, 2018, which were primarily comprised of the expense related to developing new functionality for and supporting our platform and data engine;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General and administrative: $20.8 million for the year ended December 31, 2018, which were primarily comprised of the expenses to support the operations of the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Amortization of acquired intangibles:$7.0 million for the year ended December 31, 2018 , which were primarily comprised of amortization of intangibles acquired through the RainKing acquisition; and</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Restructuring and transaction expenses: $3.6 million for the year ended December 31, 2018, which were primarily comprised of expenses related to the investment in ZoomInfo OpCo by Carlyle, the NeverBounce acquisition, and the exploration of the Zoom Information Acquisition.</w:t>
      </w:r>
    </w:p>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was $58.2 million for the year ended December 31, 2018, which were primarily comprised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our previous credit facilities.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was $0.1 million for the year ended December 31, 2018, which were primarily comprised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on cash balances.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Benefit from Income Tax. </w:t>
      </w:r>
      <w:r>
        <w:rPr>
          <w:rFonts w:ascii="Arial" w:cs="Arial" w:eastAsia="Arial" w:hAnsi="Arial"/>
          <w:sz w:val="18"/>
          <w:szCs w:val="18"/>
          <w:color w:val="auto"/>
        </w:rPr>
        <w:t>Benefit from income tax was $2.9 million for the year ended December 31, 2018. Results reflect the expected benefit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as a result of operating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As of September 30, 2019, we had $39.1 million of cash and cash equivalents and $100.0 million available under our revolving credit facility. We have financed our operations primarily through cash generated from operations and financed various acquisitions through debt offerings.</w:t>
      </w:r>
    </w:p>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our cash flows from operations and existing available cash and cash equivalents, together with our other available external financing sources, will be adequate to fund our operating and capital needs for at least the next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41"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12 months. We are currently in compliance with the covenants under the senior credit agreements and we expect to remain in compliance with our covenants.</w:t>
      </w:r>
    </w:p>
    <w:p>
      <w:pPr>
        <w:spacing w:after="0" w:line="1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September 30, 2019, we had unearned revenue of $129.2 million, of which $127.0 million was recorded as a current liability and is expected to be recorded as revenue in the next 12 months, provided all other revenue recognition criteria have been met.</w:t>
      </w:r>
    </w:p>
    <w:p>
      <w:pPr>
        <w:spacing w:after="0" w:line="1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After completion of this offering, ZoomInfo Technologies Inc. will be a holding company and will have no material assets other than its ownership of LLC Units. ZoomInfo Technologies Inc. has no independent means of generating revenue. ZoomInfo Technologies Inc. intends to cause ZoomInfo OpCo to make distributions to its holders of LLC Units, including ZoomInfo Technologies Inc. and our pre-IPO owners, in an amount sufficient to cover all applicable taxes at assumed tax rates, payments under the tax receivable agreement and dividends, if any, declared by it. Deterioration in the financial condition, earnings or cash flow of ZoomInfo OpCo and its subsidiaries for any reason could limit or impair their ability to pay such distributions. In addition, the terms of our financing arrangements, including the senior credit facilities, contain covenants that may restrict ZoomInfo OpCo and its subsidiaries from paying such distributions, subject to certain exceptions. Further,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after completion of this offering will be its interest in ZoomInfo OpCo, and it is accordingly dependent upon distributions from ZoomInfo OpCo to pay taxes, make payments under the tax receivable agreement, and pay dividends.”</w:t>
      </w:r>
    </w:p>
    <w:p>
      <w:pPr>
        <w:spacing w:after="0" w:line="12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w:t>
            </w:r>
          </w:p>
        </w:tc>
        <w:tc>
          <w:tcPr>
            <w:tcW w:w="360" w:type="dxa"/>
            <w:vAlign w:val="bottom"/>
          </w:tcPr>
          <w:p>
            <w:pPr>
              <w:spacing w:after="0"/>
              <w:rPr>
                <w:sz w:val="14"/>
                <w:szCs w:val="14"/>
                <w:color w:val="auto"/>
              </w:rPr>
            </w:pPr>
          </w:p>
        </w:tc>
        <w:tc>
          <w:tcPr>
            <w:tcW w:w="2940" w:type="dxa"/>
            <w:vAlign w:val="bottom"/>
            <w:gridSpan w:val="4"/>
            <w:vMerge w:val="restart"/>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(used in) Operating Activities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operations was $28.5 million for the nine months ended September 30, 2019 as a result of net loss of $68.9 million, adjusted by non-cash charges of $62.2 million and a change of $35.2 million in our operating assets and liabilities. The non-cash charges are primarily comprised of depreciation and amortization of $36.6 million,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41" w:right="239" w:bottom="1440" w:gutter="0" w:footer="0" w:header="0"/>
        </w:sectPr>
      </w:pPr>
    </w:p>
    <w:bookmarkStart w:id="109" w:name="page110"/>
    <w:bookmarkEnd w:id="109"/>
    <w:p>
      <w:pPr>
        <w:jc w:val="both"/>
        <w:spacing w:after="0" w:line="259" w:lineRule="auto"/>
        <w:rPr>
          <w:sz w:val="20"/>
          <w:szCs w:val="20"/>
          <w:color w:val="auto"/>
        </w:rPr>
      </w:pPr>
      <w:r>
        <w:rPr>
          <w:rFonts w:ascii="Arial" w:cs="Arial" w:eastAsia="Arial" w:hAnsi="Arial"/>
          <w:sz w:val="18"/>
          <w:szCs w:val="18"/>
          <w:color w:val="auto"/>
        </w:rPr>
        <w:t>equity-based compensation of $12.8 million, and loss on debt extinguishment of $9.4 million. The change in operating assets and liabilities was primarily the result of an increase in unearned revenue of $44.0 million due to the timing of billings and cash received in advance of revenue recognition for subscription services, and an increase in accrued expenses and other liabilities of $15.3 million, partially offset by an increase in deferred costs and other assets of $14.9 million.</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cash provided by operations was $32.0 million for the nine months ended September 30, 2018 as a result of net loss of $28.3 million, adjusted by non-cash charges of $55.6 million and a change of $4.7 million in our operating assets and liabilities. The non-cash charges are primarily comprised of $29.3 million in equity-based compensation, $12.8 million in depreciation and amortization, and $11.9 million in paid-in-kind accrued interest. The change in operating assets and liabilities was primarily the result of an increase in unearned revenue of $9.1 million, partially offset by an increase in deferred costs and other assets of $2.3 million and a decrease of $2.4 million in accrued expenses and other liabilities.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operations was $43.8 million for the year ended December 31, 2018 as a result of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of $8.9 million in accounts receivable and an increase in deferred costs and other assets of $3.3 million.</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cash from operations decreased by $3.5 million in the nine months ended September 30, 2019 relative to the nine months ended September 30, 2018. The decrease in cash flows from operations was primarily due to increases in cash outflows related to cash interest expense, which increased by $41.3 million from the nine months ended September 30, 2018 to the nine months ended September 30, 2019, restructuring and transaction-related expenses, which increased by $11.8 million from the nine months ended September 30, 2018 to the nine months ended September 30, 2018, and integration costs and transaction-related compensation, which increased by $11.4 million from the nine months ended September 30, 2018 to the nine months ended September 30, 2019. These increases in cash outflows were partially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13" w:lineRule="exact"/>
        <w:rPr>
          <w:sz w:val="20"/>
          <w:szCs w:val="20"/>
          <w:color w:val="auto"/>
        </w:rPr>
      </w:pPr>
    </w:p>
    <w:p>
      <w:pPr>
        <w:jc w:val="both"/>
        <w:ind w:left="66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Interest paid in cash increased significantly from the nine months ended September 30, 2018 to the nine months ended September 30, 2019. This increase primarily related to the additional debt that we incurred to fund the acquisition of Pre-Acquisition ZI on February 1, 2019. We plan to use a portion of the proceeds from this offering to repay a portion of our indebtedness, which would result in our future liquidity increasing due to decreased debt service commitments.</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Restructuring and transaction-related expenses increased significantly from the nine months ended September 30, 2018 to the nine months ended September 30,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Integration costs and transaction-related compensation increased significantly from the nine months ended September 30, 2018 to the nine months ended September 30, 2019. This increase primarily related to the costs incurred to integrate Pre-Acquisition ZI and ongoing costs related to the Vesting Cash Payment Program (see Note 4 to our unaudited financial statements included elsewhere in this prospectus). The portion of these expenditures relating to the Vesting Cash Payment Program will continue to recur through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41"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Ended December</w:t>
            </w:r>
          </w:p>
        </w:tc>
        <w:tc>
          <w:tcPr>
            <w:tcW w:w="3280" w:type="dxa"/>
            <w:vAlign w:val="bottom"/>
            <w:gridSpan w:val="3"/>
            <w:vMerge w:val="restart"/>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32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expense</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5"/>
                <w:szCs w:val="25"/>
                <w:color w:val="auto"/>
                <w:vertAlign w:val="superscript"/>
              </w:rPr>
              <w:t>(a)</w:t>
            </w: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Integration costs and acquisition-related compensation</w:t>
            </w:r>
            <w:r>
              <w:rPr>
                <w:rFonts w:ascii="Arial" w:cs="Arial" w:eastAsia="Arial" w:hAnsi="Arial"/>
                <w:sz w:val="25"/>
                <w:szCs w:val="25"/>
                <w:color w:val="auto"/>
                <w:vertAlign w:val="superscript"/>
              </w:rPr>
              <w:t>(b)</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55"/>
        </w:trPr>
        <w:tc>
          <w:tcPr>
            <w:tcW w:w="64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2018, these expenses related primarily to retention awards related to our acquisition of RainKing and transaction bonuses related to Carlyle’s investment in us.</w:t>
      </w:r>
    </w:p>
    <w:p>
      <w:pPr>
        <w:spacing w:after="0" w:line="1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(used in) Investing Activities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2019 was $725.2 million, primarily as a result of the acquisition of Pre-Acquisition ZI of $716.0 million and purchases of property and equipment and other assets of $9.2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2018 was $11.6 million, primarily as a result of the acquisition of NeverBounce of $8.5 million and purchases of property and equipment and other assets of $3.1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during the year ended December 31, 2018 was $13.1 million, primarily as a result of the acquisition of NeverBounce of $8.5 million and purchases of property and equipment and other assets of $4.6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we continue to grow and invest in our business, we expect to continue to invest in property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(used in) Financing Activities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provided from financing activities during the nine months ended September 30, 2019 was $727.9 million, primarily as a result of the issuance of new debt of $1.2 billion and preferred equity issuance of $200.2 million, partially offset by payments on long-term debt of $647.7 million, the payment of debt issuance costs of $16.7 million, and distributions to equity partners of $16.5 million.</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financing activities during the nine months ended September 30, 2018 was $24.2 million, primarily as a result of distributions to equity partners of $93.4 million partially offset by proceeds from the issuance of new debt of $67.3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82" w:right="239" w:bottom="1440" w:gutter="0" w:footer="0" w:header="0"/>
        </w:sectPr>
      </w:pPr>
    </w:p>
    <w:bookmarkStart w:id="111" w:name="page112"/>
    <w:bookmarkEnd w:id="111"/>
    <w:p>
      <w:pPr>
        <w:jc w:val="both"/>
        <w:ind w:firstLine="324"/>
        <w:spacing w:after="0" w:line="277" w:lineRule="auto"/>
        <w:rPr>
          <w:sz w:val="20"/>
          <w:szCs w:val="20"/>
          <w:color w:val="auto"/>
        </w:rPr>
      </w:pPr>
      <w:r>
        <w:rPr>
          <w:rFonts w:ascii="Arial" w:cs="Arial" w:eastAsia="Arial" w:hAnsi="Arial"/>
          <w:sz w:val="18"/>
          <w:szCs w:val="18"/>
          <w:color w:val="auto"/>
        </w:rPr>
        <w:t>Refer to Note 7 of our consolidated financial statements and Note 7 of our unaudited consolidated financial statements included elsewhere in this prospectus for additional information related to each of our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Zoom Information Acquisition, we repaid our previously outstanding $631.8 million debt on February 1, 2019 and entered into a new first lien credit agreement and a new second lien credit agreement. Our borrowings under the first lien credit agreement consist of $865.0 million initial term loans, maturing February 1, 2026, and a $100.0 million revolving credit facility, maturing February 1, 2024. The revolving credit facility was undrawn on February 1, 2019. The second lien credit agreement provides for $370.0 million initial term loan facility that matures on February 1, 2027. As of September 30, 2019, we had $860.7 million outstanding under our first lien credit agreement and $370.0 million outstanding under our second lien credit agreement, and our revolving credit facility was undrawn.</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first lien terms loans bear interest, at our election, at either 3.50% over a “base rate” (as defined below) or 4.50% over an adjusted London Interbank Offered Rate (“adjusted LIBOR rate”). The second lien term loans bear interest, at our election, at either 7.50% over the base rate or 8.50% over an adjusted LIBOR rate. In both the first lien and second lien credit agreements, the base rate is determined by reference to the highest of (i) 0.50% above the federal funds effective rate, (ii) the rate of interest established by the administrative agent as its “prime rate,” (iii) 1.00% above the adjusted LIBOR rate for dollar deposits with a one-month term commencing that date and (iv) 1.00% per annum.</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first lien credit agreement is payable in equal installments of $2.2 million on the last business day of each of our fiscal quarters. Commencing in 2020, we are required to prepay an amount equal to 50% of the preceding fiscal year’s excess cash flow, as defined in the first lien credit agreement. The required prepayment is reduced to 25% of the preceding year’s excess cash flow if our consolidated first lien net leverage ratio is less than or equal to 4.40 to 1.00. No prepayment is required if such ratio is less than or equal to 3.90 to 1.00. We have not been required to make a prepayment related to our current first lien credit agreement. Our consolidated first lien net leverage ratio is defined in our first lien credit agreement, and the EBITDA used for that ratio, may differ from Adjusted EBITDA due to certain defined add-backs, including pro forma cost savings from synergies and cash generated from changes in unearned revenue.</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principal payments are required under the second lien credit agreement until all of our obligations under the first lien credit agreement have been discharged.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Amounts borrowed under the revolving credit facility bear interest, at our election, at either 3.50% over the base rate or 4.5% over adjusted LIBOR. These interest rate spreads will decline to 3.25% and 4.25%, respectively, if our consolidated first lien net leverage ratio declines to 4.40 to 1.00 or less. As of September 30, 2019, we had outstanding revolving loan obligation. Our first lien credit agreement also provides that, if aggregate borrowings under our revolving credit facility exceed 35% of the total revolving commitment, our consolidated first lien net leverage ratio may not, on the last day of the applicable measurement period, exceed 7.65 to 1.00.</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Certain Indebtedness.”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preferred equity has preference with respect to cash flows generated by DiscoverOrg and will receive proceeds from future distributions on a preferential basis for the value of the preferred plus an annual rate of 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Capital expenditures increased by $6.1 million, or 197%, to $9.2 million in the nine months ended September 30, 2019 compared to nine months ended September 30, 2018. The increase reflects increased capital expenditures to support the larger company and greater capitalization of internal development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4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Prior to the completion of this offering, we will enter into a tax receivable agreement with our pre-IPO owners that provides for the payment by ZoomInfo Technologies Inc. to such pre-IPO owners of 85% of the benefits, if any, that ZoomInfo Technologies Inc. is deemed to realize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tax basis adjustments generated over time may increase (for tax purposes) ZoomInfo Technologies Inc.’s depreciation and amortization deductions and, therefore, may reduce the amount of tax that ZoomInfo Technologies Inc. would otherwise be required to pay in the future, although the IRS may challenge all or part of the validity of that tax basis, and a court could sustain such a challenge. ZoomInfo Technologies Inc.’s allocable share of existing tax basis acquired in this offering and the increase in ZoomInfo Technologies Inc.’s allocable share of existing tax basis and the anticipated tax basis adjustments upon exchanges of LLC Units for shares of Class A common stock may also decrease gains (or increase losses) on future dispositions of certain capital assets to the extent tax basis is allocated to those capital assets. The payment obligation under the tax receivable agreement is an obligation of ZoomInfo Technologies Inc. and not of ZoomInfo OpCo. ZoomInfo Technologies Inc. expects to benefit from the remaining 15% of realized cash tax benefits. For purposes of the tax receivable agreement, the realized cash tax benefits will be computed by comparing the actual income tax liability of ZoomInfo Technologies Inc. (calculated with certain assumptions) to the amount of such taxes that ZoomInfo Technologies Inc. would have been required to pay had there been no existing tax basis, no anticipated tax basis adjustments of the assets of ZoomInfo Technologies Inc. as a result of exchanges and no utilization of certain tax attributes of the Blocker Companies (including the Blocker Companies’ allocable share of existing tax basis), and had ZoomInfo Technologies Inc. not entered into the tax receivable agreement. The term of the tax receivable agreement will continue until all such tax benefits have been utilized or expired, unless (i) ZoomInfo Technologies Inc. exercises its right to terminate the tax receivable agreement for an amount based on the agreed payments remaining to be made under the agreement, (ii) ZoomInfo Technologies Inc. breaches any of its material obligations under the tax receivable agreement in which case all obligations (including any additional interest due relating to any deferred payments) generally will be accelerated and due as if ZoomInfo Technologies Inc. had exercised its right to terminate the tax receivable agreement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 is by its nature imprecise, insofar as the calculation of amounts payable depends on a variety of factors. The amount of existing tax basis and the anticipated tax basis adjustments,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that as a result of the size of ZoomInfo Technologies Inc.’s allocable share of existing tax basis acquired in this offering, the increase in ZoomInfo Technologies Inc.’s allocable share of existing tax basis and the anticipated tax basis adjustment of the tangible and intangible assets of ZoomInfo Technologies Inc. upon the exchange of LLC Units for shares of Class A common stock and our possible utilization of certain tax attributes, the payments that ZoomInfo Technologies Inc. may make under the tax receivable agreement will be substantial. We estimate the amount of existing tax basis with respect to which our pre-IPO owners will be entitled to receive payments under the tax receivable agreement (assuming all Pre-IPO LLC Unitholders exchange their LLC Units for shares of Class A common stock on the date of this offering) is approximately $ . The payments under the tax receivable agreement are not conditioned upon continued ownership of us by the exchanging holders of LLC Units. See “Certain Relationships and Related Person Transactions—Tax Receivable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37"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material contractual obligations as of December 31, 2019 and the years in which these obligations are due: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Payments due by Period</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Less than one year</w:t>
            </w: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One to three years</w:t>
            </w: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Three to five years</w:t>
            </w:r>
          </w:p>
        </w:tc>
        <w:tc>
          <w:tcPr>
            <w:tcW w:w="136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rPr>
              <w:t>Greater than five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Long-term indebtedness</w:t>
            </w:r>
            <w:r>
              <w:rPr>
                <w:rFonts w:ascii="Arial" w:cs="Arial" w:eastAsia="Arial" w:hAnsi="Arial"/>
                <w:sz w:val="25"/>
                <w:szCs w:val="25"/>
                <w:color w:val="auto"/>
                <w:vertAlign w:val="superscript"/>
              </w:rPr>
              <w:t>(1)</w:t>
            </w:r>
          </w:p>
        </w:tc>
        <w:tc>
          <w:tcPr>
            <w:tcW w:w="1380" w:type="dxa"/>
            <w:vAlign w:val="bottom"/>
            <w:tcBorders>
              <w:top w:val="single" w:sz="8" w:color="auto"/>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2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(2)</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(3)</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Deferred or contingent consideration</w:t>
            </w:r>
            <w:r>
              <w:rPr>
                <w:rFonts w:ascii="Arial" w:cs="Arial" w:eastAsia="Arial" w:hAnsi="Arial"/>
                <w:sz w:val="25"/>
                <w:szCs w:val="25"/>
                <w:color w:val="auto"/>
                <w:vertAlign w:val="superscript"/>
              </w:rPr>
              <w:t>(4)</w:t>
            </w:r>
          </w:p>
        </w:tc>
        <w:tc>
          <w:tcPr>
            <w:tcW w:w="13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3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__________________</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Includes future principal and cash interest payments on long-term indebtedness through the scheduled maturity dates thereof. Indebtedness and interest rate derivatives are discussed in Note 7</w:t>
      </w:r>
    </w:p>
    <w:p>
      <w:pPr>
        <w:spacing w:after="0" w:line="68" w:lineRule="exact"/>
        <w:rPr>
          <w:sz w:val="20"/>
          <w:szCs w:val="20"/>
          <w:color w:val="auto"/>
        </w:rPr>
      </w:pPr>
    </w:p>
    <w:p>
      <w:pPr>
        <w:ind w:left="340"/>
        <w:spacing w:after="0" w:line="301" w:lineRule="auto"/>
        <w:rPr>
          <w:sz w:val="20"/>
          <w:szCs w:val="20"/>
          <w:color w:val="auto"/>
        </w:rPr>
      </w:pPr>
      <w:r>
        <w:rPr>
          <w:rFonts w:ascii="Arial" w:cs="Arial" w:eastAsia="Arial" w:hAnsi="Arial"/>
          <w:sz w:val="14"/>
          <w:szCs w:val="14"/>
          <w:color w:val="auto"/>
        </w:rPr>
        <w:t>– Financing Arrangements and Note – Derivatives and Hedging Activities, respectively to our audited consolidated financial statements included elsewhere in this prospectus. Interest payments for variable rate debt and the associated interest rate derivatives were calculated using interest rates as of December 31, 2019.</w:t>
      </w:r>
    </w:p>
    <w:p>
      <w:pPr>
        <w:spacing w:after="0" w:line="1"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and capital leases, including interest expense, through the scheduled expiration dates thereof.</w:t>
      </w:r>
    </w:p>
    <w:p>
      <w:pPr>
        <w:spacing w:after="0" w:line="13"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Many of our contracts contain clauses that allow us to terminate the contract with notice, with or without a termination penalty. Termination penalties are generally an amount less than the original obligation. Certain contracts have an automatic renewal clause, if we do not provide written notification of our intent to terminate the contract. Obligations under certain contracts are usage-based and are, therefore, estimated in the above amounts. Historically, we have not had any significant defaults of our contractual obligations or incurred significant penalties for termination of our contractual obligations.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deferred consideration related to the Zoom Information Acquisition and contingent consideration related to the NeverBounce and Komiko acquisitions. Acquisitions and related deferred or contingent consideration are discussed in Note 4 – Business Combinations to our audit consolidated financial statements included elsewhere in this prospectus. Contingent consideration is estimated in the above amounts.</w:t>
      </w:r>
    </w:p>
    <w:p>
      <w:pPr>
        <w:spacing w:after="0" w:line="14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 The table above does not reflect commitments of an additional $ million related to long-term income taxes payable, as described in Note 11 </w:t>
      </w:r>
      <w:r>
        <w:rPr>
          <w:rFonts w:ascii="Arial" w:cs="Arial" w:eastAsia="Arial" w:hAnsi="Arial"/>
          <w:sz w:val="13"/>
          <w:szCs w:val="13"/>
          <w:color w:val="auto"/>
        </w:rPr>
        <w:t>–</w:t>
      </w:r>
      <w:r>
        <w:rPr>
          <w:rFonts w:ascii="Arial" w:cs="Arial" w:eastAsia="Arial" w:hAnsi="Arial"/>
          <w:sz w:val="16"/>
          <w:szCs w:val="16"/>
          <w:color w:val="auto"/>
        </w:rPr>
        <w:t xml:space="preserve"> Income Tax Provision in our audited financial statements included elsewhere in this prospectus.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payments that we may be required to make under the tax receivable agreement that we will enter into prior to the completion of this offering may be significant and are not reflected in the contractual obligations tables set forth above, as we are currently unable to estimate the amounts and timing of the payments that may be due thereunder.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certain circumstances, however, the preparation of consolidated financial statements in conformity with GAAP requires us to make certain estimates, judgments, and assumptions that effect the reported amounts of assets and liabilities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37" w:right="239" w:bottom="1440" w:gutter="0" w:footer="0" w:header="0"/>
        </w:sectPr>
      </w:pPr>
    </w:p>
    <w:bookmarkStart w:id="114" w:name="page115"/>
    <w:bookmarkEnd w:id="114"/>
    <w:p>
      <w:pPr>
        <w:jc w:val="both"/>
        <w:spacing w:after="0" w:line="277" w:lineRule="auto"/>
        <w:rPr>
          <w:sz w:val="20"/>
          <w:szCs w:val="20"/>
          <w:color w:val="auto"/>
        </w:rPr>
      </w:pPr>
      <w:r>
        <w:rPr>
          <w:rFonts w:ascii="Arial" w:cs="Arial" w:eastAsia="Arial" w:hAnsi="Arial"/>
          <w:sz w:val="18"/>
          <w:szCs w:val="18"/>
          <w:color w:val="auto"/>
        </w:rPr>
        <w:t>and disclosure of contingent assets and liabilities as of the date of the consolidated financial statements, as well as the reported amounts of revenue and expenses during the reporting period.</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2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that can be accessed. Our subscriptions contracts typically have a term of one to three years and are non-cancellable. We typically bill for services annually in advance or quarterly installment periods.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Effective January 1, 2018, we adopted the requirements of Accounting Standards Updated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and its subsequent amendments (“ASC 606”) using the full retrospective method of adoption.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Typically, the Company issues profits interests to employees and officers with a return threshold that is set based on the fair value of the Company, as determined by the board of directors.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27" w:lineRule="exact"/>
        <w:rPr>
          <w:sz w:val="20"/>
          <w:szCs w:val="20"/>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date closest to the grant date for zero-coupon U.S. Treasury notes with maturities approximately equal to the expected term of the equity grants.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the equity-based awards are expected to be outstanding. The expected term is determined based on vesting terms, buy-back provisions, and contractual lives.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Volatility - The volatility is based on the historical volatility of the stock prices for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Dividend yield - The dividend yield is assumed to be zero.</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Equity-based compensation that vests based on a performance event, such as a liquidity event, are measured at the date that the performance event is achieved, and compensation expense is recognized on a straight-line basis over any remaining service period. As of January 1, 2019, the Company adopted ASU 2018-07 and accounts for non-employee equity-based compensation in accordance with ASC 505-50-25, “</w:t>
      </w:r>
      <w:r>
        <w:rPr>
          <w:rFonts w:ascii="Arial" w:cs="Arial" w:eastAsia="Arial" w:hAnsi="Arial"/>
          <w:sz w:val="16"/>
          <w:szCs w:val="16"/>
          <w:i w:val="1"/>
          <w:iCs w:val="1"/>
          <w:color w:val="auto"/>
        </w:rPr>
        <w:t>Equity Based Payments to Non-Employees</w:t>
      </w:r>
      <w:r>
        <w:rPr>
          <w:rFonts w:ascii="Arial" w:cs="Arial" w:eastAsia="Arial" w:hAnsi="Arial"/>
          <w:sz w:val="16"/>
          <w:szCs w:val="16"/>
          <w:color w:val="auto"/>
        </w:rPr>
        <w:t>,” which requires the measurement and recognition of compensation expense for all equity-based payment awards made to non-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41" w:right="239" w:bottom="1440" w:gutter="0" w:footer="0" w:header="0"/>
        </w:sectPr>
      </w:pPr>
    </w:p>
    <w:bookmarkStart w:id="115" w:name="page116"/>
    <w:bookmarkEnd w:id="115"/>
    <w:p>
      <w:pPr>
        <w:jc w:val="both"/>
        <w:spacing w:after="0" w:line="264" w:lineRule="auto"/>
        <w:rPr>
          <w:sz w:val="20"/>
          <w:szCs w:val="20"/>
          <w:color w:val="auto"/>
        </w:rPr>
      </w:pPr>
      <w:r>
        <w:rPr>
          <w:rFonts w:ascii="Arial" w:cs="Arial" w:eastAsia="Arial" w:hAnsi="Arial"/>
          <w:sz w:val="18"/>
          <w:szCs w:val="18"/>
          <w:color w:val="auto"/>
        </w:rPr>
        <w:t>employees based on estimated fair values. Performance vesting programs are primarily payable in cash from an upper-tier holder of Company equity units based on the appreciation of such units. The fair value of these cash-settled incentive units is based on the estimated settlement amount based on the liquidity event.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Goodwill is calculated as the excess of the purchase consideration paid in a business combination over the fair value of the assets acquired less liabilities assumed. Goodwill is not amortized, but instead is assigned to each of the Company’s reporting units and is tested for impairment at least annually or when events and circumstances indicate that fair value of a reporting unit may be below its carrying value. DiscoverOrg has one reporting unit.</w:t>
      </w:r>
    </w:p>
    <w:p>
      <w:pPr>
        <w:spacing w:after="0" w:line="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Acquired intangible assets determined to have definite lives are amortized on a straight-line basis over the estimated period over which we expect to realize economic value related to the intangible asset. The amortization periods range from 2 years to 15 years. Acquired intangible assets determined to have indefinite lives are not amortized, but rather tested for impairment annually, or more often if and when events or circumstances indicate that the carrying value may not be recoverable.</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most recent impairment assessment in 2018 determined that our goodwill and intangible assets were not impaired as the estimated fair value of our reporting unit substantially exceeded the carrying value.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4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DiscoverOrg is comprised of two limited liability companies that are treated as partnerships for federal U.S. tax purposes, 10 limited liability companies that are treated as disregarded entities for federal U.S. tax purposes, two corporations, and two foreign entities.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DiscoverOrg is responsible for making payments directly to the relevant tax authority.</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recognize the tax benefit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consummation of this offering, we will become subject to U.S. federal income taxes with respect to our allocable share of any U.S. taxable income of ZoomInfo OpCo and will be taxed at the prevailing U.S. corporate tax rates. We will be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elsewhere in this prospectus regarding recently issued accounting pronouncements which we adopted and have not yet adopted and the impact on our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4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had significant debt commitments outstanding as of September 30, 2019. These on-balance sheet financial instruments, to the extent they accrue interest at variable interest rates, expose us to interest rate risk. We seek to manage interest rate risk by entering into interest rate swap and interest rate cap agreements with financial institutions. A hypothetical 1.0% increase or decrease in the interest rate associated with our secured credit facilities would have resulted in a $6.3 million impact to interest expense for the year ended December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date, our sales contracts have been denominated in U.S. dollars. We have two foreign entities established in Israel and Russia. The functional currency of these foreign subsidiaries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3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coupled with our analytics, enables sellers and marketers to shorten sales cycles and increase win rates by delivering the right message, to the right person, at the right time, to hit their number.</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From the largest global enterprises to the smallest businesses, and every company in between, all organizations that sell to other businesses can use ZoomInfo to sell more, in a smarter, better, and faster way.</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Today, approximately 180,000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To enable this, our go-to-market intelligence platform delivers comprehensive and high-quality intelligence and analytics on over 14 million companies and 100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able to deliver high-quality intelligence at scale by leveraging an AI- and ML-powered engine that gathers data from millions of global sources and standardizes, matches to entities, verifies, cleans, and applies the processed data to companies and people. To do this, our engine aggregates and extracts distinct types of data, such as revenue, locations, technologies, keywords, contact information, including email addresses, titles, and phone numbers, and many others, from millions of proprietary and public sources, including our contributory network, which captures data on over 50 million contact record events daily from our free Community Edition users and many of our paying customers.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software, insights, and data enable over 13,000 companies to sell and market more effectively and efficiently. Our customers operate in almost every industry vertical, including software, business services, manufacturing, telecommunications, financial services and insurance, retail, media and internet, transportation, education, hospitality, healthcare, and real estate, and range from the largest global enterprises, to mid-market companies, down to SMBs. Within a given company, we believe our platform can make every sales and marketing professional more effective and efficient. This broad applicability drives our TAM of approximately $23 billion, according to our estimates. Using the ZoomInfo platform, we have identified over 800,000 global businesses that sell to other businesses and have more than ten employees, which represent our potential customers. Our current customer base of over 13,000 implies penetration of less than 2%.</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invested in technology, data, and insights, as well as defined processes and specialized roles, resulting in an optimized inside sales motion. Our average new business sales cycle from opportunity creation to close is 32 days, and our average LTV compared to our average CAC is over 10x. We offer subscriptions to our platform via four product editions with varying functionality that is tuned to different customer needs. Our focus on customer adoption, success, and expansion helps us to deliver continued value and creates opportunities for increased usage. Today, over 500 of our customers spend more than $100,000 in ACV.</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37" w:right="239" w:bottom="1440" w:gutter="0" w:footer="0" w:header="0"/>
        </w:sectPr>
      </w:pPr>
    </w:p>
    <w:bookmarkStart w:id="119" w:name="page120"/>
    <w:bookmarkEnd w:id="119"/>
    <w:p>
      <w:pPr>
        <w:jc w:val="both"/>
        <w:ind w:firstLine="324"/>
        <w:spacing w:after="0" w:line="255" w:lineRule="auto"/>
        <w:rPr>
          <w:sz w:val="20"/>
          <w:szCs w:val="20"/>
          <w:color w:val="auto"/>
        </w:rPr>
      </w:pPr>
      <w:r>
        <w:rPr>
          <w:rFonts w:ascii="Arial" w:cs="Arial" w:eastAsia="Arial" w:hAnsi="Arial"/>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We and Pre-Acquisition ZI generated revenue of $103.5 million and $45.7 million for the nine months ended September 30, 2018, respectively, and $203.0 million for the nine months ended September 30, 2019 and $9.7 million for the one month ended January 31, 2019,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is Fundamental to Every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Business-to-Business (“B2B”) Sales and Marketing has Changed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41"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Sales and Marketing is Still Inefficient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According to Salesforce.com, sales representatives spend only a third of their time actually selling, in large part because they must spend so much of their time researching and organizing data. This inefficiency is manifested in three main ways:</w:t>
      </w:r>
    </w:p>
    <w:p>
      <w:pPr>
        <w:spacing w:after="0" w:line="112" w:lineRule="exact"/>
        <w:rPr>
          <w:sz w:val="20"/>
          <w:szCs w:val="20"/>
          <w:color w:val="auto"/>
        </w:rPr>
      </w:pPr>
    </w:p>
    <w:p>
      <w:pPr>
        <w:jc w:val="both"/>
        <w:ind w:left="660" w:hanging="328"/>
        <w:spacing w:after="0" w:line="295"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It’s hard to find and engage with decision makers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Inaccurate or missing contact information plagues efforts to engage with a broad set of targets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quickly and efficiently. 30% to 50% of data in customers’ CRM and enterprise resource planning systems is incorrect at any given time. A Forrester survey we commissioned in 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 calling mainline telephone numbers, which often get blocked. Ultimately, once they find the correct information, the data immediately begins to decay.</w:t>
      </w:r>
    </w:p>
    <w:p>
      <w:pPr>
        <w:spacing w:after="0" w:line="105"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hard to know when to engage. </w:t>
      </w:r>
      <w:r>
        <w:rPr>
          <w:rFonts w:ascii="Arial" w:cs="Arial" w:eastAsia="Arial" w:hAnsi="Arial"/>
          <w:sz w:val="17"/>
          <w:szCs w:val="17"/>
          <w:color w:val="auto"/>
        </w:rPr>
        <w:t>Sales and marketing professionals are much better positioned to land a sale when they have insights into when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13" w:lineRule="exact"/>
        <w:rPr>
          <w:rFonts w:ascii="Arial" w:cs="Arial" w:eastAsia="Arial" w:hAnsi="Arial"/>
          <w:sz w:val="17"/>
          <w:szCs w:val="17"/>
          <w:color w:val="auto"/>
        </w:rPr>
      </w:pPr>
    </w:p>
    <w:p>
      <w:pPr>
        <w:jc w:val="both"/>
        <w:ind w:left="660" w:hanging="328"/>
        <w:spacing w:after="0" w:line="25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No data-driven way to prioritize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Prioritization decisions for sales and marketing resources are made based on intuition, random knowledge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Need for a Comprehensive Go-to-Market Intelligence Solution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view of a company and its contacts. This all needs to be updated in real time and integrated into workflows through CRM and sales &amp; marketing automation systems—the systems nearly every company uses to manage their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ZoomInfo Platform</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ZoomInfo is the go-to-market intelligence platform for over 13,000 sales and marketing teams worldwide as of September 30, 2019. Our cloud-based platform gives sales and marketing professionals highly accurate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41" w:right="239" w:bottom="1440" w:gutter="0" w:footer="0" w:header="0"/>
        </w:sectPr>
      </w:pPr>
    </w:p>
    <w:bookmarkStart w:id="121" w:name="page122"/>
    <w:bookmarkEnd w:id="121"/>
    <w:p>
      <w:pPr>
        <w:jc w:val="both"/>
        <w:spacing w:after="0" w:line="264" w:lineRule="auto"/>
        <w:rPr>
          <w:sz w:val="20"/>
          <w:szCs w:val="20"/>
          <w:color w:val="auto"/>
        </w:rPr>
      </w:pPr>
      <w:r>
        <w:rPr>
          <w:rFonts w:ascii="Arial" w:cs="Arial" w:eastAsia="Arial" w:hAnsi="Arial"/>
          <w:sz w:val="18"/>
          <w:szCs w:val="18"/>
          <w:color w:val="auto"/>
        </w:rPr>
        <w:t>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had approximately 180,000 paid users using our paid platform as of September 30, 2019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 and CRM and sales &amp; marketing automation systems, including Salesforce, Marketo, HubSpot, Microsoft Dynamics, Oracle Sales Cloud, and a variety of other commonly used tools.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117475</wp:posOffset>
            </wp:positionV>
            <wp:extent cx="5351145" cy="26587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5114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2019, our go-to-market platform delivered comprehensive intelligence and analytics on over 14 million companies and 100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ZoomInfo, the sales and marketing process becomes more streamlined and efficient, as demonstrated through the following examples:</w:t>
      </w:r>
    </w:p>
    <w:p>
      <w:pPr>
        <w:spacing w:after="0" w:line="179" w:lineRule="exact"/>
        <w:rPr>
          <w:sz w:val="20"/>
          <w:szCs w:val="20"/>
          <w:color w:val="auto"/>
        </w:rPr>
      </w:pPr>
    </w:p>
    <w:p>
      <w:pPr>
        <w:ind w:left="660" w:right="20" w:hanging="328"/>
        <w:spacing w:after="0" w:line="28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One of the world’s largest </w:t>
      </w:r>
      <w:r>
        <w:rPr>
          <w:rFonts w:ascii="Arial" w:cs="Arial" w:eastAsia="Arial" w:hAnsi="Arial"/>
          <w:sz w:val="18"/>
          <w:szCs w:val="18"/>
          <w:b w:val="1"/>
          <w:bCs w:val="1"/>
          <w:color w:val="auto"/>
        </w:rPr>
        <w:t>banks</w:t>
      </w:r>
      <w:r>
        <w:rPr>
          <w:rFonts w:ascii="Arial" w:cs="Arial" w:eastAsia="Arial" w:hAnsi="Arial"/>
          <w:sz w:val="18"/>
          <w:szCs w:val="18"/>
          <w:color w:val="auto"/>
        </w:rPr>
        <w:t xml:space="preserve"> uses ZoomInfo to provide their newly hired financial advisors a global network of senior professionals to target from which they can build their books of business.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41" w:right="239" w:bottom="1440" w:gutter="0" w:footer="0" w:header="0"/>
        </w:sectPr>
      </w:pPr>
    </w:p>
    <w:bookmarkStart w:id="122" w:name="page123"/>
    <w:bookmarkEnd w:id="122"/>
    <w:p>
      <w:pPr>
        <w:jc w:val="both"/>
        <w:ind w:left="660" w:hanging="328"/>
        <w:spacing w:after="0" w:line="26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telecom giant</w:t>
      </w:r>
      <w:r>
        <w:rPr>
          <w:rFonts w:ascii="Arial" w:cs="Arial" w:eastAsia="Arial" w:hAnsi="Arial"/>
          <w:sz w:val="18"/>
          <w:szCs w:val="18"/>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22"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enterprise software</w:t>
      </w:r>
      <w:r>
        <w:rPr>
          <w:rFonts w:ascii="Arial" w:cs="Arial" w:eastAsia="Arial" w:hAnsi="Arial"/>
          <w:sz w:val="16"/>
          <w:szCs w:val="16"/>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62"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Fortune 500 </w:t>
      </w:r>
      <w:r>
        <w:rPr>
          <w:rFonts w:ascii="Arial" w:cs="Arial" w:eastAsia="Arial" w:hAnsi="Arial"/>
          <w:sz w:val="18"/>
          <w:szCs w:val="18"/>
          <w:b w:val="1"/>
          <w:bCs w:val="1"/>
          <w:color w:val="auto"/>
        </w:rPr>
        <w:t>transportation and logistics</w:t>
      </w:r>
      <w:r>
        <w:rPr>
          <w:rFonts w:ascii="Arial" w:cs="Arial" w:eastAsia="Arial" w:hAnsi="Arial"/>
          <w:sz w:val="18"/>
          <w:szCs w:val="18"/>
          <w:color w:val="auto"/>
        </w:rPr>
        <w:t xml:space="preserve"> company uses ZoomInfo predictive intent data to identify potential prospects who are conducting online research on “high-volume printing” and “commercial printing solutions.”</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healthcare company</w:t>
      </w:r>
      <w:r>
        <w:rPr>
          <w:rFonts w:ascii="Arial" w:cs="Arial" w:eastAsia="Arial" w:hAnsi="Arial"/>
          <w:sz w:val="18"/>
          <w:szCs w:val="18"/>
          <w:color w:val="auto"/>
        </w:rPr>
        <w:t xml:space="preserve"> combats diabetes, hypertension, and high cholesterol by using ZoomInfo organizational charts to identify the top human resources contacts at large employers able to roll out programs company wide and better lives quickly and efficiently.</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One of the largest </w:t>
      </w:r>
      <w:r>
        <w:rPr>
          <w:rFonts w:ascii="Arial" w:cs="Arial" w:eastAsia="Arial" w:hAnsi="Arial"/>
          <w:sz w:val="18"/>
          <w:szCs w:val="18"/>
          <w:b w:val="1"/>
          <w:bCs w:val="1"/>
          <w:color w:val="auto"/>
        </w:rPr>
        <w:t>management consulting</w:t>
      </w:r>
      <w:r>
        <w:rPr>
          <w:rFonts w:ascii="Arial" w:cs="Arial" w:eastAsia="Arial" w:hAnsi="Arial"/>
          <w:sz w:val="18"/>
          <w:szCs w:val="18"/>
          <w:color w:val="auto"/>
        </w:rPr>
        <w:t xml:space="preserve"> firms uses ZoomInfo to conduct targeted market research on behalf of its clients.</w:t>
      </w:r>
    </w:p>
    <w:p>
      <w:pPr>
        <w:spacing w:after="0" w:line="17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championship-winning </w:t>
      </w:r>
      <w:r>
        <w:rPr>
          <w:rFonts w:ascii="Arial" w:cs="Arial" w:eastAsia="Arial" w:hAnsi="Arial"/>
          <w:sz w:val="18"/>
          <w:szCs w:val="18"/>
          <w:b w:val="1"/>
          <w:bCs w:val="1"/>
          <w:color w:val="auto"/>
        </w:rPr>
        <w:t>professional basketball franchise</w:t>
      </w:r>
      <w:r>
        <w:rPr>
          <w:rFonts w:ascii="Arial" w:cs="Arial" w:eastAsia="Arial" w:hAnsi="Arial"/>
          <w:sz w:val="18"/>
          <w:szCs w:val="18"/>
          <w:color w:val="auto"/>
        </w:rPr>
        <w:t xml:space="preserve"> uses ZoomInfo to identify local businesses to purchase suites and human resources executives to develop employee engagement and perks programs.</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HVAC and electrical company</w:t>
      </w:r>
      <w:r>
        <w:rPr>
          <w:rFonts w:ascii="Arial" w:cs="Arial" w:eastAsia="Arial" w:hAnsi="Arial"/>
          <w:sz w:val="18"/>
          <w:szCs w:val="18"/>
          <w:color w:val="auto"/>
        </w:rPr>
        <w:t xml:space="preserve"> uses ZoomInfo for address and location data so its sellers no longer have to drive around downtown areas looking for potential customers.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One of the world’s largest </w:t>
      </w:r>
      <w:r>
        <w:rPr>
          <w:rFonts w:ascii="Arial" w:cs="Arial" w:eastAsia="Arial" w:hAnsi="Arial"/>
          <w:sz w:val="18"/>
          <w:szCs w:val="18"/>
          <w:b w:val="1"/>
          <w:bCs w:val="1"/>
          <w:color w:val="auto"/>
        </w:rPr>
        <w:t>beauty product retailers</w:t>
      </w:r>
      <w:r>
        <w:rPr>
          <w:rFonts w:ascii="Arial" w:cs="Arial" w:eastAsia="Arial" w:hAnsi="Arial"/>
          <w:sz w:val="18"/>
          <w:szCs w:val="18"/>
          <w:color w:val="auto"/>
        </w:rPr>
        <w:t xml:space="preserve"> uses ZoomInfo to power its recruiting efforts by identifying and sourcing talent.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Engine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Machine Learning and Artificial Intelligence Technologies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Examples of how the data engine works include:</w:t>
      </w:r>
    </w:p>
    <w:p>
      <w:pPr>
        <w:spacing w:after="0" w:line="171" w:lineRule="exact"/>
        <w:rPr>
          <w:sz w:val="20"/>
          <w:szCs w:val="20"/>
          <w:color w:val="auto"/>
        </w:rPr>
      </w:pPr>
    </w:p>
    <w:p>
      <w:pPr>
        <w:jc w:val="both"/>
        <w:ind w:left="660" w:hanging="328"/>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VP of Marketing at a retail company responds to one of our automated surveys, indicating he plans to hire a new digital advertising agency within the next 12 months, which is published as a scoop on our platform.</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37" w:right="239" w:bottom="1440" w:gutter="0" w:footer="0" w:header="0"/>
        </w:sectPr>
      </w:pPr>
    </w:p>
    <w:bookmarkStart w:id="123" w:name="page124"/>
    <w:bookmarkEnd w:id="123"/>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AI technology reads an agenda for a software company’s conference and identifies that the CEO of Omega Corp. is a keynote speaker at the conference, creating a piece of evidence that Omega Corp. is likely a customer.</w:t>
      </w:r>
    </w:p>
    <w:p>
      <w:pPr>
        <w:spacing w:after="0" w:line="1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number of data sources, including proprietary sources, that enrich our platform as detailed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Contributory Network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over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Unstructured Public Information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45 million web domains everyday.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Research</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 Available Information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purchase a limited amount of data from third-party vendors (e.g., other data brokers) to be used in our platform. Our technology typically adds value to this data by combining it with our proprietary insights. For the 12 months ended September 30, 2019, we spent less than $3 million on such data.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jc w:val="both"/>
        <w:ind w:left="660" w:hanging="328"/>
        <w:spacing w:after="0" w:line="279"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The highly accurate and deep intelligence on existing and prospective customers, coupled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prioritization engines that we provide, increases revenue for our customers. Proving this to our customers is easy, because we integrate with the systems that they use to attribute revenue at the end of each month, quarter, and year. In some cases, the return on investment (“ROI”) that we generate can exceed 100 times the annual spend on the ZoomInfo platform.</w:t>
      </w:r>
    </w:p>
    <w:p>
      <w:pPr>
        <w:spacing w:after="0" w:line="117"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Unmatched Accuracy, Depth, and Coverage of Data. </w:t>
      </w:r>
      <w:r>
        <w:rPr>
          <w:rFonts w:ascii="Arial" w:cs="Arial" w:eastAsia="Arial" w:hAnsi="Arial"/>
          <w:sz w:val="18"/>
          <w:szCs w:val="18"/>
          <w:color w:val="auto"/>
        </w:rPr>
        <w:t>We gather data from millions of sources to power our AI- and ML-driven platform.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able to provide a guarantee of 95%+ accuracy as a result of our focus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41" w:right="239" w:bottom="1440" w:gutter="0" w:footer="0" w:header="0"/>
        </w:sectPr>
      </w:pPr>
    </w:p>
    <w:bookmarkStart w:id="124" w:name="page125"/>
    <w:bookmarkEnd w:id="124"/>
    <w:p>
      <w:pPr>
        <w:jc w:val="both"/>
        <w:ind w:left="660"/>
        <w:spacing w:after="0" w:line="286" w:lineRule="auto"/>
        <w:rPr>
          <w:sz w:val="20"/>
          <w:szCs w:val="20"/>
          <w:color w:val="auto"/>
        </w:rPr>
      </w:pPr>
      <w:r>
        <w:rPr>
          <w:rFonts w:ascii="Arial" w:cs="Arial" w:eastAsia="Arial" w:hAnsi="Arial"/>
          <w:sz w:val="17"/>
          <w:szCs w:val="17"/>
          <w:color w:val="auto"/>
        </w:rPr>
        <w:t>on quality, coupled with proprietary methods to extract, parse, match and clean data. Our data accuracy also allows sales and marketing professionals to realize the value promised by their CRM and sales &amp; marketing automation systems. We do not believe that any other solution provides the depth and breadth of data that we provide on over 14 million companies and over 100 million professionals.</w:t>
      </w:r>
    </w:p>
    <w:p>
      <w:pPr>
        <w:spacing w:after="0" w:line="111" w:lineRule="exact"/>
        <w:rPr>
          <w:sz w:val="20"/>
          <w:szCs w:val="20"/>
          <w:color w:val="auto"/>
        </w:rPr>
      </w:pPr>
    </w:p>
    <w:p>
      <w:pPr>
        <w:jc w:val="both"/>
        <w:ind w:left="660" w:hanging="328"/>
        <w:spacing w:after="0" w:line="276"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Leveraging our unique data asset, we are able to provide sales and marketing professionals with a 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14" w:lineRule="exact"/>
        <w:rPr>
          <w:rFonts w:ascii="Arial" w:cs="Arial" w:eastAsia="Arial" w:hAnsi="Arial"/>
          <w:sz w:val="17"/>
          <w:szCs w:val="17"/>
          <w:color w:val="auto"/>
        </w:rPr>
      </w:pPr>
    </w:p>
    <w:p>
      <w:pPr>
        <w:jc w:val="both"/>
        <w:ind w:left="660" w:hanging="328"/>
        <w:spacing w:after="0" w:line="277"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cloud-based platform is available to our customers wherever needed and can be accessed from any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powered by DiscoverOrg with their most-used CRM or sales &amp; marketing automation system. We make all of these systems better because of the accurate data and insights that we provide.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jc w:val="both"/>
        <w:ind w:left="660" w:hanging="328"/>
        <w:spacing w:after="0" w:line="293"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Leader with a Comprehensive Go-to-Market Intelligence Platform. </w:t>
      </w:r>
      <w:r>
        <w:rPr>
          <w:rFonts w:ascii="Arial" w:cs="Arial" w:eastAsia="Arial" w:hAnsi="Arial"/>
          <w:sz w:val="16"/>
          <w:szCs w:val="16"/>
          <w:color w:val="auto"/>
        </w:rPr>
        <w:t>We provide the most accurate and comprehensive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platform available. Customers leverage our complete view of their target customers and prospects to drive effectiveness and efficiency. Our platform covered 5.1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10"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Finely Tuned Go-to-Market Model. </w:t>
      </w:r>
      <w:r>
        <w:rPr>
          <w:rFonts w:ascii="Arial" w:cs="Arial" w:eastAsia="Arial" w:hAnsi="Arial"/>
          <w:sz w:val="16"/>
          <w:szCs w:val="16"/>
          <w:color w:val="auto"/>
        </w:rPr>
        <w:t>We utilize the ZoomInfo platform to power our efficient go-to-market motion. Our average new business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cycle from opportunity creation to close was 32 days for the nine months ended September 30,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0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High-Velocity Software Development. </w:t>
      </w:r>
      <w:r>
        <w:rPr>
          <w:rFonts w:ascii="Arial" w:cs="Arial" w:eastAsia="Arial" w:hAnsi="Arial"/>
          <w:sz w:val="18"/>
          <w:szCs w:val="18"/>
          <w:color w:val="auto"/>
        </w:rPr>
        <w:t>We foster an innovative, fast-paced engineering culture that enabled the development, launch, and adoption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112 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13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Enthusiasm Driven by Our Base of “Fanatic Users.” </w:t>
      </w:r>
      <w:r>
        <w:rPr>
          <w:rFonts w:ascii="Arial" w:cs="Arial" w:eastAsia="Arial" w:hAnsi="Arial"/>
          <w:sz w:val="18"/>
          <w:szCs w:val="18"/>
          <w:color w:val="auto"/>
        </w:rPr>
        <w:t>We have approximately 55,000 Fanatic Users, which we define as users with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over 200 minutes per week and/or 300 searches per month, which represents over 25% of our paid user base. We believe our Fanatic Users drive viral adoption of our platform through word of mouth amongst the influencer community within sales and marketing and within their organizations. Additionally, we have won new customers through former users that joined a new company and encouraged their new company to become a customer.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41" w:right="239" w:bottom="1440" w:gutter="0" w:footer="0" w:header="0"/>
        </w:sectPr>
      </w:pPr>
    </w:p>
    <w:bookmarkStart w:id="125" w:name="page126"/>
    <w:bookmarkEnd w:id="125"/>
    <w:p>
      <w:pPr>
        <w:jc w:val="both"/>
        <w:ind w:left="660" w:hanging="328"/>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and Significant Network Effects. </w:t>
      </w:r>
      <w:r>
        <w:rPr>
          <w:rFonts w:ascii="Arial" w:cs="Arial" w:eastAsia="Arial" w:hAnsi="Arial"/>
          <w:sz w:val="18"/>
          <w:szCs w:val="18"/>
          <w:color w:val="auto"/>
        </w:rPr>
        <w:t>Driven by growth in our contributory network, the number of records we receive from our network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grown to over 50 million per day. As our contributory 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co-founder and CEO, Henry Schuck, pioneered the category of go-to-market intelligence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driving force behind our vision, mission, and culture. Our highly talented, customer-centric senior leadership enables us to rapidly develop new products, move more quickly than our competition, and build our fast-paced, execution-oriented culture.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$23 billion, based on data as of December 31, 2019.</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calculate our TAM by estimating the total number of companies by employee size for companies with 1,000+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ACV applied to the specifically identified number of companies by employee size is calculated by leveraging internal company data on current customer spend, which is concentrated on sales and marketing use cases today. For our companies with 1,000+ employees, we have applied the average ACV of our top quartile of customers,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drive the growth of our business through the following strategies: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Customers. </w:t>
      </w:r>
      <w:r>
        <w:rPr>
          <w:rFonts w:ascii="Arial" w:cs="Arial" w:eastAsia="Arial" w:hAnsi="Arial"/>
          <w:sz w:val="18"/>
          <w:szCs w:val="18"/>
          <w:color w:val="auto"/>
        </w:rPr>
        <w:t>Using the ZoomInfo platform, we have identified over 800,000 global businesses that sell to other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have more than 10 employees, which represent our potential customers. Our current customer base of over 13,000 implies penetration of less than 2%. We won approximately $70 million of ACV across nearly 4,000 new customers in the nine months ended September 30, 2019. We plan to continue to acquire new customers with our efficient and scalable go-to-market engine.</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Additional High-Value Solutions to Our Existing Customers. </w:t>
      </w:r>
      <w:r>
        <w:rPr>
          <w:rFonts w:ascii="Arial" w:cs="Arial" w:eastAsia="Arial" w:hAnsi="Arial"/>
          <w:sz w:val="17"/>
          <w:szCs w:val="17"/>
          <w:color w:val="auto"/>
        </w:rPr>
        <w:t>We often expand within existing customers as they realize the value of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and identify opportunities to drive more sales in two ways: customers upgrade their platform or purchase additional services. In the nine months ended September 30, 2019, customers upgraded their platform or purchased additional services over 4,000 times.</w:t>
      </w:r>
    </w:p>
    <w:p>
      <w:pPr>
        <w:spacing w:after="0" w:line="111"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Incremental Penetration Within Enterprises. </w:t>
      </w:r>
      <w:r>
        <w:rPr>
          <w:rFonts w:ascii="Arial" w:cs="Arial" w:eastAsia="Arial" w:hAnsi="Arial"/>
          <w:sz w:val="17"/>
          <w:szCs w:val="17"/>
          <w:color w:val="auto"/>
        </w:rPr>
        <w:t>We believe we are underpenetrated in the enterprise market and that, within many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enterprise customers, we have significant room to expand use cases and users. On average, our existing enterprise accounts have 70 users out of more than 2,000 sales professionals that our platform has identified in their organizations. We will expand our dedicated enterprise-focused inside sales team to focus our efforts on this opportunity. We already have traction expanding within our larger accounts: Our segment of customers with over $100,000 of ACV as of September 30, 2019 experienced 62% ACV growth during the prior 12 months.</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Platform for Adjacent Use Cases such as Recruiting. </w:t>
      </w:r>
      <w:r>
        <w:rPr>
          <w:rFonts w:ascii="Arial" w:cs="Arial" w:eastAsia="Arial" w:hAnsi="Arial"/>
          <w:sz w:val="18"/>
          <w:szCs w:val="18"/>
          <w:color w:val="auto"/>
        </w:rPr>
        <w:t>Customers are organically adopting our existing platform for new use cases,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recruiting, investing, market research, compliance and collections. We have a significant opportunity to tune the front end of our platform to create new offerings that squarely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41" w:right="239" w:bottom="1440" w:gutter="0" w:footer="0" w:header="0"/>
        </w:sectPr>
      </w:pPr>
    </w:p>
    <w:bookmarkStart w:id="126" w:name="page127"/>
    <w:bookmarkEnd w:id="126"/>
    <w:p>
      <w:pPr>
        <w:ind w:left="660"/>
        <w:spacing w:after="0" w:line="277" w:lineRule="auto"/>
        <w:rPr>
          <w:sz w:val="20"/>
          <w:szCs w:val="20"/>
          <w:color w:val="auto"/>
        </w:rPr>
      </w:pPr>
      <w:r>
        <w:rPr>
          <w:rFonts w:ascii="Arial" w:cs="Arial" w:eastAsia="Arial" w:hAnsi="Arial"/>
          <w:sz w:val="18"/>
          <w:szCs w:val="18"/>
          <w:color w:val="auto"/>
        </w:rPr>
        <w:t>meet the needs of these new use cases and expand our TAM. For example, we intend to build our recruiting offering by developing recruiting-specific features, analytics and front-end tools that leverage our existing data, insights and platform.</w:t>
      </w:r>
    </w:p>
    <w:p>
      <w:pPr>
        <w:spacing w:after="0" w:line="116" w:lineRule="exact"/>
        <w:rPr>
          <w:sz w:val="20"/>
          <w:szCs w:val="20"/>
          <w:color w:val="auto"/>
        </w:rPr>
      </w:pPr>
    </w:p>
    <w:p>
      <w:pPr>
        <w:jc w:val="both"/>
        <w:ind w:left="660" w:hanging="328"/>
        <w:spacing w:after="0" w:line="279"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to International Markets. </w:t>
      </w:r>
      <w:r>
        <w:rPr>
          <w:rFonts w:ascii="Arial" w:cs="Arial" w:eastAsia="Arial" w:hAnsi="Arial"/>
          <w:sz w:val="17"/>
          <w:szCs w:val="17"/>
          <w:color w:val="auto"/>
        </w:rPr>
        <w:t>We believe adoption of sales and marketing intelligence in international markets is still nascent. Our go-to-market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17"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 Acquisitions to Complement Our Platform. </w:t>
      </w:r>
      <w:r>
        <w:rPr>
          <w:rFonts w:ascii="Arial" w:cs="Arial" w:eastAsia="Arial" w:hAnsi="Arial"/>
          <w:sz w:val="17"/>
          <w:szCs w:val="17"/>
          <w:color w:val="auto"/>
        </w:rPr>
        <w:t>We will continue to evaluate opportunities to make acquisitions that expand our platform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solve 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Today, we sell our ZoomInfo powered by DiscoverOrg platform. We developed this new platform by combining the best features from the original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DiscoverOrg platform and the acquired Pre-Acquisition ZI platform. Certain existing customers continue to renew their subscriptions to the original Pre-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ZI or DiscoverOrg platform, which we continue to support.</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Functionality</w:t>
      </w:r>
    </w:p>
    <w:p>
      <w:pPr>
        <w:spacing w:after="0" w:line="171"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and Contact Profiles. </w:t>
      </w:r>
      <w:r>
        <w:rPr>
          <w:rFonts w:ascii="Arial" w:cs="Arial" w:eastAsia="Arial" w:hAnsi="Arial"/>
          <w:sz w:val="18"/>
          <w:szCs w:val="18"/>
          <w:color w:val="auto"/>
        </w:rPr>
        <w:t>View consolidated go-to-market intelligence available on companies and contacts.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Dashboard. </w:t>
      </w:r>
      <w:r>
        <w:rPr>
          <w:rFonts w:ascii="Arial" w:cs="Arial" w:eastAsia="Arial" w:hAnsi="Arial"/>
          <w:sz w:val="18"/>
          <w:szCs w:val="18"/>
          <w:color w:val="auto"/>
        </w:rPr>
        <w:t>Customizable landing pages to help users organize workflow around actionable insights.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Search. </w:t>
      </w:r>
      <w:r>
        <w:rPr>
          <w:rFonts w:ascii="Arial" w:cs="Arial" w:eastAsia="Arial" w:hAnsi="Arial"/>
          <w:sz w:val="18"/>
          <w:szCs w:val="18"/>
          <w:color w:val="auto"/>
        </w:rPr>
        <w:t>Use 60+ filters and thousands of keywords and attributes to build hyper-targeted lists of companies, contacts, scoops and intent, or to 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a single record.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w:t>
      </w:r>
      <w:r>
        <w:rPr>
          <w:rFonts w:ascii="Arial" w:cs="Arial" w:eastAsia="Arial" w:hAnsi="Arial"/>
          <w:sz w:val="18"/>
          <w:szCs w:val="18"/>
          <w:color w:val="auto"/>
        </w:rPr>
        <w:t>Upload first-party company and contact lists, match to our records and fill in data gaps.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Alerts. </w:t>
      </w:r>
      <w:r>
        <w:rPr>
          <w:rFonts w:ascii="Arial" w:cs="Arial" w:eastAsia="Arial" w:hAnsi="Arial"/>
          <w:sz w:val="18"/>
          <w:szCs w:val="18"/>
          <w:color w:val="auto"/>
        </w:rPr>
        <w:t>Get notifications when actionable intel surfaces on a company or contact that a user follows.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Prioritize. </w:t>
      </w:r>
      <w:r>
        <w:rPr>
          <w:rFonts w:ascii="Arial" w:cs="Arial" w:eastAsia="Arial" w:hAnsi="Arial"/>
          <w:sz w:val="18"/>
          <w:szCs w:val="18"/>
          <w:color w:val="auto"/>
        </w:rPr>
        <w:t>Score records on fit, context and actionable intel based on target profiles.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Orchestrate. </w:t>
      </w:r>
      <w:r>
        <w:rPr>
          <w:rFonts w:ascii="Arial" w:cs="Arial" w:eastAsia="Arial" w:hAnsi="Arial"/>
          <w:sz w:val="18"/>
          <w:szCs w:val="18"/>
          <w:color w:val="auto"/>
        </w:rPr>
        <w:t>Create custom rules driven by intelligence to automate workflows.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 </w:t>
      </w:r>
      <w:r>
        <w:rPr>
          <w:rFonts w:ascii="Arial" w:cs="Arial" w:eastAsia="Arial" w:hAnsi="Arial"/>
          <w:sz w:val="18"/>
          <w:szCs w:val="18"/>
          <w:color w:val="auto"/>
        </w:rPr>
        <w:t>Connect and export directly to CRM and sales &amp; marketing automation systems and continually update exported records on an ongoing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Resolution. </w:t>
      </w:r>
      <w:r>
        <w:rPr>
          <w:rFonts w:ascii="Arial" w:cs="Arial" w:eastAsia="Arial" w:hAnsi="Arial"/>
          <w:sz w:val="18"/>
          <w:szCs w:val="18"/>
          <w:color w:val="auto"/>
        </w:rPr>
        <w:t>Identify the companies represented by anonymous website visitors.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Email Verification. </w:t>
      </w:r>
      <w:r>
        <w:rPr>
          <w:rFonts w:ascii="Arial" w:cs="Arial" w:eastAsia="Arial" w:hAnsi="Arial"/>
          <w:sz w:val="18"/>
          <w:szCs w:val="18"/>
          <w:color w:val="auto"/>
        </w:rPr>
        <w:t>Verify email addresses before running a campaign to lower bounce rates.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41" w:right="239" w:bottom="1440" w:gutter="0" w:footer="0" w:header="0"/>
        </w:sectPr>
      </w:pPr>
    </w:p>
    <w:bookmarkStart w:id="127" w:name="page128"/>
    <w:bookmarkEnd w:id="127"/>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Browser Intelligence. </w:t>
      </w:r>
      <w:r>
        <w:rPr>
          <w:rFonts w:ascii="Arial" w:cs="Arial" w:eastAsia="Arial" w:hAnsi="Arial"/>
          <w:sz w:val="18"/>
          <w:szCs w:val="18"/>
          <w:color w:val="auto"/>
        </w:rPr>
        <w:t>ZoomInfo’s Google Chrome Extension,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ReachOut</w:t>
      </w:r>
      <w:r>
        <w:rPr>
          <w:rFonts w:ascii="Arial" w:cs="Arial" w:eastAsia="Arial" w:hAnsi="Arial"/>
          <w:sz w:val="18"/>
          <w:szCs w:val="18"/>
          <w:color w:val="auto"/>
        </w:rPr>
        <w:t>, delivers company and contact intelligence on screen as users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websites and LinkedIn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83185</wp:posOffset>
            </wp:positionV>
            <wp:extent cx="5351145" cy="256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5114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Go-to-Market Intelligence</w:t>
      </w:r>
    </w:p>
    <w:p>
      <w:pPr>
        <w:spacing w:after="0" w:line="171"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14 Million Companies. </w:t>
      </w:r>
      <w:r>
        <w:rPr>
          <w:rFonts w:ascii="Arial" w:cs="Arial" w:eastAsia="Arial" w:hAnsi="Arial"/>
          <w:sz w:val="18"/>
          <w:szCs w:val="18"/>
          <w:color w:val="auto"/>
        </w:rPr>
        <w:t>Includes description, location, industry, revenue and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100 Million Contacts. </w:t>
      </w:r>
      <w:r>
        <w:rPr>
          <w:rFonts w:ascii="Arial" w:cs="Arial" w:eastAsia="Arial" w:hAnsi="Arial"/>
          <w:sz w:val="18"/>
          <w:szCs w:val="18"/>
          <w:color w:val="auto"/>
        </w:rPr>
        <w:t>Includes role, location, verified email and direct dial phone numbers.</w:t>
      </w:r>
    </w:p>
    <w:p>
      <w:pPr>
        <w:spacing w:after="0" w:line="167"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Scoops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Curated insights, such as personnel moves, pain points or planned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Technologies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stack of technologies used by companies.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Intent. </w:t>
      </w:r>
      <w:r>
        <w:rPr>
          <w:rFonts w:ascii="Arial" w:cs="Arial" w:eastAsia="Arial" w:hAnsi="Arial"/>
          <w:sz w:val="18"/>
          <w:szCs w:val="18"/>
          <w:color w:val="auto"/>
        </w:rPr>
        <w:t>Reveals companies signaling intent to buy through research on products or related topics.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Attributes</w:t>
      </w:r>
      <w:r>
        <w:rPr>
          <w:rFonts w:ascii="Arial" w:cs="Arial" w:eastAsia="Arial" w:hAnsi="Arial"/>
          <w:sz w:val="18"/>
          <w:szCs w:val="18"/>
          <w:color w:val="auto"/>
        </w:rPr>
        <w:t>. Enables granular targeting on categories of attributes, such as location, job function and company rankings. Examples include: “Has a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 “Has a mobile application,” “Has 100+ locations,” and “Has a data scientist.”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Organizational Charts. </w:t>
      </w:r>
      <w:r>
        <w:rPr>
          <w:rFonts w:ascii="Arial" w:cs="Arial" w:eastAsia="Arial" w:hAnsi="Arial"/>
          <w:sz w:val="18"/>
          <w:szCs w:val="18"/>
          <w:color w:val="auto"/>
        </w:rPr>
        <w:t>Displays the organizational hierarchy of a company and helps identify decision makers.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News &amp; Events. </w:t>
      </w:r>
      <w:r>
        <w:rPr>
          <w:rFonts w:ascii="Arial" w:cs="Arial" w:eastAsia="Arial" w:hAnsi="Arial"/>
          <w:sz w:val="18"/>
          <w:szCs w:val="18"/>
          <w:color w:val="auto"/>
        </w:rPr>
        <w:t>Links to relevant news articles and events including press releases.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Corporate Structure and Hierarchy. </w:t>
      </w:r>
      <w:r>
        <w:rPr>
          <w:rFonts w:ascii="Arial" w:cs="Arial" w:eastAsia="Arial" w:hAnsi="Arial"/>
          <w:sz w:val="18"/>
          <w:szCs w:val="18"/>
          <w:color w:val="auto"/>
        </w:rPr>
        <w:t>Illustrates the relationships between parent companies, subsidiaries,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Locations. </w:t>
      </w:r>
      <w:r>
        <w:rPr>
          <w:rFonts w:ascii="Arial" w:cs="Arial" w:eastAsia="Arial" w:hAnsi="Arial"/>
          <w:sz w:val="18"/>
          <w:szCs w:val="18"/>
          <w:color w:val="auto"/>
        </w:rPr>
        <w:t>Identifies all known company sites and contacts located at each location.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Funding and Acquisition Announcements</w:t>
      </w:r>
      <w:r>
        <w:rPr>
          <w:rFonts w:ascii="Arial" w:cs="Arial" w:eastAsia="Arial" w:hAnsi="Arial"/>
          <w:sz w:val="18"/>
          <w:szCs w:val="18"/>
          <w:color w:val="auto"/>
        </w:rPr>
        <w:t>. Timely alerts on funding rounds and merger and acquisition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four editions: Elite, Advance, Professional, and Community, ranging from the most complete functionality to the least.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41" w:right="239" w:bottom="1440" w:gutter="0" w:footer="0" w:header="0"/>
        </w:sectPr>
      </w:pPr>
    </w:p>
    <w:bookmarkStart w:id="128" w:name="page129"/>
    <w:bookmarkEnd w:id="128"/>
    <w:p>
      <w:pPr>
        <w:ind w:firstLine="324"/>
        <w:spacing w:after="0" w:line="277" w:lineRule="auto"/>
        <w:rPr>
          <w:sz w:val="20"/>
          <w:szCs w:val="20"/>
          <w:color w:val="auto"/>
        </w:rPr>
      </w:pPr>
      <w:r>
        <w:rPr>
          <w:rFonts w:ascii="Arial" w:cs="Arial" w:eastAsia="Arial" w:hAnsi="Arial"/>
          <w:sz w:val="18"/>
          <w:szCs w:val="18"/>
          <w:color w:val="auto"/>
        </w:rPr>
        <w:t>Incremental to these editions, customers can benefit from additional functionality through add-ons or standalone products that serve a specific business need. Select examples of these include:</w:t>
      </w:r>
    </w:p>
    <w:p>
      <w:pPr>
        <w:spacing w:after="0" w:line="116" w:lineRule="exact"/>
        <w:rPr>
          <w:sz w:val="20"/>
          <w:szCs w:val="20"/>
          <w:color w:val="auto"/>
        </w:rPr>
      </w:pPr>
    </w:p>
    <w:p>
      <w:pPr>
        <w:jc w:val="both"/>
        <w:ind w:left="660" w:hanging="328"/>
        <w:spacing w:after="0" w:line="31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Record Subscriptions. </w:t>
      </w:r>
      <w:r>
        <w:rPr>
          <w:rFonts w:ascii="Arial" w:cs="Arial" w:eastAsia="Arial" w:hAnsi="Arial"/>
          <w:sz w:val="16"/>
          <w:szCs w:val="16"/>
          <w:color w:val="auto"/>
        </w:rPr>
        <w:t>Each product edition comes with an allowable number of records per user sufficient for typical sales use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92" w:lineRule="exact"/>
        <w:rPr>
          <w:rFonts w:ascii="Arial" w:cs="Arial" w:eastAsia="Arial" w:hAnsi="Arial"/>
          <w:sz w:val="16"/>
          <w:szCs w:val="16"/>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European Dataset. </w:t>
      </w:r>
      <w:r>
        <w:rPr>
          <w:rFonts w:ascii="Arial" w:cs="Arial" w:eastAsia="Arial" w:hAnsi="Arial"/>
          <w:sz w:val="18"/>
          <w:szCs w:val="18"/>
          <w:color w:val="auto"/>
        </w:rPr>
        <w:t>Gain access to contact and other data for businesses throughout Europe.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Enrich. </w:t>
      </w:r>
      <w:r>
        <w:rPr>
          <w:rFonts w:ascii="Arial" w:cs="Arial" w:eastAsia="Arial" w:hAnsi="Arial"/>
          <w:sz w:val="18"/>
          <w:szCs w:val="18"/>
          <w:color w:val="auto"/>
        </w:rPr>
        <w:t>Fills in data gaps and maintains the accuracy and completeness of data in customers’ go-to-market systems. Automatically cleans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appends new records generated in these go-to-market systems, in real time.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Engage. </w:t>
      </w:r>
      <w:r>
        <w:rPr>
          <w:rFonts w:ascii="Arial" w:cs="Arial" w:eastAsia="Arial" w:hAnsi="Arial"/>
          <w:sz w:val="17"/>
          <w:szCs w:val="17"/>
          <w:color w:val="auto"/>
        </w:rPr>
        <w:t>A sales engagement solution that enables direct outreach to prospects and customers. Functionality includes a dialer,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orchestration and templates, chat, custom multi-touch engagement sequences and activity syncing with go-to-market systems.</w:t>
      </w:r>
    </w:p>
    <w:p>
      <w:pPr>
        <w:spacing w:after="0" w:line="88"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ZoomInfo InboxAI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Mines email and calendar systems for contacts and activity, automatically synchronizing them with Salesforce. It also generates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AI-powered insights and recommendations to help teams manage opportunities and renewals.</w:t>
      </w:r>
    </w:p>
    <w:p>
      <w:pPr>
        <w:spacing w:after="0" w:line="1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Compliance API. </w:t>
      </w:r>
      <w:r>
        <w:rPr>
          <w:rFonts w:ascii="Arial" w:cs="Arial" w:eastAsia="Arial" w:hAnsi="Arial"/>
          <w:sz w:val="18"/>
          <w:szCs w:val="18"/>
          <w:color w:val="auto"/>
        </w:rPr>
        <w:t>Helps customers identify pertinent information, such as physical locations and other known aliases, for opt-out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pricing is based on the edition, number of users and add-on functionality of our platform that is purchased.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127" w:lineRule="exact"/>
        <w:rPr>
          <w:sz w:val="20"/>
          <w:szCs w:val="20"/>
          <w:color w:val="auto"/>
        </w:rPr>
      </w:pPr>
    </w:p>
    <w:p>
      <w:pPr>
        <w:jc w:val="both"/>
        <w:ind w:left="660" w:hanging="328"/>
        <w:spacing w:after="0" w:line="279"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w:t>
      </w:r>
      <w:r>
        <w:rPr>
          <w:rFonts w:ascii="Arial" w:cs="Arial" w:eastAsia="Arial" w:hAnsi="Arial"/>
          <w:sz w:val="17"/>
          <w:szCs w:val="17"/>
          <w:color w:val="auto"/>
        </w:rPr>
        <w:t>We foster an innovative, fast-paced engineering culture that enabled the release of 112 product features and services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ending September 30, 2019, including a new 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1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including the Google Cloud Platform, Amazon Web Services and Microsoft Azure,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along with our automated technology stack, we are able to scale workloads of varying sizes at any time. This allows us to process billions of data points each day from millions of data sources in our proprietary data engine.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Each of our application components is deployed redundantly across multiple data centers, and most of our software today runs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cloud infrastructure platform that provides automatic recovery from failures and auto-scaling to handle load spikes. We have also taken the first steps toward providing redundancy for cloud provider failures across our most critical applications.</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We encrypt all traffic, employ Zero Trust authentication wherever feasible, scan our code and dependencies for vulnerabilities and undergo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regular pen-testing. In addition, all user passwords are centrally managed.</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Finally, our integrations with our customers’ CRM and sales &amp; marketing automation systems are enabled by 11 out-of-the-box integrations, along with webhooks and custom code-run so any customer can build their own export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41" w:right="239" w:bottom="1440" w:gutter="0" w:footer="0" w:header="0"/>
        </w:sectPr>
      </w:pPr>
    </w:p>
    <w:bookmarkStart w:id="129" w:name="page130"/>
    <w:bookmarkEnd w:id="129"/>
    <w:p>
      <w:pPr>
        <w:jc w:val="both"/>
        <w:ind w:right="20"/>
        <w:spacing w:after="0" w:line="277" w:lineRule="auto"/>
        <w:rPr>
          <w:sz w:val="20"/>
          <w:szCs w:val="20"/>
          <w:color w:val="auto"/>
        </w:rPr>
      </w:pPr>
      <w:r>
        <w:rPr>
          <w:rFonts w:ascii="Arial" w:cs="Arial" w:eastAsia="Arial" w:hAnsi="Arial"/>
          <w:sz w:val="18"/>
          <w:szCs w:val="18"/>
          <w:color w:val="auto"/>
        </w:rPr>
        <w:t>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 and diversified customer base consists of over 13,000 customers spanning a wide variety of industry verticals, including technology, business services, financial services, telecommunications, media, internet, transportation, education, hospitality and manufacturing. Our customers range from the largest global enterprises, to mid-market companies, down to SMBs. As of September 30, 2019, we had over 500 customers with more than $100,000 of ACV. No single customer contributed more than 1% of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an extremely efficient go-to-market engine. We have integrated our insights and data into an automated engine with defined processes and specialized roles in order to market and sell our services.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inside sales team focuses on demand generation, sales development and qualification through inbound and outbound motions, and sales are made by account executives with dedicated target customer segments. In 2019, approximately 40% of all attributable new sales were generated from outbound sales motions.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account executives (“AEs”) are brought in to give demos and are responsible for closing business. AEs are segmented by target customer size. Once an AE closes business, the account gets passed to the learning and development team, who is responsible for onboarding and training new customers. Once onboarded, the customer success team is responsible for maintaining the account health score, which we define based on the usage of the platform. Finally, our team of account managers is responsible for renewal and ACV expansion.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go-to-market differentiation comes from our use of the ZoomInfo platform:</w:t>
      </w:r>
    </w:p>
    <w:p>
      <w:pPr>
        <w:spacing w:after="0" w:line="171" w:lineRule="exact"/>
        <w:rPr>
          <w:sz w:val="20"/>
          <w:szCs w:val="20"/>
          <w:color w:val="auto"/>
        </w:rPr>
      </w:pPr>
    </w:p>
    <w:p>
      <w:pPr>
        <w:jc w:val="both"/>
        <w:ind w:left="660" w:hanging="328"/>
        <w:spacing w:after="0" w:line="31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Optimized Revenue Generation. </w:t>
      </w:r>
      <w:r>
        <w:rPr>
          <w:rFonts w:ascii="Arial" w:cs="Arial" w:eastAsia="Arial" w:hAnsi="Arial"/>
          <w:sz w:val="16"/>
          <w:szCs w:val="16"/>
          <w:color w:val="auto"/>
        </w:rPr>
        <w:t>A new lead is first passed through our proprietary algorithms and is bucketed into different levels before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passed to our inbound team. Only high-quality leads are passed onto the sales development representatives (“SDRs”). The SDR and AE that are assigned to the particular lead are the ones predictively best qualified for that particular lead based on the past performance and capability.</w:t>
      </w:r>
    </w:p>
    <w:p>
      <w:pPr>
        <w:spacing w:after="0" w:line="92"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Potentiality Indicators. </w:t>
      </w:r>
      <w:r>
        <w:rPr>
          <w:rFonts w:ascii="Arial" w:cs="Arial" w:eastAsia="Arial" w:hAnsi="Arial"/>
          <w:sz w:val="18"/>
          <w:szCs w:val="18"/>
          <w:color w:val="auto"/>
        </w:rPr>
        <w:t>Using our platform, SDRs and AEs are immediately provided with the potentiality of the lead, as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likelihood of a win and the dollar amount associated with this win. This allows our SDRs and AEs to more effectively allocate their time and focus their energy appropriately on different leads.</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and Expand Prediction. </w:t>
      </w:r>
      <w:r>
        <w:rPr>
          <w:rFonts w:ascii="Arial" w:cs="Arial" w:eastAsia="Arial" w:hAnsi="Arial"/>
          <w:sz w:val="18"/>
          <w:szCs w:val="18"/>
          <w:color w:val="auto"/>
        </w:rPr>
        <w:t>Leveraging the comprehensive, real-time data from our platform, we are able to effectively target customers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potential to expand their spend with us. By identifying key indicators, we are able to leverage quick wins into large upsell opportunities, as evidenced by our net annual retention rate of 102% in 2018.</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leverage company attributes and insights, including technology stack, number of sales representatives, and size of marketing team, from our ZoomInfo platform to make our go-to-market motions effective and efficient. As a result, we have achieved our average sales cycle of 32 days from opportunity creation to close and average LTV to average CAC of over 10x in the nine months ended September 30,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Culture, and Values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mission is to unlock actionable business information and insights to make organizations more successful. The values we live and work by build the foundation for our award-winning culture.</w:t>
      </w:r>
    </w:p>
    <w:p>
      <w:pPr>
        <w:spacing w:after="0" w:line="116"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Winning…Is What Drives Us. </w:t>
      </w:r>
      <w:r>
        <w:rPr>
          <w:rFonts w:ascii="Arial" w:cs="Arial" w:eastAsia="Arial" w:hAnsi="Arial"/>
          <w:sz w:val="16"/>
          <w:szCs w:val="16"/>
          <w:color w:val="auto"/>
        </w:rPr>
        <w:t>We’re focused on stretch goals that we feel good about, and are laser-focused to blow those marks out of the water.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123</w:t>
      </w:r>
    </w:p>
    <w:p>
      <w:pPr>
        <w:sectPr>
          <w:pgSz w:w="11900" w:h="16838" w:orient="portrait"/>
          <w:cols w:equalWidth="0" w:num="1">
            <w:col w:w="11420"/>
          </w:cols>
          <w:pgMar w:left="240" w:top="341" w:right="239" w:bottom="1440" w:gutter="0" w:footer="0" w:header="0"/>
        </w:sectPr>
      </w:pPr>
    </w:p>
    <w:bookmarkStart w:id="130" w:name="page131"/>
    <w:bookmarkEnd w:id="130"/>
    <w:p>
      <w:pPr>
        <w:ind w:left="6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Have to Rapidly Innovate. </w:t>
      </w:r>
      <w:r>
        <w:rPr>
          <w:rFonts w:ascii="Arial" w:cs="Arial" w:eastAsia="Arial" w:hAnsi="Arial"/>
          <w:sz w:val="18"/>
          <w:szCs w:val="18"/>
          <w:color w:val="auto"/>
        </w:rPr>
        <w:t>We believe in challenging the status quo and refuse to stand by the words “that’s the way it has always been done.”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look beyond to see what is the most innovative, efficient, and effective way each and every day.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Believe in Getting Things Done. </w:t>
      </w:r>
      <w:r>
        <w:rPr>
          <w:rFonts w:ascii="Arial" w:cs="Arial" w:eastAsia="Arial" w:hAnsi="Arial"/>
          <w:sz w:val="18"/>
          <w:szCs w:val="18"/>
          <w:color w:val="auto"/>
        </w:rPr>
        <w:t>While having a plan is critical, we’re fundamental believers in balancing time for planning with the need to 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moving. To accomplish great feats, we need to get things done.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Like to Feel Uncomfortable. </w:t>
      </w:r>
      <w:r>
        <w:rPr>
          <w:rFonts w:ascii="Arial" w:cs="Arial" w:eastAsia="Arial" w:hAnsi="Arial"/>
          <w:sz w:val="18"/>
          <w:szCs w:val="18"/>
          <w:color w:val="auto"/>
        </w:rPr>
        <w:t>If we’re not uncomfortable, we’re not getting better. Discomfort is key to change, change is key to progress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 is the key to winning.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Crush It. </w:t>
      </w:r>
      <w:r>
        <w:rPr>
          <w:rFonts w:ascii="Arial" w:cs="Arial" w:eastAsia="Arial" w:hAnsi="Arial"/>
          <w:sz w:val="18"/>
          <w:szCs w:val="18"/>
          <w:color w:val="auto"/>
        </w:rPr>
        <w:t>We don’t just meet our goals, we take pride in going above and beyond whatever the goal may be.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wholeheartedly that our employees love working here and like coming to work because they feel that they’re working towards a larger mission. Our employee culture is showcased by the following notable distinctions:</w:t>
      </w:r>
    </w:p>
    <w:p>
      <w:pPr>
        <w:spacing w:after="0" w:line="116" w:lineRule="exact"/>
        <w:rPr>
          <w:sz w:val="20"/>
          <w:szCs w:val="20"/>
          <w:color w:val="auto"/>
        </w:rPr>
      </w:pPr>
    </w:p>
    <w:p>
      <w:pPr>
        <w:ind w:left="660" w:hanging="328"/>
        <w:spacing w:after="0" w:line="308"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Workplace Awards. </w:t>
      </w:r>
      <w:r>
        <w:rPr>
          <w:rFonts w:ascii="Arial" w:cs="Arial" w:eastAsia="Arial" w:hAnsi="Arial"/>
          <w:sz w:val="17"/>
          <w:szCs w:val="17"/>
          <w:color w:val="auto"/>
        </w:rPr>
        <w:t>Our strong culture is celebrated by our distinctions in the 2017 Inc. Magazine’s Top Companies to Work for, 2019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Magazine’s Best Workplaces, 2017 Fortune Best Small &amp; Medium Workplaces, and 2019 Fortune 100 Best Medium Workplaces.</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and Recognized Quality Brand. </w:t>
      </w:r>
      <w:r>
        <w:rPr>
          <w:rFonts w:ascii="Arial" w:cs="Arial" w:eastAsia="Arial" w:hAnsi="Arial"/>
          <w:sz w:val="18"/>
          <w:szCs w:val="18"/>
          <w:color w:val="auto"/>
        </w:rPr>
        <w:t>We were awarded the 2018 G2Crowd’s Top 100 best software companies, 2018 Inc. 5000’s Fastest-Growing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Companies, and 2015, 2016, 2017, and 2018 Deloitte’s Technology Fast 500. Our renowned brand has helped us garner exceptional talent to help us further our mission of revolutionizing the sales and marketing industry.</w:t>
      </w: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2019, we had 1,023 employees, consisting of 466 in engineering, product development, research and customer operations, 404 in sales, 67 in marketing and operations and 86 in general and administrative.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16" w:lineRule="exact"/>
        <w:rPr>
          <w:sz w:val="20"/>
          <w:szCs w:val="20"/>
          <w:color w:val="auto"/>
        </w:rPr>
      </w:pPr>
    </w:p>
    <w:p>
      <w:pPr>
        <w:ind w:left="660" w:right="2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legacy data providers, such as D&amp;B Hoovers and TechTarget, which focus on specific types of data sets (e.g., companies, attributes, or intent) but lack the combination of quality, depth, and coverage;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niche data providers, which focus on specific types of data sets but lack scale, quality, and coverage of data;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startups or less mature competitors who lack the investment, expertise, and resources to manage quality at scale and keep up with the pace of technological advancement.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factors that drive competition between vendors in the market include:</w:t>
      </w:r>
    </w:p>
    <w:p>
      <w:pPr>
        <w:spacing w:after="0" w:line="171"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comprehensive platform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quality and accuracy of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breadth and depth of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ease of use and deployment;</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tangible benefits and ROI for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341" w:right="239" w:bottom="1440" w:gutter="0" w:footer="0" w:header="0"/>
        </w:sectPr>
      </w:pPr>
    </w:p>
    <w:bookmarkStart w:id="131" w:name="page132"/>
    <w:bookmarkEnd w:id="131"/>
    <w:p>
      <w:pPr>
        <w:ind w:left="720" w:hanging="388"/>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ability to integrate with customers’ CRM and sales &amp; marketing automation systems; and</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sophistication of solutions used to manage, maintain and combine intelligence.</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Protection</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2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As of September 30, 2019, we had six issued patents in the United States, twenty three registered trademarks in the United States (including ZOOMINFO and DISCOVERORG, among others) and one registered copyright in the United States. We also have a portfolio of 322 registered domain names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133" w:lineRule="exact"/>
        <w:rPr>
          <w:sz w:val="20"/>
          <w:szCs w:val="20"/>
          <w:color w:val="auto"/>
        </w:rPr>
      </w:pPr>
    </w:p>
    <w:p>
      <w:pPr>
        <w:ind w:right="1880" w:firstLine="324"/>
        <w:spacing w:after="0" w:line="438" w:lineRule="auto"/>
        <w:rPr>
          <w:sz w:val="20"/>
          <w:szCs w:val="20"/>
          <w:color w:val="auto"/>
        </w:rPr>
      </w:pPr>
      <w:r>
        <w:rPr>
          <w:rFonts w:ascii="Arial" w:cs="Arial" w:eastAsia="Arial" w:hAnsi="Arial"/>
          <w:sz w:val="18"/>
          <w:szCs w:val="18"/>
          <w:color w:val="auto"/>
        </w:rPr>
        <w:t xml:space="preserve">We intend to pursue additional intellectual property protection to the extent we believe it would be beneficial and cost effective. </w:t>
      </w:r>
      <w:r>
        <w:rPr>
          <w:rFonts w:ascii="Arial" w:cs="Arial" w:eastAsia="Arial" w:hAnsi="Arial"/>
          <w:sz w:val="18"/>
          <w:szCs w:val="18"/>
          <w:b w:val="1"/>
          <w:bCs w:val="1"/>
          <w:color w:val="auto"/>
        </w:rPr>
        <w:t>Facilities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headquarters is located in Vancouver, Washington and consists of 57,576 square feet under a lease agreement that expires on August 31, 2025.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additional offices in the United States, including in Bethesda, Maryland and Waltham, Massachusetts, as well as in Israel.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341" w:right="239" w:bottom="1440" w:gutter="0" w:footer="0" w:header="0"/>
        </w:sectPr>
      </w:pPr>
    </w:p>
    <w:bookmarkStart w:id="132" w:name="page133"/>
    <w:bookmarkEnd w:id="132"/>
    <w:p>
      <w:pPr>
        <w:jc w:val="both"/>
        <w:ind w:firstLine="324"/>
        <w:spacing w:after="0" w:line="277" w:lineRule="auto"/>
        <w:rPr>
          <w:sz w:val="20"/>
          <w:szCs w:val="20"/>
          <w:color w:val="auto"/>
        </w:rPr>
      </w:pPr>
      <w:r>
        <w:rPr>
          <w:rFonts w:ascii="Arial" w:cs="Arial" w:eastAsia="Arial" w:hAnsi="Arial"/>
          <w:sz w:val="18"/>
          <w:szCs w:val="18"/>
          <w:color w:val="auto"/>
        </w:rPr>
        <w:t>We lease all of our facilities and do not own any real property. Our infrastructure operates out of third-party data centers hosted by Google and Amazon Web Services.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41"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names, ages and positions of the directors, director nominees and executive officers of ZoomInfo Technologies Inc.:</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672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Henry Schuck</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Cameron Hyzer</w:t>
            </w: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 Hays</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Revenue Officer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Nir Keren</w:t>
            </w: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Henry Schuck </w:t>
      </w:r>
      <w:r>
        <w:rPr>
          <w:rFonts w:ascii="Arial" w:cs="Arial" w:eastAsia="Arial" w:hAnsi="Arial"/>
          <w:sz w:val="18"/>
          <w:szCs w:val="18"/>
          <w:color w:val="auto"/>
        </w:rPr>
        <w:t>has served on our board of directors since November 14, 2019 and as our Chief Executive Officer since November 14, 2019.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served as Chief Executive Officer and a director of ZoomInfo OpCo (DiscoverOrg) since founding it in 2007. Prior to founding DiscoverOrg, Mr. Schuck was VP of Research &amp; Marketing at iProfile, a sales intelligence firm focused on the IT market. Mr. Schuck is a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graduate of the University of Nevada, Las Vegas with a B.S. in Business Administration and a B.S. in Hospitality Management and holds a J.D., </w:t>
      </w:r>
      <w:r>
        <w:rPr>
          <w:rFonts w:ascii="Arial" w:cs="Arial" w:eastAsia="Arial" w:hAnsi="Arial"/>
          <w:sz w:val="18"/>
          <w:szCs w:val="18"/>
          <w:i w:val="1"/>
          <w:iCs w:val="1"/>
          <w:color w:val="auto"/>
        </w:rPr>
        <w:t>cum laude</w:t>
      </w:r>
      <w:r>
        <w:rPr>
          <w:rFonts w:ascii="Arial" w:cs="Arial" w:eastAsia="Arial" w:hAnsi="Arial"/>
          <w:sz w:val="18"/>
          <w:szCs w:val="18"/>
          <w:color w:val="auto"/>
        </w:rPr>
        <w:t>, from The Ohio State University Moritz College of Law.</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Cameron Hyzer </w:t>
      </w:r>
      <w:r>
        <w:rPr>
          <w:rFonts w:ascii="Arial" w:cs="Arial" w:eastAsia="Arial" w:hAnsi="Arial"/>
          <w:sz w:val="17"/>
          <w:szCs w:val="17"/>
          <w:color w:val="auto"/>
        </w:rPr>
        <w:t>has served as our Chief Financial Officer since November 14, 2019 and as Chief Financial Officer of ZoomInfo OpCo since 2018.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joining ZoomInfo OpCo,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Chartered Financial Analyst charterholder.</w:t>
      </w:r>
    </w:p>
    <w:p>
      <w:pPr>
        <w:spacing w:after="0" w:line="12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Chris Hays </w:t>
      </w:r>
      <w:r>
        <w:rPr>
          <w:rFonts w:ascii="Arial" w:cs="Arial" w:eastAsia="Arial" w:hAnsi="Arial"/>
          <w:sz w:val="17"/>
          <w:szCs w:val="17"/>
          <w:color w:val="auto"/>
        </w:rPr>
        <w:t>has served as Chief Revenue Officer of ZoomInfo OpCo since February 2019 and as Senior Director of Sales &amp; Marketing Operations, VP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Operations and Chief Operating Officer from 2016 to 2019.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Nir Keren </w:t>
      </w:r>
      <w:r>
        <w:rPr>
          <w:rFonts w:ascii="Arial" w:cs="Arial" w:eastAsia="Arial" w:hAnsi="Arial"/>
          <w:sz w:val="18"/>
          <w:szCs w:val="18"/>
          <w:color w:val="auto"/>
        </w:rPr>
        <w:t>has served as Chief Technology Officer of ZoomInfo OpCo since 2019, after serving as Chief Technology Officer at Pre-Acquisition ZI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Prior to joining Pre-Acquisition ZI, Mr. Keren 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After this Offering</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We intend to enter into a stockholders agreement with certain affiliates of our Sponsors in connection with this offering. This agreement will grant our Founders and each of our Sponsors the right to designate nominees to our board of directors subject to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337" w:right="239" w:bottom="1440" w:gutter="0" w:footer="0" w:header="0"/>
        </w:sectPr>
      </w:pPr>
    </w:p>
    <w:bookmarkStart w:id="134" w:name="page135"/>
    <w:bookmarkEnd w:id="134"/>
    <w:p>
      <w:pPr>
        <w:ind w:right="1100"/>
        <w:spacing w:after="0" w:line="438" w:lineRule="auto"/>
        <w:rPr>
          <w:sz w:val="20"/>
          <w:szCs w:val="20"/>
          <w:color w:val="auto"/>
        </w:rPr>
      </w:pPr>
      <w:r>
        <w:rPr>
          <w:rFonts w:ascii="Arial" w:cs="Arial" w:eastAsia="Arial" w:hAnsi="Arial"/>
          <w:sz w:val="18"/>
          <w:szCs w:val="18"/>
          <w:color w:val="auto"/>
        </w:rPr>
        <w:t xml:space="preserve">maintenance of certain ownership requirements in us. See “Certain Relationships and Related Person Transactions—Stockholders Agreement.” </w:t>
      </w:r>
      <w:r>
        <w:rPr>
          <w:rFonts w:ascii="Arial" w:cs="Arial" w:eastAsia="Arial" w:hAnsi="Arial"/>
          <w:sz w:val="18"/>
          <w:szCs w:val="18"/>
          <w:b w:val="1"/>
          <w:bCs w:val="1"/>
          <w:color w:val="auto"/>
        </w:rPr>
        <w:t>Background and Experience of Directors</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When considering whether directors and director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and director nominees’ individual biographies set forth above. We believe that our directors and director nominees provide an appropriate mix of experience and skills relevant to the size and nature of our business. In particular, the members of our board of directors considered the following important characteristics, among others: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Schuck – our board of directors considered Mr. Schuck’s perspective and experience he brings as our co-founder and CEO.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Exception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After the completion of this offering, our Sponsors will be parties to a Stockholders Agreement, described in “Certain Relationships and Related Person Transactions—Stockholders Agreement” and will beneficially own approximately % of the combined voting power of our Class A and Class B common stock (or % if the underwriters exercise in full their option to purchase additional shares of Class A common stock). As a result, we will be a “controlled company” within the meaning of the corporate governance standards. Under these corporate governance standards, a company of which more than 50%</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3"/>
          <w:szCs w:val="13"/>
          <w:color w:val="auto"/>
        </w:rPr>
        <w:t>of the voting power for the election of directors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Accordingly, you will not have the same protections afforded to stockholders of companies that are subject to these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In the event that we cease to be a “controlled company” and our shares continue to be listed on , we will be required to comply with these provisions within the applicable transition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prior to the completion of this offering, our board of directors will establish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420"/>
          </w:cols>
          <w:pgMar w:left="240" w:top="341" w:right="2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completion of this offering, we expect our audit committee will consist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 with</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serving as</w:t>
      </w:r>
    </w:p>
    <w:p>
      <w:pPr>
        <w:spacing w:after="0" w:line="46" w:lineRule="exact"/>
        <w:rPr>
          <w:sz w:val="20"/>
          <w:szCs w:val="20"/>
          <w:color w:val="auto"/>
        </w:rPr>
      </w:pPr>
    </w:p>
    <w:p>
      <w:pPr>
        <w:sectPr>
          <w:pgSz w:w="11900" w:h="16838" w:orient="portrait"/>
          <w:cols w:equalWidth="0" w:num="5">
            <w:col w:w="6340" w:space="720"/>
            <w:col w:w="300" w:space="720"/>
            <w:col w:w="460" w:space="720"/>
            <w:col w:w="700" w:space="720"/>
            <w:col w:w="740"/>
          </w:cols>
          <w:pgMar w:left="240" w:top="3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chair. Our audit committee will be responsible for, among other things:</w:t>
      </w:r>
    </w:p>
    <w:p>
      <w:pPr>
        <w:sectPr>
          <w:pgSz w:w="11900" w:h="16838" w:orient="portrait"/>
          <w:cols w:equalWidth="0" w:num="1">
            <w:col w:w="11420"/>
          </w:cols>
          <w:pgMar w:left="240" w:top="341" w:right="239" w:bottom="1440" w:gutter="0" w:footer="0" w:header="0"/>
          <w:type w:val="continuous"/>
        </w:sectPr>
      </w:pPr>
    </w:p>
    <w:p>
      <w:pPr>
        <w:spacing w:after="0" w:line="180"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selecting and hiring our independent auditors and approving the audit and non-audit services to be performed by our independent auditors;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assisting the board of directors in evaluating the qualifications, performance, and independence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assisting the board of directors in monitoring the quality and integrity of our financial statements and our accounting and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341" w:right="239" w:bottom="1440" w:gutter="0" w:footer="0" w:header="0"/>
          <w:type w:val="continuous"/>
        </w:sectPr>
      </w:pPr>
    </w:p>
    <w:bookmarkStart w:id="135" w:name="page136"/>
    <w:bookmarkEnd w:id="135"/>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assisting the board of directors in monitoring 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 processes;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assisting the board of directors in monitoring the performance of our internal audit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auditors our annual and quarterly financial statements;</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preparing the audit committee report that the rules and regulations of the SEC require to be included in our annual proxy statement.</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SEC rules and rules require us to have one independent audit committee member upon the listing of our Class A common stock on the , a majority of independent directors within 90 days of the effective date of the registration statement and all independent audit committee members within one</w:t>
      </w:r>
    </w:p>
    <w:p>
      <w:pPr>
        <w:spacing w:after="0" w:line="261" w:lineRule="auto"/>
        <w:rPr>
          <w:sz w:val="20"/>
          <w:szCs w:val="20"/>
          <w:color w:val="auto"/>
        </w:rPr>
      </w:pPr>
      <w:r>
        <w:rPr>
          <w:rFonts w:ascii="Arial" w:cs="Arial" w:eastAsia="Arial" w:hAnsi="Arial"/>
          <w:sz w:val="18"/>
          <w:szCs w:val="18"/>
          <w:color w:val="auto"/>
        </w:rPr>
        <w:t>year of the effective date of the registration statement. and qualify as independent directors under the listing standards and the independence standards of Rule 10A-3 of the Exchange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420"/>
          </w:cols>
          <w:pgMar w:left="240" w:top="341" w:right="2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completion of this offering, we expect our compensation committee will consist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 with</w:t>
      </w:r>
    </w:p>
    <w:p>
      <w:pPr>
        <w:spacing w:after="0" w:line="35" w:lineRule="exact"/>
        <w:rPr>
          <w:sz w:val="20"/>
          <w:szCs w:val="20"/>
          <w:color w:val="auto"/>
        </w:rPr>
      </w:pPr>
    </w:p>
    <w:p>
      <w:pPr>
        <w:sectPr>
          <w:pgSz w:w="11900" w:h="16838" w:orient="portrait"/>
          <w:cols w:equalWidth="0" w:num="4">
            <w:col w:w="7020" w:space="720"/>
            <w:col w:w="320" w:space="720"/>
            <w:col w:w="520" w:space="720"/>
            <w:col w:w="1400"/>
          </w:cols>
          <w:pgMar w:left="240" w:top="3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serving as chair. Our compensation committee will be responsible for, among other things:</w:t>
      </w:r>
    </w:p>
    <w:p>
      <w:pPr>
        <w:sectPr>
          <w:pgSz w:w="11900" w:h="16838" w:orient="portrait"/>
          <w:cols w:equalWidth="0" w:num="1">
            <w:col w:w="11420"/>
          </w:cols>
          <w:pgMar w:left="240" w:top="341" w:right="239" w:bottom="1440" w:gutter="0" w:footer="0" w:header="0"/>
          <w:type w:val="continuous"/>
        </w:sectPr>
      </w:pPr>
    </w:p>
    <w:p>
      <w:pPr>
        <w:spacing w:after="0" w:line="180" w:lineRule="exact"/>
        <w:rPr>
          <w:sz w:val="20"/>
          <w:szCs w:val="20"/>
          <w:color w:val="auto"/>
        </w:rPr>
      </w:pPr>
    </w:p>
    <w:p>
      <w:pPr>
        <w:jc w:val="both"/>
        <w:ind w:left="660" w:hanging="328"/>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reviewing and discussing with management our “Compensation Discussion and Analysis” disclosure when such disclosure is required by SEC rules;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preparing the compensation committee report to be included in our annual proxy statement when such report is required by SEC rules;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ectPr>
          <w:pgSz w:w="11900" w:h="16838" w:orient="portrait"/>
          <w:cols w:equalWidth="0" w:num="1">
            <w:col w:w="11420"/>
          </w:cols>
          <w:pgMar w:left="240" w:top="341" w:right="239" w:bottom="1440" w:gutter="0" w:footer="0" w:header="0"/>
          <w:type w:val="continuous"/>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72"/>
        <w:spacing w:after="0" w:line="277" w:lineRule="auto"/>
        <w:rPr>
          <w:sz w:val="20"/>
          <w:szCs w:val="20"/>
          <w:color w:val="auto"/>
        </w:rPr>
      </w:pPr>
      <w:r>
        <w:rPr>
          <w:rFonts w:ascii="Arial" w:cs="Arial" w:eastAsia="Arial" w:hAnsi="Arial"/>
          <w:sz w:val="18"/>
          <w:szCs w:val="18"/>
          <w:color w:val="auto"/>
        </w:rPr>
        <w:t>completion of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66"/>
        <w:spacing w:after="0" w:line="277" w:lineRule="auto"/>
        <w:rPr>
          <w:sz w:val="20"/>
          <w:szCs w:val="20"/>
          <w:color w:val="auto"/>
        </w:rPr>
      </w:pPr>
      <w:r>
        <w:rPr>
          <w:rFonts w:ascii="Arial" w:cs="Arial" w:eastAsia="Arial" w:hAnsi="Arial"/>
          <w:sz w:val="18"/>
          <w:szCs w:val="18"/>
          <w:color w:val="auto"/>
        </w:rPr>
        <w:t>this offering, we , with</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 our nominating and corporate governance committee will consist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serving as chair. The nominating and corporate governance committee is responsible for, among other things: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32" w:lineRule="exact"/>
        <w:rPr>
          <w:sz w:val="20"/>
          <w:szCs w:val="20"/>
          <w:color w:val="auto"/>
        </w:rPr>
      </w:pPr>
    </w:p>
    <w:p>
      <w:pPr>
        <w:sectPr>
          <w:pgSz w:w="11900" w:h="16838" w:orient="portrait"/>
          <w:cols w:equalWidth="0" w:num="5">
            <w:col w:w="740" w:space="160"/>
            <w:col w:w="1000" w:space="160"/>
            <w:col w:w="1240" w:space="80"/>
            <w:col w:w="7860" w:space="140"/>
            <w:col w:w="40"/>
          </w:cols>
          <w:pgMar w:left="240" w:top="341" w:right="239" w:bottom="1440" w:gutter="0" w:footer="0" w:header="0"/>
          <w:type w:val="continuous"/>
        </w:sectPr>
      </w:pPr>
    </w:p>
    <w:p>
      <w:pPr>
        <w:ind w:left="660" w:hanging="328"/>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assisting our board of directors in identifying prospective director nominees and recommending nominees to the board of directors;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341" w:right="239" w:bottom="1440" w:gutter="0" w:footer="0" w:header="0"/>
          <w:type w:val="continuous"/>
        </w:sectPr>
      </w:pPr>
    </w:p>
    <w:bookmarkStart w:id="136" w:name="page137"/>
    <w:bookmarkEnd w:id="136"/>
    <w:p>
      <w:pPr>
        <w:ind w:left="660" w:hanging="328"/>
        <w:spacing w:after="0"/>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reviewing developments in corporate governance practices and developing and recommending a set of corporate governance guidelines;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recommending members for each committee of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adopt a new Code of Business Conduct and Ethics that applies to all of our officers, directors, and employees, including our principal executive officer, principal financial officer, principal accounting officer, and 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34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table provides summary information concerning compensation earned by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 Incentive</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8"/>
                <w:szCs w:val="8"/>
                <w:b w:val="1"/>
                <w:bCs w:val="1"/>
                <w:color w:val="auto"/>
              </w:rPr>
              <w:t>(1)</w:t>
            </w: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8"/>
                <w:szCs w:val="8"/>
                <w:b w:val="1"/>
                <w:bCs w:val="1"/>
                <w:color w:val="auto"/>
              </w:rPr>
              <w:t>(2)</w:t>
            </w:r>
          </w:p>
        </w:tc>
        <w:tc>
          <w:tcPr>
            <w:tcW w:w="124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Plan Compensation ($)</w:t>
            </w:r>
          </w:p>
        </w:tc>
        <w:tc>
          <w:tcPr>
            <w:tcW w:w="1580" w:type="dxa"/>
            <w:vAlign w:val="bottom"/>
            <w:gridSpan w:val="2"/>
            <w:vMerge w:val="continue"/>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 ($)</w:t>
            </w:r>
            <w:r>
              <w:rPr>
                <w:rFonts w:ascii="Arial" w:cs="Arial" w:eastAsia="Arial" w:hAnsi="Arial"/>
                <w:sz w:val="8"/>
                <w:szCs w:val="8"/>
                <w:b w:val="1"/>
                <w:bCs w:val="1"/>
                <w:color w:val="auto"/>
              </w:rPr>
              <w:t>(6)</w:t>
            </w:r>
          </w:p>
        </w:tc>
        <w:tc>
          <w:tcPr>
            <w:tcW w:w="0" w:type="dxa"/>
            <w:vAlign w:val="bottom"/>
          </w:tcPr>
          <w:p>
            <w:pPr>
              <w:spacing w:after="0"/>
              <w:rPr>
                <w:sz w:val="1"/>
                <w:szCs w:val="1"/>
                <w:color w:val="auto"/>
              </w:rPr>
            </w:pPr>
          </w:p>
        </w:tc>
      </w:tr>
      <w:tr>
        <w:trPr>
          <w:trHeight w:val="162"/>
        </w:trPr>
        <w:tc>
          <w:tcPr>
            <w:tcW w:w="2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 xml:space="preserve"> (3)</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Compensation ($)</w:t>
            </w:r>
            <w:r>
              <w:rPr>
                <w:rFonts w:ascii="Arial" w:cs="Arial" w:eastAsia="Arial" w:hAnsi="Arial"/>
                <w:sz w:val="8"/>
                <w:szCs w:val="8"/>
                <w:b w:val="1"/>
                <w:bCs w:val="1"/>
                <w:color w:val="auto"/>
                <w:w w:val="92"/>
              </w:rPr>
              <w:t>(5)</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40" w:type="dxa"/>
            <w:vAlign w:val="bottom"/>
            <w:tcBorders>
              <w:top w:val="single" w:sz="8" w:color="auto"/>
            </w:tcBorders>
            <w:shd w:val="clear" w:color="auto" w:fill="CCEEFF"/>
          </w:tcPr>
          <w:p>
            <w:pPr>
              <w:ind w:left="160"/>
              <w:spacing w:after="0" w:line="151" w:lineRule="exact"/>
              <w:rPr>
                <w:sz w:val="20"/>
                <w:szCs w:val="20"/>
                <w:color w:val="auto"/>
              </w:rPr>
            </w:pPr>
            <w:r>
              <w:rPr>
                <w:rFonts w:ascii="Arial" w:cs="Arial" w:eastAsia="Arial" w:hAnsi="Arial"/>
                <w:sz w:val="14"/>
                <w:szCs w:val="14"/>
                <w:color w:val="auto"/>
              </w:rPr>
              <w:t>Henry Schuck</w:t>
            </w:r>
          </w:p>
        </w:tc>
        <w:tc>
          <w:tcPr>
            <w:tcW w:w="1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371,539</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4,482,692</w:t>
            </w:r>
          </w:p>
        </w:tc>
        <w:tc>
          <w:tcPr>
            <w:tcW w:w="1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7,380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4,861,611</w:t>
            </w:r>
          </w:p>
        </w:tc>
        <w:tc>
          <w:tcPr>
            <w:tcW w:w="0" w:type="dxa"/>
            <w:vAlign w:val="bottom"/>
          </w:tcPr>
          <w:p>
            <w:pPr>
              <w:spacing w:after="0"/>
              <w:rPr>
                <w:sz w:val="1"/>
                <w:szCs w:val="1"/>
                <w:color w:val="auto"/>
              </w:rPr>
            </w:pPr>
          </w:p>
        </w:tc>
      </w:tr>
      <w:tr>
        <w:trPr>
          <w:trHeight w:val="282"/>
        </w:trPr>
        <w:tc>
          <w:tcPr>
            <w:tcW w:w="26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350,000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175,000</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5,755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530,755</w:t>
            </w:r>
          </w:p>
        </w:tc>
        <w:tc>
          <w:tcPr>
            <w:tcW w:w="0" w:type="dxa"/>
            <w:vAlign w:val="bottom"/>
          </w:tcPr>
          <w:p>
            <w:pPr>
              <w:spacing w:after="0"/>
              <w:rPr>
                <w:sz w:val="1"/>
                <w:szCs w:val="1"/>
                <w:color w:val="auto"/>
              </w:rPr>
            </w:pPr>
          </w:p>
        </w:tc>
      </w:tr>
      <w:tr>
        <w:trPr>
          <w:trHeight w:val="157"/>
        </w:trPr>
        <w:tc>
          <w:tcPr>
            <w:tcW w:w="2640" w:type="dxa"/>
            <w:vAlign w:val="bottom"/>
          </w:tcPr>
          <w:p>
            <w:pPr>
              <w:ind w:left="160"/>
              <w:spacing w:after="0" w:line="157" w:lineRule="exact"/>
              <w:rPr>
                <w:sz w:val="20"/>
                <w:szCs w:val="20"/>
                <w:color w:val="auto"/>
              </w:rPr>
            </w:pPr>
            <w:r>
              <w:rPr>
                <w:rFonts w:ascii="Arial" w:cs="Arial" w:eastAsia="Arial" w:hAnsi="Arial"/>
                <w:sz w:val="14"/>
                <w:szCs w:val="14"/>
                <w:color w:val="auto"/>
              </w:rPr>
              <w:t>Cameron Hyzer</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400,000</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43,750</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17,100</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460,850</w:t>
            </w: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50,000</w:t>
            </w: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4,075,174</w:t>
            </w:r>
          </w:p>
        </w:tc>
        <w:tc>
          <w:tcPr>
            <w:tcW w:w="1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43,000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4,168,174</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Chris Hays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Chief Revenue Officer</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362,901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112,500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3,932,004</w:t>
            </w: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1,973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4,409,378</w:t>
            </w:r>
          </w:p>
        </w:tc>
        <w:tc>
          <w:tcPr>
            <w:tcW w:w="0" w:type="dxa"/>
            <w:vAlign w:val="bottom"/>
          </w:tcPr>
          <w:p>
            <w:pPr>
              <w:spacing w:after="0"/>
              <w:rPr>
                <w:sz w:val="1"/>
                <w:szCs w:val="1"/>
                <w:color w:val="auto"/>
              </w:rPr>
            </w:pPr>
          </w:p>
        </w:tc>
      </w:tr>
      <w:tr>
        <w:trPr>
          <w:trHeight w:val="258"/>
        </w:trPr>
        <w:tc>
          <w:tcPr>
            <w:tcW w:w="2640" w:type="dxa"/>
            <w:vAlign w:val="bottom"/>
          </w:tcPr>
          <w:p>
            <w:pPr>
              <w:spacing w:after="0"/>
              <w:rPr>
                <w:sz w:val="22"/>
                <w:szCs w:val="22"/>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197,705</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60,000</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1,128,089</w:t>
            </w:r>
          </w:p>
        </w:tc>
        <w:tc>
          <w:tcPr>
            <w:tcW w:w="1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60,000</w:t>
            </w:r>
          </w:p>
        </w:tc>
        <w:tc>
          <w:tcPr>
            <w:tcW w:w="1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6"/>
              </w:rPr>
              <w:t>2,603</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1,448,397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394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jc w:val="both"/>
        <w:ind w:left="340" w:hanging="332"/>
        <w:spacing w:after="0" w:line="260" w:lineRule="auto"/>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 reported for 2018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w:t>
      </w:r>
    </w:p>
    <w:p>
      <w:pPr>
        <w:jc w:val="both"/>
        <w:ind w:left="340" w:hanging="332"/>
        <w:spacing w:after="0" w:line="24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annual discretionary bonus payable to Mr. Schuck for 2019, if any, is not calculable as of the date of this prospectus and is expected to be determined in February 2020. The amounts reported for Mr. Hays represent special discretionary bonuses paid to him in 2018 and 2019. See “—Narrative Disclosure to Summary Compensation Table—Special Bonus.”</w:t>
      </w:r>
    </w:p>
    <w:p>
      <w:pPr>
        <w:spacing w:after="0" w:line="1" w:lineRule="exact"/>
        <w:rPr>
          <w:rFonts w:ascii="Arial" w:cs="Arial" w:eastAsia="Arial" w:hAnsi="Arial"/>
          <w:sz w:val="14"/>
          <w:szCs w:val="14"/>
          <w:color w:val="auto"/>
        </w:rPr>
      </w:pPr>
    </w:p>
    <w:p>
      <w:pPr>
        <w:ind w:left="340"/>
        <w:spacing w:after="0" w:line="241" w:lineRule="auto"/>
        <w:rPr>
          <w:rFonts w:ascii="Arial" w:cs="Arial" w:eastAsia="Arial" w:hAnsi="Arial"/>
          <w:sz w:val="14"/>
          <w:szCs w:val="14"/>
          <w:color w:val="auto"/>
        </w:rPr>
      </w:pPr>
      <w:r>
        <w:rPr>
          <w:rFonts w:ascii="Arial" w:cs="Arial" w:eastAsia="Arial" w:hAnsi="Arial"/>
          <w:sz w:val="14"/>
          <w:szCs w:val="14"/>
          <w:color w:val="auto"/>
        </w:rPr>
        <w:t>The amount reported for 2018 for Mr. Schuck represents his annual discretionary bonus for 2018. See “—Narrative Disclosure to Summary Compensation Table—Annual Bonus/Non-Equity Incentive Plan Compensation.”</w:t>
      </w:r>
    </w:p>
    <w:p>
      <w:pPr>
        <w:jc w:val="both"/>
        <w:ind w:left="340" w:hanging="332"/>
        <w:spacing w:after="0" w:line="260" w:lineRule="auto"/>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w:t>
      </w:r>
    </w:p>
    <w:p>
      <w:pPr>
        <w:jc w:val="both"/>
        <w:ind w:left="340" w:right="20"/>
        <w:spacing w:after="0" w:line="241" w:lineRule="auto"/>
        <w:rPr>
          <w:sz w:val="20"/>
          <w:szCs w:val="20"/>
          <w:color w:val="auto"/>
        </w:rPr>
      </w:pPr>
      <w:r>
        <w:rPr>
          <w:rFonts w:ascii="Arial" w:cs="Arial" w:eastAsia="Arial" w:hAnsi="Arial"/>
          <w:sz w:val="14"/>
          <w:szCs w:val="14"/>
          <w:color w:val="auto"/>
        </w:rPr>
        <w:t>The assumptions used in calculating the grant date fair value of these Class P Units, HSKB Units and HSKB Phantom Units reported in this column are set forth in Note to our audited consolidated financial statements included elsewhere in this prospectus.</w:t>
      </w:r>
    </w:p>
    <w:p>
      <w:pPr>
        <w:spacing w:after="0" w:line="1" w:lineRule="exact"/>
        <w:rPr>
          <w:sz w:val="20"/>
          <w:szCs w:val="20"/>
          <w:color w:val="auto"/>
        </w:rPr>
      </w:pPr>
    </w:p>
    <w:p>
      <w:pPr>
        <w:jc w:val="both"/>
        <w:ind w:left="340"/>
        <w:spacing w:after="0" w:line="260" w:lineRule="auto"/>
        <w:rPr>
          <w:sz w:val="20"/>
          <w:szCs w:val="20"/>
          <w:color w:val="auto"/>
        </w:rPr>
      </w:pPr>
      <w:r>
        <w:rPr>
          <w:rFonts w:ascii="Arial" w:cs="Arial" w:eastAsia="Arial" w:hAnsi="Arial"/>
          <w:sz w:val="13"/>
          <w:szCs w:val="13"/>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$1,020,097 and $269,276, respectively.</w:t>
      </w:r>
    </w:p>
    <w:p>
      <w:pPr>
        <w:jc w:val="both"/>
        <w:ind w:left="340"/>
        <w:spacing w:after="0" w:line="260" w:lineRule="auto"/>
        <w:rPr>
          <w:sz w:val="20"/>
          <w:szCs w:val="20"/>
          <w:color w:val="auto"/>
        </w:rPr>
      </w:pPr>
      <w:r>
        <w:rPr>
          <w:rFonts w:ascii="Arial" w:cs="Arial" w:eastAsia="Arial" w:hAnsi="Arial"/>
          <w:sz w:val="13"/>
          <w:szCs w:val="13"/>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The HSKB Units and the HSKB Phantom Units were accounted for under ASC Topic 505 as they were deemed granted to non-employees of the issuing entity. The assumptions used in calculating the grant date fair value of these Class P Units and the estimated fair value of these HSKB Units reported in this column are set forth in Note 9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in to Mr. Hays in 2018 was $598,600. In addition, the amount reported for 2018 for Mr. Hays includes the incremental fair value of $566,962.99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spacing w:after="0" w:line="1" w:lineRule="exact"/>
        <w:rPr>
          <w:sz w:val="20"/>
          <w:szCs w:val="20"/>
          <w:color w:val="auto"/>
        </w:rPr>
      </w:pPr>
    </w:p>
    <w:p>
      <w:pPr>
        <w:ind w:left="340" w:hanging="332"/>
        <w:spacing w:after="0" w:line="255"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amount reported for 2018 represent the dollar value of the annual cash incentive award earned by Mr. Hays. See “—Narrative Disclosure to Summary Compensation Table—Annual Bonus/Non-Equity Incentive Plan Compensation.” The amount payable with respect to Messrs.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337" w:right="239" w:bottom="1440" w:gutter="0" w:footer="0" w:header="0"/>
        </w:sectPr>
      </w:pPr>
    </w:p>
    <w:bookmarkStart w:id="138" w:name="page139"/>
    <w:bookmarkEnd w:id="138"/>
    <w:p>
      <w:pPr>
        <w:ind w:left="340"/>
        <w:spacing w:after="0"/>
        <w:rPr>
          <w:sz w:val="20"/>
          <w:szCs w:val="20"/>
          <w:color w:val="auto"/>
        </w:rPr>
      </w:pPr>
      <w:r>
        <w:rPr>
          <w:rFonts w:ascii="Arial" w:cs="Arial" w:eastAsia="Arial" w:hAnsi="Arial"/>
          <w:sz w:val="14"/>
          <w:szCs w:val="14"/>
          <w:color w:val="auto"/>
        </w:rPr>
        <w:t>Hays’s and Hyzer’s annual cash incentive awards for 2019, if any, is not calculable as of the date of this prospectus and is expected to be determined in February 2020.</w:t>
      </w:r>
    </w:p>
    <w:p>
      <w:pPr>
        <w:spacing w:after="0" w:line="28" w:lineRule="exact"/>
        <w:rPr>
          <w:sz w:val="20"/>
          <w:szCs w:val="20"/>
          <w:color w:val="auto"/>
        </w:rPr>
      </w:pPr>
    </w:p>
    <w:p>
      <w:pPr>
        <w:jc w:val="both"/>
        <w:ind w:left="340" w:hanging="332"/>
        <w:spacing w:after="0" w:line="245"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amounts reported for 2019 represent our 401(k) plan matching contributions on behalf of our NEOs in the following amounts: Mr. Schuck, $5,800; Mr. Hyzer, $2,100; and Mr. Hays, $1,973. The amount reported for Mr. Schuck for 2019 also includes an employee referral bonus of $1,500. The amounts reported for Mr. Hyzer for 2018 and 2019 also include a temporary housing and commuting allowance in the amounts of $3,000 and $15,000,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ind w:left="340" w:hanging="332"/>
        <w:spacing w:after="0" w:line="255"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Total amounts reported do not include annual discretionary bonuses or annual cash incentive awards payable to our NEOs for 2019, if any, which are not calculable as of the date of this prospectus and are expected to be determined in February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entered into an employment agreement with each of Mr. Hyzer and Mr. Hays, in each case, that governs the terms of employment of each such named executive officer. Mr. Schuck is not currently party to an employment agreement with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provides for reimbursement to Mr. Hyzer of up to $40,000 in reasonable, out-of-pocket expenses incurred in relocating to Vancouver, Washington, including the cost of airfare for Mr. Hyzer and any member of his immediate family.</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 Termination and Change in Control Provisions” for a description of the severance benefits to which Mr. Hyzer is entitled in the event of a qualifying termination of his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Pursuant to Mr. Hays’s employment agreement, dated August 26, 2018, as amended on May 28, 2019, he is entitled to a base salary of $360,000.</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Hays is an at-will employee with no fixed contractual term of employment; either party to his employment agreement may terminate his employment at any time, with or without cause or prior notice.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364" w:right="239" w:bottom="1440" w:gutter="0" w:footer="0" w:header="0"/>
        </w:sectPr>
      </w:pPr>
    </w:p>
    <w:bookmarkStart w:id="139" w:name="page140"/>
    <w:bookmarkEnd w:id="139"/>
    <w:p>
      <w:pPr>
        <w:jc w:val="both"/>
        <w:ind w:firstLine="324"/>
        <w:spacing w:after="0" w:line="342" w:lineRule="auto"/>
        <w:rPr>
          <w:sz w:val="20"/>
          <w:szCs w:val="20"/>
          <w:color w:val="auto"/>
        </w:rPr>
      </w:pPr>
      <w:r>
        <w:rPr>
          <w:rFonts w:ascii="Arial" w:cs="Arial" w:eastAsia="Arial" w:hAnsi="Arial"/>
          <w:sz w:val="16"/>
          <w:szCs w:val="16"/>
          <w:color w:val="auto"/>
        </w:rPr>
        <w:t>Mr. Hays is subject to the following restrictive covenants: (i) confidentiality during employment and at all times following termination and (ii) non-solicitation of customers, non-solicitation of employees, and non-competition during employment and for one year following termination of his employment.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Bonus/Non-Equity Incentive Plan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w:t>
      </w:r>
      <w:r>
        <w:rPr>
          <w:rFonts w:ascii="Arial" w:cs="Arial" w:eastAsia="Arial" w:hAnsi="Arial"/>
          <w:sz w:val="18"/>
          <w:szCs w:val="18"/>
          <w:i w:val="1"/>
          <w:iCs w:val="1"/>
          <w:color w:val="auto"/>
        </w:rPr>
        <w:t>Mr. Schuck</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2018 Mr. Schuck was eligible to receive a discretionary cash bonus of $175,000. Based on our overall performance in 2018, our board of directors determined to pay Mr. Schuck such discretionary cash bonus. For 2019 Mr. Schuck is eligible to receive a discretionary cash bonus of $350,000. We expect our board of directors to determine in February 2020 whether Mr. Schuck will receive a payment with respect to this discretionary bonus for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r>
        <w:rPr>
          <w:rFonts w:ascii="Arial" w:cs="Arial" w:eastAsia="Arial" w:hAnsi="Arial"/>
          <w:sz w:val="18"/>
          <w:szCs w:val="18"/>
          <w:color w:val="auto"/>
        </w:rPr>
        <w:t>—</w:t>
      </w:r>
      <w:r>
        <w:rPr>
          <w:rFonts w:ascii="Arial" w:cs="Arial" w:eastAsia="Arial" w:hAnsi="Arial"/>
          <w:sz w:val="18"/>
          <w:szCs w:val="18"/>
          <w:i w:val="1"/>
          <w:iCs w:val="1"/>
          <w:color w:val="auto"/>
        </w:rPr>
        <w:t>Messrs. Hyzer and Hays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make incentive cash bonus opportunities available to Messrs. Hyzer and Hays to motivate their achievement of performance goals and tie a portion of their cash compensation to performance.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2019, Mr. Hays is eligible to receive a cash incentive bonus of $60,000 if the Company achieves a threshold total contract value during 2019 and an incentive bonus of $1 million if the Company achieves a target total contract value during 2019.</w:t>
      </w:r>
    </w:p>
    <w:p>
      <w:pPr>
        <w:spacing w:after="0" w:line="116"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7"/>
          <w:szCs w:val="17"/>
          <w:color w:val="auto"/>
        </w:rPr>
        <w:t xml:space="preserve">See “ </w:t>
      </w:r>
      <w:r>
        <w:rPr>
          <w:rFonts w:ascii="Arial" w:cs="Arial" w:eastAsia="Arial" w:hAnsi="Arial"/>
          <w:sz w:val="13"/>
          <w:szCs w:val="13"/>
          <w:color w:val="auto"/>
        </w:rPr>
        <w:t>—</w:t>
      </w:r>
      <w:r>
        <w:rPr>
          <w:rFonts w:ascii="Arial" w:cs="Arial" w:eastAsia="Arial" w:hAnsi="Arial"/>
          <w:sz w:val="17"/>
          <w:szCs w:val="17"/>
          <w:color w:val="auto"/>
        </w:rPr>
        <w:t xml:space="preserve"> Narrative Disclosure to Summary Compensation Table—Employment Agreements” for a description of the incentive bonus opportunity for Mr. Hyzer pursuant to the terms of his employment agreement. The amount payable to Messrs. Hays and Hyzer pursuant to their 2019 cash incentive bonus awards, if any, are not calculable as of the date of this prospectus and are expected to be determined in February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Bonus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we pay special cash bonuses to reward superior performance. We paid Mr. Hays special discretionary cash bonuses of $60,000 and $112,500 to reward him for his performance in 2018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Unit Agreements (Class P Units of ZoomInfo OpCo)</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a stock right and have the right to share in any increase in the equity value of ZoomInfo OpCo above a certain distribution threshold. Mr. Schuck was issued 7,715,476.40 units on January 15, 2019. Mr. Hyzer was issued 7,014,069.45 units on December 26, 2018. Mr. Hays was issued 1,402,813.89 units on July 26, 2018, 3,507,034.75 units on June 27, 2019, and 280,000 units on October 17, 2019.</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341" w:right="239" w:bottom="1440" w:gutter="0" w:footer="0" w:header="0"/>
        </w:sectPr>
      </w:pPr>
    </w:p>
    <w:bookmarkStart w:id="140" w:name="page141"/>
    <w:bookmarkEnd w:id="140"/>
    <w:p>
      <w:pPr>
        <w:jc w:val="both"/>
        <w:ind w:firstLine="324"/>
        <w:spacing w:after="0" w:line="287" w:lineRule="auto"/>
        <w:rPr>
          <w:sz w:val="20"/>
          <w:szCs w:val="20"/>
          <w:color w:val="auto"/>
        </w:rPr>
      </w:pPr>
      <w:r>
        <w:rPr>
          <w:rFonts w:ascii="Arial" w:cs="Arial" w:eastAsia="Arial" w:hAnsi="Arial"/>
          <w:sz w:val="16"/>
          <w:szCs w:val="16"/>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 Messrs. Schuck and Hyzer, the executive officer’s resignation for good reason, in each case, during the 12-month period following a “liquidity event” (which includes a change of control or a liquidation of ZoomInfo OpCo, but is not expected to include this offering),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(i.e.,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Unit Agreement for each executive officer contains a non-competition covenant during employment and the 24-month period following termination of employment; upon breach of this covenant, all vested units will be forfeited and cancelled.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holders of Class P Units will have the ability to directly or indirectly convert their Class P Units into shares of our Class A common stock pursuant to the terms of the Exchange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 (Common Units of HSKB Funds, LLC)</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HSKB is a privately held limited liability company formed on February 9, 2016 for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The split-adjusted numbers of HSKB units held by Mr. Hays are reflected in the table “Outstanding Equity Awards at December 31, 2019” set forth below.</w:t>
      </w:r>
    </w:p>
    <w:p>
      <w:pPr>
        <w:spacing w:after="0" w:line="13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holders of HSKB Units will have the ability to directly or indirectly convert their HSKB units into shares of our Class A common stock pursuant to the terms of the Exchange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341"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Special Distribution on HSKB Units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HSKB Phantom Units (Common Units of ZoomInfo OpCo)</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2019, HSKB adopted its 2019 Phantom Unit Plan and granted 90,000 HSKB Phantom Units to Mr. Hays pursuant to the terms of such plan. Each of the HSKB Phantom Units represents the economic equivalent of one common unit of ZoomInfo OpCo. The HSKB Phantom Units will vest upon the first to occur of (i) a Sale Event and (ii) the date following an IPO upon which both (a) LLC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Perquisites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 housing and commuting allowance as described under “—Narrative Disclosure to Summary Compensation Table—Employment Agreements”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34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ind w:left="1480"/>
              <w:spacing w:after="0"/>
              <w:rPr>
                <w:sz w:val="20"/>
                <w:szCs w:val="20"/>
                <w:color w:val="auto"/>
              </w:rPr>
            </w:pPr>
            <w:r>
              <w:rPr>
                <w:rFonts w:ascii="Arial" w:cs="Arial" w:eastAsia="Arial" w:hAnsi="Arial"/>
                <w:sz w:val="13"/>
                <w:szCs w:val="13"/>
                <w:b w:val="1"/>
                <w:bCs w:val="1"/>
                <w:color w:val="auto"/>
              </w:rPr>
              <w:t>Stock Awards</w:t>
            </w:r>
          </w:p>
        </w:tc>
        <w:tc>
          <w:tcPr>
            <w:tcW w:w="1800" w:type="dxa"/>
            <w:vAlign w:val="bottom"/>
            <w:tcBorders>
              <w:bottom w:val="single" w:sz="8" w:color="auto"/>
            </w:tcBorders>
          </w:tcPr>
          <w:p>
            <w:pPr>
              <w:spacing w:after="0"/>
              <w:rPr>
                <w:sz w:val="15"/>
                <w:szCs w:val="15"/>
                <w:color w:val="auto"/>
              </w:rPr>
            </w:pPr>
          </w:p>
        </w:tc>
      </w:tr>
      <w:tr>
        <w:trPr>
          <w:trHeight w:val="144"/>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Equity Incentive Plan Awards:</w:t>
            </w:r>
          </w:p>
        </w:tc>
        <w:tc>
          <w:tcPr>
            <w:tcW w:w="1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Equity Incentive Plan Awards:</w:t>
            </w:r>
          </w:p>
        </w:tc>
      </w:tr>
      <w:tr>
        <w:trPr>
          <w:trHeight w:val="135"/>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Market or Payout Value</w:t>
            </w:r>
          </w:p>
        </w:tc>
      </w:tr>
      <w:tr>
        <w:trPr>
          <w:trHeight w:val="135"/>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Unearned Shares, Units or</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of Unearned Shares, Units or</w:t>
            </w:r>
          </w:p>
        </w:tc>
      </w:tr>
      <w:tr>
        <w:trPr>
          <w:trHeight w:val="135"/>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Number of Shares or Units of</w:t>
            </w:r>
          </w:p>
        </w:tc>
        <w:tc>
          <w:tcPr>
            <w:tcW w:w="1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Market Value of Shares or Units</w:t>
            </w: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Other Rights That Have Not</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Other Rights That Have Not</w:t>
            </w:r>
          </w:p>
        </w:tc>
      </w:tr>
      <w:tr>
        <w:trPr>
          <w:trHeight w:val="135"/>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Stock That Have Not Vested</w:t>
            </w:r>
          </w:p>
        </w:tc>
        <w:tc>
          <w:tcPr>
            <w:tcW w:w="1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of Stock That Have Not Vested</w:t>
            </w: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Vested</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r>
      <w:tr>
        <w:trPr>
          <w:trHeight w:val="180"/>
        </w:trPr>
        <w:tc>
          <w:tcPr>
            <w:tcW w:w="172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Grant Date</w:t>
            </w: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8"/>
                <w:szCs w:val="8"/>
                <w:b w:val="1"/>
                <w:bCs w:val="1"/>
                <w:color w:val="auto"/>
                <w:w w:val="91"/>
              </w:rPr>
              <w:t>(1)</w:t>
            </w:r>
          </w:p>
        </w:tc>
        <w:tc>
          <w:tcPr>
            <w:tcW w:w="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20"/>
                <w:szCs w:val="20"/>
                <w:b w:val="1"/>
                <w:bCs w:val="1"/>
                <w:color w:val="auto"/>
                <w:w w:val="99"/>
                <w:vertAlign w:val="subscript"/>
              </w:rPr>
              <w:t>($)</w:t>
            </w:r>
            <w:r>
              <w:rPr>
                <w:rFonts w:ascii="Arial" w:cs="Arial" w:eastAsia="Arial" w:hAnsi="Arial"/>
                <w:sz w:val="8"/>
                <w:szCs w:val="8"/>
                <w:b w:val="1"/>
                <w:bCs w:val="1"/>
                <w:color w:val="auto"/>
                <w:w w:val="99"/>
              </w:rPr>
              <w:t>(2)</w:t>
            </w:r>
          </w:p>
        </w:tc>
        <w:tc>
          <w:tcPr>
            <w:tcW w:w="1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ind w:right="694"/>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20"/>
                <w:szCs w:val="20"/>
                <w:b w:val="1"/>
                <w:bCs w:val="1"/>
                <w:color w:val="auto"/>
                <w:w w:val="99"/>
                <w:vertAlign w:val="subscript"/>
              </w:rPr>
              <w:t>($)</w:t>
            </w:r>
            <w:r>
              <w:rPr>
                <w:rFonts w:ascii="Arial" w:cs="Arial" w:eastAsia="Arial" w:hAnsi="Arial"/>
                <w:sz w:val="8"/>
                <w:szCs w:val="8"/>
                <w:b w:val="1"/>
                <w:bCs w:val="1"/>
                <w:color w:val="auto"/>
                <w:w w:val="99"/>
              </w:rPr>
              <w:t>(4)</w:t>
            </w:r>
          </w:p>
        </w:tc>
      </w:tr>
      <w:tr>
        <w:trPr>
          <w:trHeight w:val="264"/>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Henry Schuck</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01/16/2019</w:t>
            </w: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7,715,476.40</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Cameron Hyzer</w:t>
            </w: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12/26/2018</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7,014,069.45</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800" w:type="dxa"/>
            <w:vAlign w:val="bottom"/>
          </w:tcPr>
          <w:p>
            <w:pPr>
              <w:spacing w:after="0"/>
              <w:rPr>
                <w:sz w:val="22"/>
                <w:szCs w:val="22"/>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Chris Hays</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06/23/2016</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240,119</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631,513</w:t>
            </w: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08/24/2017</w:t>
            </w: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right"/>
              <w:ind w:right="34"/>
              <w:spacing w:after="0"/>
              <w:rPr>
                <w:sz w:val="20"/>
                <w:szCs w:val="20"/>
                <w:color w:val="auto"/>
              </w:rPr>
            </w:pPr>
            <w:r>
              <w:rPr>
                <w:rFonts w:ascii="Arial" w:cs="Arial" w:eastAsia="Arial" w:hAnsi="Arial"/>
                <w:sz w:val="14"/>
                <w:szCs w:val="14"/>
                <w:color w:val="auto"/>
              </w:rPr>
              <w:t>60,030</w:t>
            </w:r>
          </w:p>
        </w:tc>
        <w:tc>
          <w:tcPr>
            <w:tcW w:w="120" w:type="dxa"/>
            <w:vAlign w:val="bottom"/>
          </w:tcPr>
          <w:p>
            <w:pPr>
              <w:spacing w:after="0"/>
              <w:rPr>
                <w:sz w:val="22"/>
                <w:szCs w:val="22"/>
                <w:color w:val="auto"/>
              </w:rPr>
            </w:pPr>
          </w:p>
        </w:tc>
        <w:tc>
          <w:tcPr>
            <w:tcW w:w="1800" w:type="dxa"/>
            <w:vAlign w:val="bottom"/>
          </w:tcPr>
          <w:p>
            <w:pPr>
              <w:jc w:val="right"/>
              <w:ind w:right="34"/>
              <w:spacing w:after="0"/>
              <w:rPr>
                <w:sz w:val="20"/>
                <w:szCs w:val="20"/>
                <w:color w:val="auto"/>
              </w:rPr>
            </w:pPr>
            <w:r>
              <w:rPr>
                <w:rFonts w:ascii="Arial" w:cs="Arial" w:eastAsia="Arial" w:hAnsi="Arial"/>
                <w:sz w:val="14"/>
                <w:szCs w:val="14"/>
                <w:color w:val="auto"/>
              </w:rPr>
              <w:t>157,879</w:t>
            </w: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09/11/2017</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120,059</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315,755</w:t>
            </w: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10/31/2018</w:t>
            </w: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right"/>
              <w:ind w:right="34"/>
              <w:spacing w:after="0"/>
              <w:rPr>
                <w:sz w:val="20"/>
                <w:szCs w:val="20"/>
                <w:color w:val="auto"/>
              </w:rPr>
            </w:pPr>
            <w:r>
              <w:rPr>
                <w:rFonts w:ascii="Arial" w:cs="Arial" w:eastAsia="Arial" w:hAnsi="Arial"/>
                <w:sz w:val="14"/>
                <w:szCs w:val="14"/>
                <w:color w:val="auto"/>
              </w:rPr>
              <w:t>300,149</w:t>
            </w:r>
          </w:p>
        </w:tc>
        <w:tc>
          <w:tcPr>
            <w:tcW w:w="120" w:type="dxa"/>
            <w:vAlign w:val="bottom"/>
          </w:tcPr>
          <w:p>
            <w:pPr>
              <w:spacing w:after="0"/>
              <w:rPr>
                <w:sz w:val="22"/>
                <w:szCs w:val="22"/>
                <w:color w:val="auto"/>
              </w:rPr>
            </w:pPr>
          </w:p>
        </w:tc>
        <w:tc>
          <w:tcPr>
            <w:tcW w:w="1800" w:type="dxa"/>
            <w:vAlign w:val="bottom"/>
          </w:tcPr>
          <w:p>
            <w:pPr>
              <w:jc w:val="right"/>
              <w:ind w:right="34"/>
              <w:spacing w:after="0"/>
              <w:rPr>
                <w:sz w:val="20"/>
                <w:szCs w:val="20"/>
                <w:color w:val="auto"/>
              </w:rPr>
            </w:pPr>
            <w:r>
              <w:rPr>
                <w:rFonts w:ascii="Arial" w:cs="Arial" w:eastAsia="Arial" w:hAnsi="Arial"/>
                <w:sz w:val="14"/>
                <w:szCs w:val="14"/>
                <w:color w:val="auto"/>
              </w:rPr>
              <w:t>789,392</w:t>
            </w: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01/07/2019</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300,149</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789,392</w:t>
            </w: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07/26/2018</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1,402,813.89</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06/24/2019</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3,507,034.75</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10/17/2019</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280,000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7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12/29/2019</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90,000</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236,700</w:t>
            </w:r>
          </w:p>
        </w:tc>
      </w:tr>
      <w:tr>
        <w:trPr>
          <w:trHeight w:val="155"/>
        </w:trPr>
        <w:tc>
          <w:tcPr>
            <w:tcW w:w="172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r>
    </w:tbl>
    <w:p>
      <w:pPr>
        <w:ind w:left="340" w:hanging="332"/>
        <w:spacing w:after="0"/>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spacing w:after="0" w:line="1" w:lineRule="exact"/>
        <w:rPr>
          <w:rFonts w:ascii="Arial" w:cs="Arial" w:eastAsia="Arial" w:hAnsi="Arial"/>
          <w:sz w:val="14"/>
          <w:szCs w:val="14"/>
          <w:color w:val="auto"/>
        </w:rPr>
      </w:pPr>
    </w:p>
    <w:p>
      <w:pPr>
        <w:ind w:left="340"/>
        <w:spacing w:after="0" w:line="241" w:lineRule="auto"/>
        <w:rPr>
          <w:rFonts w:ascii="Arial" w:cs="Arial" w:eastAsia="Arial" w:hAnsi="Arial"/>
          <w:sz w:val="14"/>
          <w:szCs w:val="14"/>
          <w:color w:val="auto"/>
        </w:rPr>
      </w:pPr>
      <w:r>
        <w:rPr>
          <w:rFonts w:ascii="Arial" w:cs="Arial" w:eastAsia="Arial" w:hAnsi="Arial"/>
          <w:sz w:val="14"/>
          <w:szCs w:val="14"/>
          <w:color w:val="auto"/>
        </w:rPr>
        <w:t>As to Mr. Schuck, 3,857,738.20 vest on March 12, 2020 and 3,857,738.20 vest in equal monthly installments during the 24 months following March 12, 2020, in each case subject to his continued service on each vesting date.</w:t>
      </w:r>
    </w:p>
    <w:p>
      <w:pPr>
        <w:ind w:left="340"/>
        <w:spacing w:after="0" w:line="241" w:lineRule="auto"/>
        <w:rPr>
          <w:rFonts w:ascii="Arial" w:cs="Arial" w:eastAsia="Arial" w:hAnsi="Arial"/>
          <w:sz w:val="14"/>
          <w:szCs w:val="14"/>
          <w:color w:val="auto"/>
        </w:rPr>
      </w:pPr>
      <w:r>
        <w:rPr>
          <w:rFonts w:ascii="Arial" w:cs="Arial" w:eastAsia="Arial" w:hAnsi="Arial"/>
          <w:sz w:val="14"/>
          <w:szCs w:val="14"/>
          <w:color w:val="auto"/>
        </w:rPr>
        <w:t>As to Mr. Hyzer, 3,507,034.725 vest on November 12, 2020 and 3,507,034.725 vest in equal monthly installments during the 24 months following November 12, 2020, in each case subject to his continued service on each vesting date.</w:t>
      </w:r>
    </w:p>
    <w:p>
      <w:pPr>
        <w:jc w:val="both"/>
        <w:ind w:left="340"/>
        <w:spacing w:after="0" w:line="260" w:lineRule="auto"/>
        <w:rPr>
          <w:rFonts w:ascii="Arial" w:cs="Arial" w:eastAsia="Arial" w:hAnsi="Arial"/>
          <w:sz w:val="14"/>
          <w:szCs w:val="14"/>
          <w:color w:val="auto"/>
        </w:rPr>
      </w:pPr>
      <w:r>
        <w:rPr>
          <w:rFonts w:ascii="Arial" w:cs="Arial" w:eastAsia="Arial" w:hAnsi="Arial"/>
          <w:sz w:val="13"/>
          <w:szCs w:val="13"/>
          <w:color w:val="auto"/>
        </w:rPr>
        <w:t>As to Mr. Hays, of the 1,402,813.89 granted on July 26, 2018, 701,406.945 vest on July 1, 2020 and 701,406.945 vest in equal monthly installments during the 24 months following July 1, 2020, in each case subject to his continued service on each vesting date. Of the 3,507,034.75 granted on June 24, 2019, 1,753,517.35 vest on February 1, 2021 and 1,753,517.35 vest in equal monthly installments during the 24 months following February 1, 2021, in each case subject to his continued service on each vesting date. Of the 280,000 granted on October 17, 2019, 140,000 vest on October 1, 2021 and 140,000 vest in equal monthly installments during the 24 months following October 1, 2021, in each case subject to his continued service on each vesting date.</w:t>
      </w:r>
    </w:p>
    <w:p>
      <w:pPr>
        <w:ind w:left="340" w:hanging="332"/>
        <w:spacing w:after="0"/>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Based on our most recent valuation prior to December 31,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Of our named executive officers, only Mr. Hyzer is entitled to potential payments and benefits in connection with a termination of his employment and/or a change in control. The following summary describes the termination and change in control provisions under his employment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337" w:right="239" w:bottom="1440" w:gutter="0" w:footer="0" w:header="0"/>
        </w:sectPr>
      </w:pPr>
    </w:p>
    <w:bookmarkStart w:id="143" w:name="page144"/>
    <w:bookmarkEnd w:id="143"/>
    <w:p>
      <w:pPr>
        <w:jc w:val="both"/>
        <w:spacing w:after="0" w:line="264" w:lineRule="auto"/>
        <w:rPr>
          <w:sz w:val="20"/>
          <w:szCs w:val="20"/>
          <w:color w:val="auto"/>
        </w:rPr>
      </w:pPr>
      <w:r>
        <w:rPr>
          <w:rFonts w:ascii="Arial" w:cs="Arial" w:eastAsia="Arial" w:hAnsi="Arial"/>
          <w:sz w:val="18"/>
          <w:szCs w:val="18"/>
          <w:color w:val="auto"/>
        </w:rPr>
        <w:t>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restrictive covenants applicable to Mr. Hyzer, see “—Narrative Disclosure to Summary Compensation Table—Employment Agreements”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23" w:lineRule="exact"/>
        <w:rPr>
          <w:sz w:val="20"/>
          <w:szCs w:val="20"/>
          <w:color w:val="auto"/>
        </w:rPr>
      </w:pPr>
    </w:p>
    <w:p>
      <w:pPr>
        <w:ind w:right="5480"/>
        <w:spacing w:after="0" w:line="440" w:lineRule="auto"/>
        <w:rPr>
          <w:sz w:val="20"/>
          <w:szCs w:val="20"/>
          <w:color w:val="auto"/>
        </w:rPr>
      </w:pPr>
      <w:r>
        <w:rPr>
          <w:rFonts w:ascii="Arial" w:cs="Arial" w:eastAsia="Arial" w:hAnsi="Arial"/>
          <w:sz w:val="18"/>
          <w:szCs w:val="18"/>
          <w:b w:val="1"/>
          <w:bCs w:val="1"/>
          <w:color w:val="auto"/>
        </w:rPr>
        <w:t>Compensation Arrangements to be Adopted in Connection with this Offering 2020 Stock Incentive Plan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this offering, we expect our board of directors to adopt, and our stockholders to approve, the Company’s 2020 Stock Incentive Plan (the “2020 Plan”).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2020 Plan is to provide a means through which to attract and retain key personnel and to provide a means whereby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2020 Plan is administered by the compensation committee of our board of directors or such other committee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to 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 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Shares Subject to 2020 Plan</w:t>
      </w:r>
      <w:r>
        <w:rPr>
          <w:rFonts w:ascii="Arial" w:cs="Arial" w:eastAsia="Arial" w:hAnsi="Arial"/>
          <w:sz w:val="16"/>
          <w:szCs w:val="16"/>
          <w:color w:val="auto"/>
        </w:rPr>
        <w:t>. The 2020 Plan is expected to provide that the total number of shares of common stock that may be issued under the 2020</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Plan is (the “plan share reserve”), provided, however, that the plan share reserve shall be increased on the first day of each fiscal year beginning with the 2021 fiscal year in an amount equal to the lesser of (i) the positive difference between (x) % of the outstanding common stock on the last day of the</w:t>
      </w:r>
    </w:p>
    <w:p>
      <w:pPr>
        <w:jc w:val="both"/>
        <w:spacing w:after="0" w:line="302" w:lineRule="auto"/>
        <w:rPr>
          <w:sz w:val="20"/>
          <w:szCs w:val="20"/>
          <w:color w:val="auto"/>
        </w:rPr>
      </w:pPr>
      <w:r>
        <w:rPr>
          <w:rFonts w:ascii="Arial" w:cs="Arial" w:eastAsia="Arial" w:hAnsi="Arial"/>
          <w:sz w:val="16"/>
          <w:szCs w:val="16"/>
          <w:color w:val="auto"/>
        </w:rPr>
        <w:t>immediately preceding fiscal year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341" w:right="239" w:bottom="1440" w:gutter="0" w:footer="0" w:header="0"/>
        </w:sectPr>
      </w:pPr>
    </w:p>
    <w:bookmarkStart w:id="144" w:name="page145"/>
    <w:bookmarkEnd w:id="144"/>
    <w:p>
      <w:pPr>
        <w:jc w:val="both"/>
        <w:spacing w:after="0" w:line="288" w:lineRule="auto"/>
        <w:rPr>
          <w:sz w:val="20"/>
          <w:szCs w:val="20"/>
          <w:color w:val="auto"/>
        </w:rPr>
      </w:pPr>
      <w:r>
        <w:rPr>
          <w:rFonts w:ascii="Arial" w:cs="Arial" w:eastAsia="Arial" w:hAnsi="Arial"/>
          <w:sz w:val="16"/>
          <w:szCs w:val="16"/>
          <w:color w:val="auto"/>
        </w:rPr>
        <w:t>year to any non-employee director, taken together with any cash fees paid to such non-employee director during the fiscal year, may not exceed $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compensation committee may grant non-qualified stock options and incentive stock options, under the 2020 Plan, with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w:t>
      </w:r>
    </w:p>
    <w:p>
      <w:pPr>
        <w:jc w:val="both"/>
        <w:spacing w:after="0" w:line="254" w:lineRule="auto"/>
        <w:rPr>
          <w:sz w:val="20"/>
          <w:szCs w:val="20"/>
          <w:color w:val="auto"/>
        </w:rPr>
      </w:pPr>
      <w:r>
        <w:rPr>
          <w:rFonts w:ascii="Arial" w:cs="Arial" w:eastAsia="Arial" w:hAnsi="Arial"/>
          <w:sz w:val="18"/>
          <w:szCs w:val="18"/>
          <w:color w:val="auto"/>
        </w:rPr>
        <w:t>outstanding unvested option will immediately terminate and expire, and vested options will remain exercisable for following termination of service (or, if earlier, through the last day of the tenth year from the initial date of grant), and (iii) a participant’s termination for any other reason, outstanding unvested options will terminate and expire and vested options remain exercisable for days following termination (or, if earlier, through the last day of the tenth year from the initial date of grant).</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Restricted Shares and Restricted Stock Units</w:t>
      </w:r>
      <w:r>
        <w:rPr>
          <w:rFonts w:ascii="Arial" w:cs="Arial" w:eastAsia="Arial" w:hAnsi="Arial"/>
          <w:sz w:val="18"/>
          <w:szCs w:val="18"/>
          <w:color w:val="auto"/>
        </w:rPr>
        <w:t>. The compensation committee may grant restricted shares of our common stock or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341" w:right="239" w:bottom="1440" w:gutter="0" w:footer="0" w:header="0"/>
        </w:sectPr>
      </w:pPr>
    </w:p>
    <w:bookmarkStart w:id="145" w:name="page146"/>
    <w:bookmarkEnd w:id="145"/>
    <w:p>
      <w:pPr>
        <w:jc w:val="both"/>
        <w:spacing w:after="0" w:line="255" w:lineRule="auto"/>
        <w:rPr>
          <w:sz w:val="20"/>
          <w:szCs w:val="20"/>
          <w:color w:val="auto"/>
        </w:rPr>
      </w:pPr>
      <w:r>
        <w:rPr>
          <w:rFonts w:ascii="Arial" w:cs="Arial" w:eastAsia="Arial" w:hAnsi="Arial"/>
          <w:sz w:val="18"/>
          <w:szCs w:val="18"/>
          <w:color w:val="auto"/>
        </w:rPr>
        <w:t>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Equity-Based Awards and Cash-Based Awards. </w:t>
      </w:r>
      <w:r>
        <w:rPr>
          <w:rFonts w:ascii="Arial" w:cs="Arial" w:eastAsia="Arial" w:hAnsi="Arial"/>
          <w:sz w:val="18"/>
          <w:szCs w:val="18"/>
          <w:color w:val="auto"/>
        </w:rPr>
        <w:t>The compensation committee may grant other equity-based or cash-based awards under the 2020</w:t>
      </w:r>
      <w:r>
        <w:rPr>
          <w:rFonts w:ascii="Arial" w:cs="Arial" w:eastAsia="Arial" w:hAnsi="Arial"/>
          <w:sz w:val="18"/>
          <w:szCs w:val="18"/>
          <w:i w:val="1"/>
          <w:iCs w:val="1"/>
          <w:color w:val="auto"/>
        </w:rPr>
        <w:t xml:space="preserve"> </w:t>
      </w:r>
      <w:r>
        <w:rPr>
          <w:rFonts w:ascii="Arial" w:cs="Arial" w:eastAsia="Arial" w:hAnsi="Arial"/>
          <w:sz w:val="18"/>
          <w:szCs w:val="18"/>
          <w:color w:val="auto"/>
        </w:rPr>
        <w:t>Plan, with terms and conditions determined by the compensation committee that are not inconsistent with the 2020 Plan.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Effect of Certain Events on 2020 Plan and Awards </w:t>
      </w:r>
      <w:r>
        <w:rPr>
          <w:rFonts w:ascii="Arial" w:cs="Arial" w:eastAsia="Arial" w:hAnsi="Arial"/>
          <w:sz w:val="16"/>
          <w:szCs w:val="16"/>
          <w:color w:val="auto"/>
        </w:rPr>
        <w:t>. Other than with respect to cash-based awards, in the event of (i) any dividend (other than regular</w:t>
      </w:r>
      <w:r>
        <w:rPr>
          <w:rFonts w:ascii="Arial" w:cs="Arial" w:eastAsia="Arial" w:hAnsi="Arial"/>
          <w:sz w:val="16"/>
          <w:szCs w:val="16"/>
          <w:i w:val="1"/>
          <w:iCs w:val="1"/>
          <w:color w:val="auto"/>
        </w:rPr>
        <w:t xml:space="preserve"> </w:t>
      </w:r>
      <w:r>
        <w:rPr>
          <w:rFonts w:ascii="Arial" w:cs="Arial" w:eastAsia="Arial" w:hAnsi="Arial"/>
          <w:sz w:val="16"/>
          <w:szCs w:val="16"/>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1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jc w:val="both"/>
        <w:ind w:firstLine="8"/>
        <w:spacing w:after="0" w:line="292" w:lineRule="auto"/>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under the 2020 Plan will not be transferable or assignable by a participant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41" w:right="239" w:bottom="1440" w:gutter="0" w:footer="0" w:header="0"/>
        </w:sectPr>
      </w:pPr>
    </w:p>
    <w:bookmarkStart w:id="146" w:name="page147"/>
    <w:bookmarkEnd w:id="146"/>
    <w:p>
      <w:pPr>
        <w:jc w:val="both"/>
        <w:ind w:firstLine="324"/>
        <w:spacing w:after="0" w:line="28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alter, suspend, discontinue, or terminate the 2020 Plan or any portion thereof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but no such amendment, alteration, suspension, discontinuance or termination may be made without stockholder approval if (i) such approval is necessary to comply with any regulatory requirement applicable to the 2020 Plan or for changes in U.S. GAAP to new accounting standards; (ii) it would materially increase the number of securities which may be issued under the 2020 Plan (except for adjustments in connection with certain corporate events); or</w:t>
      </w:r>
    </w:p>
    <w:p>
      <w:pPr>
        <w:spacing w:after="0" w:line="2" w:lineRule="exact"/>
        <w:rPr>
          <w:sz w:val="20"/>
          <w:szCs w:val="20"/>
          <w:color w:val="auto"/>
        </w:rPr>
      </w:pPr>
    </w:p>
    <w:p>
      <w:pPr>
        <w:jc w:val="both"/>
        <w:ind w:firstLine="8"/>
        <w:spacing w:after="0" w:line="255" w:lineRule="auto"/>
        <w:tabs>
          <w:tab w:leader="none" w:pos="34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3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(iii) the compensation committee may not take any other action which is considered a “repricing” for purposes of the stockholder approval rules of any securities exchange or inter-dealer quotation system on which our securities are listed or quoted.</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The compensation committee in its sole discretion may provide that an award under the 2020 Plan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Clawback/Repayment. </w:t>
      </w:r>
      <w:r>
        <w:rPr>
          <w:rFonts w:ascii="Arial" w:cs="Arial" w:eastAsia="Arial" w:hAnsi="Arial"/>
          <w:sz w:val="16"/>
          <w:szCs w:val="16"/>
          <w:color w:val="auto"/>
        </w:rPr>
        <w:t>All awards are subject to reduction, cancellation, forfeiture or recoupment to the extent necessary to comply with (i) any clawback,</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or other similar policy adopted by our board of directors or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 (i) 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34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directors received compensation for their service on the board of directors for 2018 or 2019. However, all directors are reimbursed for their reasonable out-of-pocket expenses related to their board service.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337"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this offering, we intend to enter into a stockholders agreement with our Sponsors and our Founders granting them certain board designation rights so long as they maintain a certain percentage of ownership of our outstanding common stock. We intend to describe the material terms of this agreement in a subsequent pre-effective amendment to this registration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will enter into an exchange agreement with the holders of outstanding LLC Units pursuant to which each holder of LLC Units (and certain permitted transferees thereof) may (subject to the terms of the exchange agreement) exchange their LLC Units for shares of Class A common stock of ZoomInfo</w:t>
      </w:r>
    </w:p>
    <w:p>
      <w:pPr>
        <w:jc w:val="both"/>
        <w:spacing w:after="0" w:line="288" w:lineRule="auto"/>
        <w:rPr>
          <w:sz w:val="20"/>
          <w:szCs w:val="20"/>
          <w:color w:val="auto"/>
        </w:rPr>
      </w:pPr>
      <w:r>
        <w:rPr>
          <w:rFonts w:ascii="Arial" w:cs="Arial" w:eastAsia="Arial" w:hAnsi="Arial"/>
          <w:sz w:val="16"/>
          <w:szCs w:val="16"/>
          <w:color w:val="auto"/>
        </w:rPr>
        <w:t>Technologies Inc. on a basis, subject to customary conversion rate adjustments for stock splits, stock dividends, and reclassifications. Our board of directors may impose restrictions on exchange that it determines in good faith to be necessary so that ZoomInfo OpCo is not treated as a “publicly traded partnership” for U.S. federal income tax purposes. The exchange agreement will also provide that a holder of LLC Units will not have the right to exchange LLC Units if ZoomInfo Technologies Inc. determines that such exchange would be prohibited by law or regulation or would violate debt agreements or other material agreements of ZoomInfo Technologies Inc. or its subsidiaries, other agreements with ZoomInfo Technologies Inc. or its subsidiaries to which the holder of LLC Units may be subject, or ZoomInfo Technologies Inc.’s insider trading policies. As a holder exchanges LLC Units for shares of Class A common stock, the number of LLC Units held by ZoomInfo Technologies Inc. is correspondingly increased as it acquires the exchanged LLC Units.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this offering, we intend to enter into a registration rights agreement with our Sponsors, Founders and certain members of management pursuant to which we will grant them, their affiliates and certain of their transferees the right, under certain circumstances and subject to certain restrictions, to require us to register under the Securities Act shares of Class A common stock. We intend to describe the material terms of this agreement in a subsequent pre-effective amendment to this registration statement.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ZoomInfo Technologies Inc.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tax basis adjustments generated over time may increase (for tax purposes) ZoomInfo Technologies Inc.’s depreciation and amortization deductions and, therefore, may reduce the amount of tax that ZoomInfo Technologies Inc. would otherwise be required to pay in the future, although the IRS may challenge all or part of the validity of that tax basis, and a court could sustain such a challenge. ZoomInfo Technologies Inc.’s allocable share of existing tax basis acquired in this offering and the increase in ZoomInfo Technologies Inc.’s allocable share of existing tax basis and the anticipated tax basis adjustments upon exchanges of LLC Units for shares of Class A common stock may also decrease gains (or increase losses) on future dispositions of certain capital assets to the extent tax basis is allocated to those capital assets. Actual tax benefits realized by ZoomInfo Technologies Inc. may differ from tax benefits calculated under the tax receivable agreement as a result of the use of certain assumptions in the tax receivable agreement, including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337" w:right="239" w:bottom="1440" w:gutter="0" w:footer="0" w:header="0"/>
        </w:sectPr>
      </w:pPr>
    </w:p>
    <w:bookmarkStart w:id="149" w:name="page150"/>
    <w:bookmarkEnd w:id="149"/>
    <w:p>
      <w:pPr>
        <w:jc w:val="both"/>
        <w:spacing w:after="0" w:line="283" w:lineRule="auto"/>
        <w:rPr>
          <w:sz w:val="20"/>
          <w:szCs w:val="20"/>
          <w:color w:val="auto"/>
        </w:rPr>
      </w:pPr>
      <w:r>
        <w:rPr>
          <w:rFonts w:ascii="Arial" w:cs="Arial" w:eastAsia="Arial" w:hAnsi="Arial"/>
          <w:sz w:val="16"/>
          <w:szCs w:val="16"/>
          <w:color w:val="auto"/>
        </w:rPr>
        <w:t>the use of an assumed weighted-average state and local income tax rate to calculate tax benefits. The payment obligation under the tax receivable agreement is an obligation of ZoomInfo Technologies Inc. and not of ZoomInfo OpCo. ZoomInfo Technologies Inc. expects to benefit from the remaining 15% of realized cash tax benefits. For purposes of the tax receivable agreement, the realized cash tax benefits will be computed by comparing the actual income tax liability of ZoomInfo Technologies Inc. to the amount of such taxes that ZoomInfo Technologies Inc. would have been required to pay had there been no existing tax basis, no anticipated tax basis adjustments of the assets of ZoomInfo Technologies Inc. as a result of exchanges and no utilization of certain tax attributes of the Blocker Companies (including the Blocker Companies’ allocable share of existing tax basis), and had ZoomInfo Technologies Inc. not entered into the tax receivable agreement.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 term of the tax receivable agreement will continue until all such tax benefits have been utilized or expired, unless (i) ZoomInfo Technologies Inc. exercises its right to terminate the tax receivable agreement for an amount based on the agreed payments remaining to be made under the agreement (as described in more detail below), (ii) ZoomInfo Technologies Inc. breaches any of its material obligations under the tax receivable agreement in which case all obligations (including any additional interest due relating to any deferred payments) generally will be accelerated and due as if ZoomInfo Technologies Inc. had exercised its right to terminate the tax receivable agreement or</w:t>
      </w:r>
    </w:p>
    <w:p>
      <w:pPr>
        <w:spacing w:after="0" w:line="3" w:lineRule="exact"/>
        <w:rPr>
          <w:sz w:val="20"/>
          <w:szCs w:val="20"/>
          <w:color w:val="auto"/>
        </w:rPr>
      </w:pPr>
    </w:p>
    <w:p>
      <w:pPr>
        <w:jc w:val="both"/>
        <w:ind w:firstLine="8"/>
        <w:spacing w:after="0" w:line="252" w:lineRule="auto"/>
        <w:tabs>
          <w:tab w:leader="none" w:pos="3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 is by its nature imprecise, insofar as the calculation of amounts payable depends on a variety of factors. The increase in ZoomInfo Technologies Inc.’s allocable share of existing tax basis and the anticipated tax basis adjustments upon the exchange of LLC Units for shares of Class A common stock, as well as the amount and timing of any payments under the tax receivable agreement, will vary depending upon a number of factors, including:</w:t>
      </w:r>
    </w:p>
    <w:p>
      <w:pPr>
        <w:spacing w:after="0" w:line="14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ZoomInfo Technologies Inc.’s allocable share of existing tax basis acquired upon the future exchange of LLC Units for shares of Class A common stock will vary depending on the amount of remaining existing tax basis at the time of such exchange;</w:t>
      </w:r>
    </w:p>
    <w:p>
      <w:pPr>
        <w:spacing w:after="0" w:line="132"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amount of tax attributes—the amount of applicable tax attributes of the Blocker Companies at the time of the merger or contribution transaction will impact the amount and timing of payments under the tax receivable agreement; and</w:t>
      </w:r>
    </w:p>
    <w:p>
      <w:pPr>
        <w:spacing w:after="0" w:line="116" w:lineRule="exact"/>
        <w:rPr>
          <w:sz w:val="20"/>
          <w:szCs w:val="20"/>
          <w:color w:val="auto"/>
        </w:rPr>
      </w:pPr>
    </w:p>
    <w:p>
      <w:pPr>
        <w:jc w:val="both"/>
        <w:ind w:left="660" w:hanging="319"/>
        <w:spacing w:after="0" w:line="293" w:lineRule="auto"/>
        <w:tabs>
          <w:tab w:leader="none" w:pos="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amount and timing of our income—ZoomInfo Technologies Inc. is obligated to pay % of the cash tax benefits under the tax receivable agreement as and when realized. If ZoomInfo Technologies Inc. does not have taxable income, ZoomInfo Technologies Inc. is not required (absent a change of control or circumstances requiring an early termination payment)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Although the amount of ZoomInfo Technologies Inc.’s allocable share of existing tax basis acquired in this offering with respect to which our pre-IPO</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owners will be entitled to receive payments under the tax receivable agreement has been determined to be approximately $ million, the timing and amount of any related payments under the tax</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341" w:right="2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receivable agreement is uncertain since both will be dependent on the amount and timing of ZoomInfo Technologies Inc.’s income and other tax attributes.</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expect that as a result of the size of ZoomInfo Technologies Inc.’s allocable share of existing tax basis acquired in this offering (including such existing tax basis acquired from the Blocker Companies pursuant to the Blocker Mergers), the increase in ZoomInfo Technologies Inc.’s allocable share of existing tax basis and the anticipated tax basis adjustment of the tangible and intangible assets of ZoomInfo Technologies Inc. upon the exchange of LLC Units for shares of Class A common stock and our possible utilization of certain tax attributes, the payments that we may make under the tax receivable agreement will be substantial. We estimate the amount of existing tax basis with respect to which our pre-IPO owners will be entitled to receive payments under the tax receivable agreement (assuming all Pre-IPO LLC Unitholders exchange their LLC Units for shares of Class A common stock on the date of this</w:t>
      </w:r>
    </w:p>
    <w:p>
      <w:pPr>
        <w:spacing w:after="0" w:line="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offering) is approximately $ million. There may be a material negative effect on our liquidity if, as a result of timing discrepancies or otherwise, the payments under the tax receivable agreement exceed the actual cash tax benefits that ZoomInfo Technologies Inc. realizes in respect of the tax attributes subject to the tax receivable agreement and/or distributions to ZoomInfo Technologies Inc.by ZoomInfo OpCo are not sufficient to permit ZoomInfo Technologies Inc. to make payments under the tax receivable agreement after it has paid taxes. Late payments under the tax receivable agreement generally</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will accrue interest at an uncapped rate equal to one year plus basis points. The payments under the tax receivable agreement are not conditioned upon continued ownership of us by the exchanging holders of LLC Units.</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the tax receivable agreement provides that upon certain changes of control, ZoomInfo Technologies Inc.’s (or its successor’s) obligations with respect to exchanged or acquired LLC Units (whether exchanged or acquired before or after such transaction or all relevant tax attributes allocable to ZoomInfo Technologies Inc. at the time of a change of control), would be accelerated and the amounts payable would be based on certain assumptions, including whether ZoomInfo Technologies Inc. would have sufficient taxable income to fully utilize the deductions arising from the increased tax deductions and tax basis and other benefits related to entering into the tax receivable agreement. With respect to previously exchanged or acquired LLC Units or all relevant tax attributes allocable to ZoomInfo Technologies Inc. at the time of a change of control, we would be required to make a payment equal to the</w:t>
      </w:r>
    </w:p>
    <w:p>
      <w:pPr>
        <w:spacing w:after="0" w:line="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present value (at a discount rate equal to one year plus basis points) of the anticipated future tax benefits determined using assumptions (ii) through (v) of the following paragraph.</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Furthermore, ZoomInfo Technologies Inc. may elect to terminate the tax receivable agreement early by making an immediate payment equal to the present value of the anticipated future cash tax benefits with respect to all LLC Units. In determining such anticipated future cash tax benefits, the tax receivable agreement includes several assumptions, including that (i) any LLC Units that have not been exchanged are deemed exchanged for the market value of the shares of Class A common stock at the time of termination, (ii) ZoomInfo Technologies Inc. will have sufficient taxable income in each future taxable year to fully realize all potential tax benefits, (iii) ZoomInfo Technologies Inc. will have sufficient taxable income to fully utilize any remaining net operating losses subject to the tax receivable agreement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anticipated future cash tax benefits are discounted at a rate equal to one year plus basis points. Assuming that the market value of a share of Class A common stock were to be equal to the initial public offering price per share of Class A common stock in this offering and that one year were to be %, we estimate that the aggregate amount of these termination payments would be approximately $ million if ZoomInfo Technologies Inc. were to exercise its termination right immediately following this offering.</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change of control provisions and the early termination right, ZoomInfo Technologies Inc. could be required to make payments under the tax receivable agreement that are greater than or less than the specified percentage of the actual cash tax benefits that ZoomInfo Technologies Inc. realizes in respect of the tax attributes subject to the tax receivable agreement (although any such overpayment would be taken into account in calculating future payments, if any, under the tax receivable agreement)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341" w:right="239" w:bottom="1440" w:gutter="0" w:footer="0" w:header="0"/>
        </w:sectPr>
      </w:pPr>
    </w:p>
    <w:bookmarkStart w:id="151" w:name="page152"/>
    <w:bookmarkEnd w:id="151"/>
    <w:p>
      <w:pPr>
        <w:jc w:val="both"/>
        <w:spacing w:after="0" w:line="277" w:lineRule="auto"/>
        <w:rPr>
          <w:sz w:val="20"/>
          <w:szCs w:val="20"/>
          <w:color w:val="auto"/>
        </w:rPr>
      </w:pPr>
      <w:r>
        <w:rPr>
          <w:rFonts w:ascii="Arial" w:cs="Arial" w:eastAsia="Arial" w:hAnsi="Arial"/>
          <w:sz w:val="18"/>
          <w:szCs w:val="18"/>
          <w:color w:val="auto"/>
        </w:rPr>
        <w:t>agreement and in certain events of bankruptcy or liquidation. In these situations, our obligations under the tax receivable agreement could have a substantial negative impact on our liquidity.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Decisions made by our pre-IPO owners in the course of running our business may influence the timing and amount of payments that are received by an existing owner exchanging LLC Units under the tax receivable agreement. For example, the earlier disposition of assets following an exchange or acquisition transaction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Payments under the tax receivable agreement will be based on the tax reporting positions that we will determine. ZoomInfo Technologies Inc. will not be reimbursed for any payments previously made under the tax receivable agreement if ZoomInfo Technologies Inc.’s allocable share of existing tax basis acquired in this offering and increased upon the exchange of LLC Units for shares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ZoomInfo Technologies Inc.’s cash tax benefits.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OpCo Amended and Restated Limited Liability Company Agreement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Reorganization Transactions and the Offering Transactions, ZoomInfo Technologies Inc. will hold LLC Units in ZoomInfo OpCo and will be the sole managing member of ZoomInfo OpCo. Accordingly, ZoomInfo Technologies Inc. will operate and control all of the business and affairs of ZoomInfo OpCo and, through ZoomInfo OpCo and its operating entity subsidiaries, conduct our business.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amended and restated limited liability company agreement of ZoomInfo OpCo as it will be in effect at the time of this offering, ZoomInfo Technologies Inc. has the right to determine when distributions will be made to holders of LLC Units and the amount of any such distributions. If a distribution is authorized, such distribution will be made to the holders of LLC Units pro rata in accordance with the percentages of their respective limited liability company interests.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distributions will be made in respect of unvested LLC Units and instead such amounts will be distributed to holders of vested LLC Units pro rata in accordance with their vested interests. If, from time to time, an unvested LLC Unit becomes vested, then, on the next distribution date, all amounts that would have been distributed pro rata in respect of that LLC Unit if it had been vested on prior distribution dates will be required to be “caught up” in respect of that LLC Unit before any distribution is made in respect of other vested LLC Units.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holders of LLC Units, including ZoomInfo Technologies Inc., will incur U.S. federal, state and local income taxes on their proportionate share of any taxable income of ZoomInfo OpCo. Net profits and net losses of ZoomInfo OpCo will generally be allocated to its holders, including ZoomInfo Technologies Inc.,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LLC Units if ZoomInfo Technologies Inc., as the sole managing member of ZoomInfo OpCo, determines that a holder, by reason of holding LLC Units, incurs an income tax liability. Generally, these tax distributions will be computed based on our estimate of the net taxable income of ZoomInfo OpCo allocated to the holder of LLC Units that receives the greatest proportionate allocation of income multiplied by an assumed tax rate.</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amended and restated limited liability company agreement of ZoomInfo OpCo will also provide that substantially all expenses incurred by or attributable to ZoomInfo Technologies Inc. (such as expenses incurred in connection with this offering), but not including obligations incurred under the tax receivable agreement by ZoomInfo Technologies Inc., income tax expenses of ZoomInfo Technologies Inc. and payments on indebtedness incurred by ZoomInfo Technologies Inc., will be borne by ZoomInfo OpCo.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341"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and 2018 and the nine months ended September 30, 2019 was $0.2 million, $0.4 million, $1.8 million, and $0.9 million, respectively.</w:t>
      </w:r>
    </w:p>
    <w:p>
      <w:pPr>
        <w:spacing w:after="0" w:line="11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Hila Nir, our Chief Marketing Officer, is the sister-in-law of Nir Keren, our Chief Technology Officer. Total compensation paid by the Company to Hila Nir, including salary and equity compensation, since the Zoom Information Acquisition for the nine months ended September 30, 2019 was $1.8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 with Sponsor Portfolio Companies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completion of this offering, our board of directors will adopt a written statement of policy regarding transactions with related persons, which we refer to as our “related person policy.” Our related person policy requires that a “related person” (as defined in paragraph (a) of Item 404 of Regulation S-</w:t>
      </w:r>
    </w:p>
    <w:p>
      <w:pPr>
        <w:jc w:val="both"/>
        <w:ind w:firstLine="8"/>
        <w:spacing w:after="0" w:line="270" w:lineRule="auto"/>
        <w:tabs>
          <w:tab w:leader="none" w:pos="24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337"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set forth information regarding the beneficial ownership of shares of our Class A common stock and of LLC Units by (1) each person known to us to beneficially own more than 5% of any class of the outstanding voting securities of ZoomInfo Technologies Inc., (2) each of our directors, director nominees and named executive officers and (3) all of our directors, director nominees and executive officers as a group.</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percentage of beneficial ownership of shares of our Class A common stock and of LLC Units outstanding before the offering set forth below is based on the number of shares of our Class A common stock and of LLC Units to be issued and outstanding immediately prior to the consummation of this offering. The percentage of beneficial ownership of our Class A common stock and of LLC Units after the offering set forth below is based on shares of our Class A common stock and of LLC Units to be issued and outstanding immediately after the offering.</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Pre-IPO LLC Unitholders will hold all of the issued and outstanding shares of our Class B common stock. The shares of Class B common stock will have no economic rights but will entitle each holder, without regard to the number of shares of Class B common stock held by such holder, to a number of</w:t>
      </w:r>
    </w:p>
    <w:p>
      <w:pPr>
        <w:jc w:val="both"/>
        <w:spacing w:after="0" w:line="254" w:lineRule="auto"/>
        <w:rPr>
          <w:sz w:val="20"/>
          <w:szCs w:val="20"/>
          <w:color w:val="auto"/>
        </w:rPr>
      </w:pPr>
      <w:r>
        <w:rPr>
          <w:rFonts w:ascii="Arial" w:cs="Arial" w:eastAsia="Arial" w:hAnsi="Arial"/>
          <w:sz w:val="18"/>
          <w:szCs w:val="18"/>
          <w:color w:val="auto"/>
        </w:rPr>
        <w:t>votes that is equal to the aggregate number of LLC Units of ZoomInfo OpCo held by such holder on all matters on which stockholders of ZoomInfo Technologies Inc. are entitled to vote generally. The voting power afforded to holders of LLC Units by their shares of Class B common stock will be automatically and correspondingly reduced as they exchange LLC Units for shares of Class A common stock of ZoomInfo Technologies Inc. pursuant to the exchange agreement.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9"/>
                <w:szCs w:val="9"/>
                <w:b w:val="1"/>
                <w:bCs w:val="1"/>
                <w:color w:val="auto"/>
                <w:w w:val="93"/>
              </w:rPr>
              <w:t>Class A Common Stock Beneficially Owned(1)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440"/>
              <w:spacing w:after="0"/>
              <w:rPr>
                <w:sz w:val="20"/>
                <w:szCs w:val="20"/>
                <w:color w:val="auto"/>
              </w:rPr>
            </w:pPr>
            <w:r>
              <w:rPr>
                <w:rFonts w:ascii="Arial" w:cs="Arial" w:eastAsia="Arial" w:hAnsi="Arial"/>
                <w:sz w:val="9"/>
                <w:szCs w:val="9"/>
                <w:b w:val="1"/>
                <w:bCs w:val="1"/>
                <w:color w:val="auto"/>
              </w:rPr>
              <w:t>LLC Units Beneficially Owned</w:t>
            </w:r>
            <w:r>
              <w:rPr>
                <w:rFonts w:ascii="Arial" w:cs="Arial" w:eastAsia="Arial" w:hAnsi="Arial"/>
                <w:sz w:val="14"/>
                <w:szCs w:val="14"/>
                <w:b w:val="1"/>
                <w:bCs w:val="1"/>
                <w:color w:val="auto"/>
                <w:vertAlign w:val="superscript"/>
              </w:rPr>
              <w:t>(1)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8"/>
              </w:rPr>
              <w:t>Combined Voting Power</w:t>
            </w:r>
            <w:r>
              <w:rPr>
                <w:rFonts w:ascii="Arial" w:cs="Arial" w:eastAsia="Arial" w:hAnsi="Arial"/>
                <w:sz w:val="14"/>
                <w:szCs w:val="14"/>
                <w:b w:val="1"/>
                <w:bCs w:val="1"/>
                <w:color w:val="auto"/>
                <w:w w:val="88"/>
                <w:vertAlign w:val="superscript"/>
              </w:rPr>
              <w:t>(2)</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9"/>
                <w:szCs w:val="9"/>
                <w:b w:val="1"/>
                <w:bCs w:val="1"/>
                <w:color w:val="auto"/>
              </w:rPr>
              <w:t>Number</w:t>
            </w:r>
          </w:p>
        </w:tc>
        <w:tc>
          <w:tcPr>
            <w:tcW w:w="1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9"/>
                <w:szCs w:val="9"/>
                <w:b w:val="1"/>
                <w:bCs w:val="1"/>
                <w:color w:val="auto"/>
              </w:rPr>
              <w:t>Percentage</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Number</w:t>
            </w:r>
          </w:p>
        </w:tc>
        <w:tc>
          <w:tcPr>
            <w:tcW w:w="1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9"/>
                <w:szCs w:val="9"/>
                <w:b w:val="1"/>
                <w:bCs w:val="1"/>
                <w:color w:val="auto"/>
              </w:rPr>
              <w:t>Percentage</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9"/>
                <w:szCs w:val="9"/>
                <w:b w:val="1"/>
                <w:bCs w:val="1"/>
                <w:color w:val="auto"/>
                <w:w w:val="86"/>
              </w:rPr>
              <w:t>Percentage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4"/>
          </w:tcPr>
          <w:p>
            <w:pPr>
              <w:jc w:val="center"/>
              <w:ind w:right="900"/>
              <w:spacing w:after="0"/>
              <w:rPr>
                <w:sz w:val="20"/>
                <w:szCs w:val="20"/>
                <w:color w:val="auto"/>
              </w:rPr>
            </w:pPr>
            <w:r>
              <w:rPr>
                <w:rFonts w:ascii="Arial" w:cs="Arial" w:eastAsia="Arial" w:hAnsi="Arial"/>
                <w:sz w:val="9"/>
                <w:szCs w:val="9"/>
                <w:b w:val="1"/>
                <w:bCs w:val="1"/>
                <w:color w:val="auto"/>
                <w:w w:val="91"/>
              </w:rPr>
              <w:t>After the</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After the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75"/>
              <w:spacing w:after="0"/>
              <w:rPr>
                <w:sz w:val="20"/>
                <w:szCs w:val="20"/>
                <w:color w:val="auto"/>
              </w:rPr>
            </w:pPr>
            <w:r>
              <w:rPr>
                <w:rFonts w:ascii="Arial" w:cs="Arial" w:eastAsia="Arial" w:hAnsi="Arial"/>
                <w:sz w:val="9"/>
                <w:szCs w:val="9"/>
                <w:b w:val="1"/>
                <w:bCs w:val="1"/>
                <w:color w:val="auto"/>
                <w:w w:val="91"/>
              </w:rPr>
              <w:t>After the</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260"/>
              <w:spacing w:after="0" w:line="95" w:lineRule="exact"/>
              <w:rPr>
                <w:sz w:val="20"/>
                <w:szCs w:val="20"/>
                <w:color w:val="auto"/>
              </w:rPr>
            </w:pPr>
            <w:r>
              <w:rPr>
                <w:rFonts w:ascii="Arial" w:cs="Arial" w:eastAsia="Arial" w:hAnsi="Arial"/>
                <w:sz w:val="9"/>
                <w:szCs w:val="9"/>
                <w:b w:val="1"/>
                <w:bCs w:val="1"/>
                <w:color w:val="auto"/>
                <w:w w:val="91"/>
              </w:rPr>
              <w:t>After the</w:t>
            </w:r>
          </w:p>
        </w:tc>
        <w:tc>
          <w:tcPr>
            <w:tcW w:w="1600" w:type="dxa"/>
            <w:vAlign w:val="bottom"/>
            <w:gridSpan w:val="4"/>
          </w:tcPr>
          <w:p>
            <w:pPr>
              <w:jc w:val="center"/>
              <w:ind w:right="900"/>
              <w:spacing w:after="0" w:line="95" w:lineRule="exact"/>
              <w:rPr>
                <w:sz w:val="20"/>
                <w:szCs w:val="20"/>
                <w:color w:val="auto"/>
              </w:rPr>
            </w:pPr>
            <w:r>
              <w:rPr>
                <w:rFonts w:ascii="Arial" w:cs="Arial" w:eastAsia="Arial" w:hAnsi="Arial"/>
                <w:sz w:val="9"/>
                <w:szCs w:val="9"/>
                <w:b w:val="1"/>
                <w:bCs w:val="1"/>
                <w:color w:val="auto"/>
                <w:w w:val="96"/>
              </w:rPr>
              <w:t>Offering</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1"/>
              </w:rPr>
              <w:t>After the</w:t>
            </w:r>
          </w:p>
        </w:tc>
        <w:tc>
          <w:tcPr>
            <w:tcW w:w="10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6"/>
              </w:rPr>
              <w:t>Offering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00"/>
              <w:spacing w:after="0" w:line="95" w:lineRule="exact"/>
              <w:rPr>
                <w:sz w:val="20"/>
                <w:szCs w:val="20"/>
                <w:color w:val="auto"/>
              </w:rPr>
            </w:pPr>
            <w:r>
              <w:rPr>
                <w:rFonts w:ascii="Arial" w:cs="Arial" w:eastAsia="Arial" w:hAnsi="Arial"/>
                <w:sz w:val="9"/>
                <w:szCs w:val="9"/>
                <w:b w:val="1"/>
                <w:bCs w:val="1"/>
                <w:color w:val="auto"/>
                <w:w w:val="91"/>
              </w:rPr>
              <w:t>After the</w:t>
            </w:r>
          </w:p>
        </w:tc>
        <w:tc>
          <w:tcPr>
            <w:tcW w:w="82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91"/>
              </w:rPr>
              <w:t>Offering</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260"/>
              <w:spacing w:after="0" w:line="95" w:lineRule="exact"/>
              <w:rPr>
                <w:sz w:val="20"/>
                <w:szCs w:val="20"/>
                <w:color w:val="auto"/>
              </w:rPr>
            </w:pPr>
            <w:r>
              <w:rPr>
                <w:rFonts w:ascii="Arial" w:cs="Arial" w:eastAsia="Arial" w:hAnsi="Arial"/>
                <w:sz w:val="9"/>
                <w:szCs w:val="9"/>
                <w:b w:val="1"/>
                <w:bCs w:val="1"/>
                <w:color w:val="auto"/>
                <w:w w:val="96"/>
              </w:rPr>
              <w:t>Offering</w:t>
            </w:r>
          </w:p>
        </w:tc>
        <w:tc>
          <w:tcPr>
            <w:tcW w:w="1600" w:type="dxa"/>
            <w:vAlign w:val="bottom"/>
            <w:gridSpan w:val="4"/>
          </w:tcPr>
          <w:p>
            <w:pPr>
              <w:jc w:val="center"/>
              <w:ind w:right="900"/>
              <w:spacing w:after="0" w:line="95" w:lineRule="exact"/>
              <w:rPr>
                <w:sz w:val="20"/>
                <w:szCs w:val="20"/>
                <w:color w:val="auto"/>
              </w:rPr>
            </w:pPr>
            <w:r>
              <w:rPr>
                <w:rFonts w:ascii="Arial" w:cs="Arial" w:eastAsia="Arial" w:hAnsi="Arial"/>
                <w:sz w:val="9"/>
                <w:szCs w:val="9"/>
                <w:b w:val="1"/>
                <w:bCs w:val="1"/>
                <w:color w:val="auto"/>
                <w:w w:val="89"/>
              </w:rPr>
              <w:t>Transactions</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6"/>
              </w:rPr>
              <w:t>Offering</w:t>
            </w:r>
          </w:p>
        </w:tc>
        <w:tc>
          <w:tcPr>
            <w:tcW w:w="10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Transactions</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1"/>
              </w:rPr>
              <w:t>Offering</w:t>
            </w:r>
          </w:p>
        </w:tc>
        <w:tc>
          <w:tcPr>
            <w:tcW w:w="82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89"/>
              </w:rPr>
              <w:t>Transactions</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260"/>
              <w:spacing w:after="0" w:line="95" w:lineRule="exact"/>
              <w:rPr>
                <w:sz w:val="20"/>
                <w:szCs w:val="20"/>
                <w:color w:val="auto"/>
              </w:rPr>
            </w:pPr>
            <w:r>
              <w:rPr>
                <w:rFonts w:ascii="Arial" w:cs="Arial" w:eastAsia="Arial" w:hAnsi="Arial"/>
                <w:sz w:val="9"/>
                <w:szCs w:val="9"/>
                <w:b w:val="1"/>
                <w:bCs w:val="1"/>
                <w:color w:val="auto"/>
                <w:w w:val="89"/>
              </w:rPr>
              <w:t>Transactions</w:t>
            </w:r>
          </w:p>
        </w:tc>
        <w:tc>
          <w:tcPr>
            <w:tcW w:w="1600" w:type="dxa"/>
            <w:vAlign w:val="bottom"/>
            <w:gridSpan w:val="4"/>
          </w:tcPr>
          <w:p>
            <w:pPr>
              <w:jc w:val="center"/>
              <w:ind w:right="900"/>
              <w:spacing w:after="0" w:line="95" w:lineRule="exact"/>
              <w:rPr>
                <w:sz w:val="20"/>
                <w:szCs w:val="20"/>
                <w:color w:val="auto"/>
              </w:rPr>
            </w:pPr>
            <w:r>
              <w:rPr>
                <w:rFonts w:ascii="Arial" w:cs="Arial" w:eastAsia="Arial" w:hAnsi="Arial"/>
                <w:sz w:val="9"/>
                <w:szCs w:val="9"/>
                <w:b w:val="1"/>
                <w:bCs w:val="1"/>
                <w:color w:val="auto"/>
                <w:w w:val="87"/>
              </w:rPr>
              <w:t>Assuming</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9"/>
              </w:rPr>
              <w:t>Transactions</w:t>
            </w:r>
          </w:p>
        </w:tc>
        <w:tc>
          <w:tcPr>
            <w:tcW w:w="10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7"/>
              </w:rPr>
              <w:t>Assuming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85"/>
              </w:rPr>
              <w:t>Transactions</w:t>
            </w:r>
          </w:p>
        </w:tc>
        <w:tc>
          <w:tcPr>
            <w:tcW w:w="82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87"/>
              </w:rPr>
              <w:t>Assuming</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260"/>
              <w:spacing w:after="0" w:line="95" w:lineRule="exact"/>
              <w:rPr>
                <w:sz w:val="20"/>
                <w:szCs w:val="20"/>
                <w:color w:val="auto"/>
              </w:rPr>
            </w:pPr>
            <w:r>
              <w:rPr>
                <w:rFonts w:ascii="Arial" w:cs="Arial" w:eastAsia="Arial" w:hAnsi="Arial"/>
                <w:sz w:val="9"/>
                <w:szCs w:val="9"/>
                <w:b w:val="1"/>
                <w:bCs w:val="1"/>
                <w:color w:val="auto"/>
                <w:w w:val="87"/>
              </w:rPr>
              <w:t>Assuming</w:t>
            </w:r>
          </w:p>
        </w:tc>
        <w:tc>
          <w:tcPr>
            <w:tcW w:w="1600" w:type="dxa"/>
            <w:vAlign w:val="bottom"/>
            <w:gridSpan w:val="4"/>
          </w:tcPr>
          <w:p>
            <w:pPr>
              <w:jc w:val="center"/>
              <w:ind w:right="900"/>
              <w:spacing w:after="0" w:line="95" w:lineRule="exact"/>
              <w:rPr>
                <w:sz w:val="20"/>
                <w:szCs w:val="20"/>
                <w:color w:val="auto"/>
              </w:rPr>
            </w:pPr>
            <w:r>
              <w:rPr>
                <w:rFonts w:ascii="Arial" w:cs="Arial" w:eastAsia="Arial" w:hAnsi="Arial"/>
                <w:sz w:val="9"/>
                <w:szCs w:val="9"/>
                <w:b w:val="1"/>
                <w:bCs w:val="1"/>
                <w:color w:val="auto"/>
                <w:w w:val="92"/>
              </w:rPr>
              <w:t>Underwriters’</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7"/>
              </w:rPr>
              <w:t>Assuming</w:t>
            </w:r>
          </w:p>
        </w:tc>
        <w:tc>
          <w:tcPr>
            <w:tcW w:w="10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2"/>
              </w:rPr>
              <w:t>Underwriters’</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00"/>
              <w:spacing w:after="0" w:line="95" w:lineRule="exact"/>
              <w:rPr>
                <w:sz w:val="20"/>
                <w:szCs w:val="20"/>
                <w:color w:val="auto"/>
              </w:rPr>
            </w:pPr>
            <w:r>
              <w:rPr>
                <w:rFonts w:ascii="Arial" w:cs="Arial" w:eastAsia="Arial" w:hAnsi="Arial"/>
                <w:sz w:val="9"/>
                <w:szCs w:val="9"/>
                <w:b w:val="1"/>
                <w:bCs w:val="1"/>
                <w:color w:val="auto"/>
                <w:w w:val="87"/>
              </w:rPr>
              <w:t>Assuming</w:t>
            </w:r>
          </w:p>
        </w:tc>
        <w:tc>
          <w:tcPr>
            <w:tcW w:w="82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96"/>
              </w:rPr>
              <w:t>Underwriters’</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1"/>
              </w:rPr>
              <w:t>Prior to the</w:t>
            </w:r>
          </w:p>
        </w:tc>
        <w:tc>
          <w:tcPr>
            <w:tcW w:w="1160" w:type="dxa"/>
            <w:vAlign w:val="bottom"/>
            <w:gridSpan w:val="3"/>
          </w:tcPr>
          <w:p>
            <w:pPr>
              <w:jc w:val="center"/>
              <w:ind w:right="260"/>
              <w:spacing w:after="0" w:line="95" w:lineRule="exact"/>
              <w:rPr>
                <w:sz w:val="20"/>
                <w:szCs w:val="20"/>
                <w:color w:val="auto"/>
              </w:rPr>
            </w:pPr>
            <w:r>
              <w:rPr>
                <w:rFonts w:ascii="Arial" w:cs="Arial" w:eastAsia="Arial" w:hAnsi="Arial"/>
                <w:sz w:val="9"/>
                <w:szCs w:val="9"/>
                <w:b w:val="1"/>
                <w:bCs w:val="1"/>
                <w:color w:val="auto"/>
                <w:w w:val="92"/>
              </w:rPr>
              <w:t>Underwriters’</w:t>
            </w:r>
          </w:p>
        </w:tc>
        <w:tc>
          <w:tcPr>
            <w:tcW w:w="1600" w:type="dxa"/>
            <w:vAlign w:val="bottom"/>
            <w:gridSpan w:val="4"/>
          </w:tcPr>
          <w:p>
            <w:pPr>
              <w:jc w:val="center"/>
              <w:ind w:right="900"/>
              <w:spacing w:after="0" w:line="95" w:lineRule="exact"/>
              <w:rPr>
                <w:sz w:val="20"/>
                <w:szCs w:val="20"/>
                <w:color w:val="auto"/>
              </w:rPr>
            </w:pPr>
            <w:r>
              <w:rPr>
                <w:rFonts w:ascii="Arial" w:cs="Arial" w:eastAsia="Arial" w:hAnsi="Arial"/>
                <w:sz w:val="9"/>
                <w:szCs w:val="9"/>
                <w:b w:val="1"/>
                <w:bCs w:val="1"/>
                <w:color w:val="auto"/>
                <w:w w:val="87"/>
              </w:rPr>
              <w:t>Option is</w:t>
            </w:r>
          </w:p>
        </w:tc>
        <w:tc>
          <w:tcPr>
            <w:tcW w:w="9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1"/>
              </w:rPr>
              <w:t>Prior to the</w:t>
            </w: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Underwriters’</w:t>
            </w:r>
          </w:p>
        </w:tc>
        <w:tc>
          <w:tcPr>
            <w:tcW w:w="102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Option is</w:t>
            </w: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Prior to the</w:t>
            </w:r>
          </w:p>
        </w:tc>
        <w:tc>
          <w:tcPr>
            <w:tcW w:w="100" w:type="dxa"/>
            <w:vAlign w:val="bottom"/>
          </w:tcPr>
          <w:p>
            <w:pPr>
              <w:spacing w:after="0"/>
              <w:rPr>
                <w:sz w:val="8"/>
                <w:szCs w:val="8"/>
                <w:color w:val="auto"/>
              </w:rPr>
            </w:pPr>
          </w:p>
        </w:tc>
        <w:tc>
          <w:tcPr>
            <w:tcW w:w="110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6"/>
              </w:rPr>
              <w:t>Underwriters’</w:t>
            </w:r>
          </w:p>
        </w:tc>
        <w:tc>
          <w:tcPr>
            <w:tcW w:w="82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92"/>
              </w:rPr>
              <w:t>Option is</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1"/>
              </w:rPr>
              <w:t>Offering</w:t>
            </w:r>
          </w:p>
        </w:tc>
        <w:tc>
          <w:tcPr>
            <w:tcW w:w="1160" w:type="dxa"/>
            <w:vAlign w:val="bottom"/>
            <w:gridSpan w:val="3"/>
          </w:tcPr>
          <w:p>
            <w:pPr>
              <w:jc w:val="center"/>
              <w:ind w:right="240"/>
              <w:spacing w:after="0" w:line="95" w:lineRule="exact"/>
              <w:rPr>
                <w:sz w:val="20"/>
                <w:szCs w:val="20"/>
                <w:color w:val="auto"/>
              </w:rPr>
            </w:pPr>
            <w:r>
              <w:rPr>
                <w:rFonts w:ascii="Arial" w:cs="Arial" w:eastAsia="Arial" w:hAnsi="Arial"/>
                <w:sz w:val="9"/>
                <w:szCs w:val="9"/>
                <w:b w:val="1"/>
                <w:bCs w:val="1"/>
                <w:color w:val="auto"/>
                <w:w w:val="91"/>
              </w:rPr>
              <w:t>Option is Not</w:t>
            </w:r>
          </w:p>
        </w:tc>
        <w:tc>
          <w:tcPr>
            <w:tcW w:w="1600" w:type="dxa"/>
            <w:vAlign w:val="bottom"/>
            <w:gridSpan w:val="4"/>
          </w:tcPr>
          <w:p>
            <w:pPr>
              <w:jc w:val="center"/>
              <w:ind w:right="900"/>
              <w:spacing w:after="0" w:line="95" w:lineRule="exact"/>
              <w:rPr>
                <w:sz w:val="20"/>
                <w:szCs w:val="20"/>
                <w:color w:val="auto"/>
              </w:rPr>
            </w:pPr>
            <w:r>
              <w:rPr>
                <w:rFonts w:ascii="Arial" w:cs="Arial" w:eastAsia="Arial" w:hAnsi="Arial"/>
                <w:sz w:val="9"/>
                <w:szCs w:val="9"/>
                <w:b w:val="1"/>
                <w:bCs w:val="1"/>
                <w:color w:val="auto"/>
                <w:w w:val="89"/>
              </w:rPr>
              <w:t>Exercised</w:t>
            </w:r>
          </w:p>
        </w:tc>
        <w:tc>
          <w:tcPr>
            <w:tcW w:w="92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6"/>
              </w:rPr>
              <w:t>Offering</w:t>
            </w: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1"/>
              </w:rPr>
              <w:t>Option is Not</w:t>
            </w:r>
          </w:p>
        </w:tc>
        <w:tc>
          <w:tcPr>
            <w:tcW w:w="10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Exercised</w:t>
            </w: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Offering</w:t>
            </w:r>
          </w:p>
        </w:tc>
        <w:tc>
          <w:tcPr>
            <w:tcW w:w="100" w:type="dxa"/>
            <w:vAlign w:val="bottom"/>
          </w:tcPr>
          <w:p>
            <w:pPr>
              <w:spacing w:after="0"/>
              <w:rPr>
                <w:sz w:val="8"/>
                <w:szCs w:val="8"/>
                <w:color w:val="auto"/>
              </w:rPr>
            </w:pPr>
          </w:p>
        </w:tc>
        <w:tc>
          <w:tcPr>
            <w:tcW w:w="110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1"/>
              </w:rPr>
              <w:t>Option is Not</w:t>
            </w:r>
          </w:p>
        </w:tc>
        <w:tc>
          <w:tcPr>
            <w:tcW w:w="82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89"/>
              </w:rPr>
              <w:t>Exercised</w:t>
            </w:r>
          </w:p>
        </w:tc>
        <w:tc>
          <w:tcPr>
            <w:tcW w:w="0" w:type="dxa"/>
            <w:vAlign w:val="bottom"/>
          </w:tcPr>
          <w:p>
            <w:pPr>
              <w:spacing w:after="0"/>
              <w:rPr>
                <w:sz w:val="1"/>
                <w:szCs w:val="1"/>
                <w:color w:val="auto"/>
              </w:rPr>
            </w:pPr>
          </w:p>
        </w:tc>
      </w:tr>
      <w:tr>
        <w:trPr>
          <w:trHeight w:val="104"/>
        </w:trPr>
        <w:tc>
          <w:tcPr>
            <w:tcW w:w="1260" w:type="dxa"/>
            <w:vAlign w:val="bottom"/>
            <w:gridSpan w:val="3"/>
          </w:tcPr>
          <w:p>
            <w:pPr>
              <w:ind w:left="40"/>
              <w:spacing w:after="0"/>
              <w:rPr>
                <w:sz w:val="20"/>
                <w:szCs w:val="20"/>
                <w:color w:val="auto"/>
              </w:rPr>
            </w:pPr>
            <w:r>
              <w:rPr>
                <w:rFonts w:ascii="Arial" w:cs="Arial" w:eastAsia="Arial" w:hAnsi="Arial"/>
                <w:sz w:val="9"/>
                <w:szCs w:val="9"/>
                <w:b w:val="1"/>
                <w:bCs w:val="1"/>
                <w:color w:val="auto"/>
              </w:rPr>
              <w:t>Name of Beneficial Owner</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Transactions</w:t>
            </w:r>
          </w:p>
        </w:tc>
        <w:tc>
          <w:tcPr>
            <w:tcW w:w="1160" w:type="dxa"/>
            <w:vAlign w:val="bottom"/>
            <w:gridSpan w:val="3"/>
          </w:tcPr>
          <w:p>
            <w:pPr>
              <w:jc w:val="center"/>
              <w:ind w:right="220"/>
              <w:spacing w:after="0"/>
              <w:rPr>
                <w:sz w:val="20"/>
                <w:szCs w:val="20"/>
                <w:color w:val="auto"/>
              </w:rPr>
            </w:pPr>
            <w:r>
              <w:rPr>
                <w:rFonts w:ascii="Arial" w:cs="Arial" w:eastAsia="Arial" w:hAnsi="Arial"/>
                <w:sz w:val="9"/>
                <w:szCs w:val="9"/>
                <w:b w:val="1"/>
                <w:bCs w:val="1"/>
                <w:color w:val="auto"/>
                <w:w w:val="89"/>
              </w:rPr>
              <w:t>Exercised</w:t>
            </w:r>
          </w:p>
        </w:tc>
        <w:tc>
          <w:tcPr>
            <w:tcW w:w="1600" w:type="dxa"/>
            <w:vAlign w:val="bottom"/>
            <w:gridSpan w:val="4"/>
          </w:tcPr>
          <w:p>
            <w:pPr>
              <w:jc w:val="center"/>
              <w:ind w:right="880"/>
              <w:spacing w:after="0"/>
              <w:rPr>
                <w:sz w:val="20"/>
                <w:szCs w:val="20"/>
                <w:color w:val="auto"/>
              </w:rPr>
            </w:pPr>
            <w:r>
              <w:rPr>
                <w:rFonts w:ascii="Arial" w:cs="Arial" w:eastAsia="Arial" w:hAnsi="Arial"/>
                <w:sz w:val="9"/>
                <w:szCs w:val="9"/>
                <w:b w:val="1"/>
                <w:bCs w:val="1"/>
                <w:color w:val="auto"/>
                <w:w w:val="90"/>
              </w:rPr>
              <w:t>in Full</w:t>
            </w:r>
          </w:p>
        </w:tc>
        <w:tc>
          <w:tcPr>
            <w:tcW w:w="9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9"/>
              </w:rPr>
              <w:t>Transactions</w:t>
            </w:r>
          </w:p>
        </w:tc>
        <w:tc>
          <w:tcPr>
            <w:tcW w:w="10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9"/>
              </w:rPr>
              <w:t>Exercised</w:t>
            </w:r>
          </w:p>
        </w:tc>
        <w:tc>
          <w:tcPr>
            <w:tcW w:w="10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in Full</w:t>
            </w: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89"/>
              </w:rPr>
              <w:t>Transactions</w:t>
            </w:r>
          </w:p>
        </w:tc>
        <w:tc>
          <w:tcPr>
            <w:tcW w:w="100" w:type="dxa"/>
            <w:vAlign w:val="bottom"/>
          </w:tcPr>
          <w:p>
            <w:pPr>
              <w:spacing w:after="0"/>
              <w:rPr>
                <w:sz w:val="9"/>
                <w:szCs w:val="9"/>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89"/>
              </w:rPr>
              <w:t>Exercised</w:t>
            </w:r>
          </w:p>
        </w:tc>
        <w:tc>
          <w:tcPr>
            <w:tcW w:w="820" w:type="dxa"/>
            <w:vAlign w:val="bottom"/>
          </w:tcPr>
          <w:p>
            <w:pPr>
              <w:jc w:val="center"/>
              <w:ind w:right="35"/>
              <w:spacing w:after="0"/>
              <w:rPr>
                <w:sz w:val="20"/>
                <w:szCs w:val="20"/>
                <w:color w:val="auto"/>
              </w:rPr>
            </w:pPr>
            <w:r>
              <w:rPr>
                <w:rFonts w:ascii="Arial" w:cs="Arial" w:eastAsia="Arial" w:hAnsi="Arial"/>
                <w:sz w:val="9"/>
                <w:szCs w:val="9"/>
                <w:b w:val="1"/>
                <w:bCs w:val="1"/>
                <w:color w:val="auto"/>
                <w:w w:val="97"/>
              </w:rPr>
              <w:t>in Full</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260" w:type="dxa"/>
            <w:vAlign w:val="bottom"/>
            <w:gridSpan w:val="3"/>
            <w:shd w:val="clear" w:color="auto" w:fill="CCEEFF"/>
          </w:tcPr>
          <w:p>
            <w:pPr>
              <w:ind w:left="40"/>
              <w:spacing w:after="0" w:line="114" w:lineRule="exact"/>
              <w:rPr>
                <w:sz w:val="20"/>
                <w:szCs w:val="20"/>
                <w:color w:val="auto"/>
              </w:rPr>
            </w:pPr>
            <w:r>
              <w:rPr>
                <w:rFonts w:ascii="Arial" w:cs="Arial" w:eastAsia="Arial" w:hAnsi="Arial"/>
                <w:sz w:val="10"/>
                <w:szCs w:val="10"/>
                <w:color w:val="auto"/>
              </w:rPr>
              <w:t>Parties to our stockholders</w:t>
            </w: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vMerge w:val="restart"/>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vMerge w:val="restart"/>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agreement as a group</w:t>
            </w:r>
          </w:p>
        </w:tc>
        <w:tc>
          <w:tcPr>
            <w:tcW w:w="700" w:type="dxa"/>
            <w:vAlign w:val="bottom"/>
            <w:tcBorders>
              <w:bottom w:val="single" w:sz="8" w:color="CCEEFF"/>
            </w:tcBorders>
            <w:gridSpan w:val="2"/>
            <w:vMerge w:val="continue"/>
            <w:shd w:val="clear" w:color="auto" w:fill="CCEEFF"/>
          </w:tcPr>
          <w:p>
            <w:pPr>
              <w:spacing w:after="0"/>
              <w:rPr>
                <w:sz w:val="11"/>
                <w:szCs w:val="11"/>
                <w:color w:val="auto"/>
              </w:rPr>
            </w:pPr>
          </w:p>
        </w:tc>
        <w:tc>
          <w:tcPr>
            <w:tcW w:w="940" w:type="dxa"/>
            <w:vAlign w:val="bottom"/>
            <w:tcBorders>
              <w:bottom w:val="single" w:sz="8" w:color="CCEEFF"/>
            </w:tcBorders>
            <w:gridSpan w:val="2"/>
            <w:vMerge w:val="continue"/>
            <w:shd w:val="clear" w:color="auto" w:fill="CCEEFF"/>
          </w:tcPr>
          <w:p>
            <w:pPr>
              <w:spacing w:after="0"/>
              <w:rPr>
                <w:sz w:val="11"/>
                <w:szCs w:val="11"/>
                <w:color w:val="auto"/>
              </w:rPr>
            </w:pPr>
          </w:p>
        </w:tc>
        <w:tc>
          <w:tcPr>
            <w:tcW w:w="1160" w:type="dxa"/>
            <w:vAlign w:val="bottom"/>
            <w:tcBorders>
              <w:bottom w:val="single" w:sz="8" w:color="CCEEFF"/>
            </w:tcBorders>
            <w:gridSpan w:val="3"/>
            <w:vMerge w:val="continue"/>
            <w:shd w:val="clear" w:color="auto" w:fill="CCEEFF"/>
          </w:tcPr>
          <w:p>
            <w:pPr>
              <w:spacing w:after="0"/>
              <w:rPr>
                <w:sz w:val="11"/>
                <w:szCs w:val="11"/>
                <w:color w:val="auto"/>
              </w:rPr>
            </w:pPr>
          </w:p>
        </w:tc>
        <w:tc>
          <w:tcPr>
            <w:tcW w:w="1600" w:type="dxa"/>
            <w:vAlign w:val="bottom"/>
            <w:tcBorders>
              <w:bottom w:val="single" w:sz="8" w:color="CCEEFF"/>
            </w:tcBorders>
            <w:gridSpan w:val="4"/>
            <w:vMerge w:val="continue"/>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ind w:left="40"/>
              <w:spacing w:after="0"/>
              <w:rPr>
                <w:sz w:val="20"/>
                <w:szCs w:val="20"/>
                <w:color w:val="auto"/>
              </w:rPr>
            </w:pPr>
            <w:r>
              <w:rPr>
                <w:rFonts w:ascii="Arial" w:cs="Arial" w:eastAsia="Arial" w:hAnsi="Arial"/>
                <w:sz w:val="10"/>
                <w:szCs w:val="10"/>
                <w:color w:val="auto"/>
              </w:rPr>
              <w:t>TA Associates</w:t>
            </w:r>
            <w:r>
              <w:rPr>
                <w:rFonts w:ascii="Arial" w:cs="Arial" w:eastAsia="Arial" w:hAnsi="Arial"/>
                <w:sz w:val="16"/>
                <w:szCs w:val="16"/>
                <w:color w:val="auto"/>
                <w:vertAlign w:val="superscript"/>
              </w:rPr>
              <w:t>(3)</w:t>
            </w:r>
          </w:p>
        </w:tc>
        <w:tc>
          <w:tcPr>
            <w:tcW w:w="7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auto"/>
              </w:rPr>
              <w:t>Investment Funds affiliated</w:t>
            </w: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vMerge w:val="restart"/>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vMerge w:val="restart"/>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160"/>
              <w:spacing w:after="0" w:line="161" w:lineRule="exact"/>
              <w:rPr>
                <w:sz w:val="20"/>
                <w:szCs w:val="20"/>
                <w:color w:val="auto"/>
              </w:rPr>
            </w:pPr>
            <w:r>
              <w:rPr>
                <w:rFonts w:ascii="Arial" w:cs="Arial" w:eastAsia="Arial" w:hAnsi="Arial"/>
                <w:sz w:val="10"/>
                <w:szCs w:val="10"/>
                <w:color w:val="auto"/>
              </w:rPr>
              <w:t>with Carlyle</w:t>
            </w:r>
            <w:r>
              <w:rPr>
                <w:rFonts w:ascii="Arial" w:cs="Arial" w:eastAsia="Arial" w:hAnsi="Arial"/>
                <w:sz w:val="16"/>
                <w:szCs w:val="16"/>
                <w:color w:val="auto"/>
                <w:vertAlign w:val="superscript"/>
              </w:rPr>
              <w:t>(4)</w:t>
            </w:r>
          </w:p>
        </w:tc>
        <w:tc>
          <w:tcPr>
            <w:tcW w:w="70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3"/>
            <w:vMerge w:val="continue"/>
            <w:shd w:val="clear" w:color="auto" w:fill="CCEEFF"/>
          </w:tcPr>
          <w:p>
            <w:pPr>
              <w:spacing w:after="0"/>
              <w:rPr>
                <w:sz w:val="13"/>
                <w:szCs w:val="13"/>
                <w:color w:val="auto"/>
              </w:rPr>
            </w:pPr>
          </w:p>
        </w:tc>
        <w:tc>
          <w:tcPr>
            <w:tcW w:w="1600" w:type="dxa"/>
            <w:vAlign w:val="bottom"/>
            <w:gridSpan w:val="4"/>
            <w:vMerge w:val="continue"/>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ind w:left="40"/>
              <w:spacing w:after="0"/>
              <w:rPr>
                <w:sz w:val="20"/>
                <w:szCs w:val="20"/>
                <w:color w:val="auto"/>
              </w:rPr>
            </w:pPr>
            <w:r>
              <w:rPr>
                <w:rFonts w:ascii="Arial" w:cs="Arial" w:eastAsia="Arial" w:hAnsi="Arial"/>
                <w:sz w:val="10"/>
                <w:szCs w:val="10"/>
                <w:color w:val="auto"/>
              </w:rPr>
              <w:t>22C Capital</w:t>
            </w:r>
            <w:r>
              <w:rPr>
                <w:rFonts w:ascii="Arial" w:cs="Arial" w:eastAsia="Arial" w:hAnsi="Arial"/>
                <w:sz w:val="16"/>
                <w:szCs w:val="16"/>
                <w:color w:val="auto"/>
                <w:vertAlign w:val="superscript"/>
              </w:rPr>
              <w:t>(5)</w:t>
            </w:r>
          </w:p>
        </w:tc>
        <w:tc>
          <w:tcPr>
            <w:tcW w:w="7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auto"/>
              </w:rPr>
              <w:t>DO Holdings (WA), LLC</w:t>
            </w:r>
            <w:r>
              <w:rPr>
                <w:rFonts w:ascii="Arial" w:cs="Arial" w:eastAsia="Arial" w:hAnsi="Arial"/>
                <w:sz w:val="16"/>
                <w:szCs w:val="16"/>
                <w:color w:val="auto"/>
                <w:vertAlign w:val="superscript"/>
              </w:rPr>
              <w:t>(6)</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ind w:left="40"/>
              <w:spacing w:after="0"/>
              <w:rPr>
                <w:sz w:val="20"/>
                <w:szCs w:val="20"/>
                <w:color w:val="auto"/>
              </w:rPr>
            </w:pPr>
            <w:r>
              <w:rPr>
                <w:rFonts w:ascii="Arial" w:cs="Arial" w:eastAsia="Arial" w:hAnsi="Arial"/>
                <w:sz w:val="10"/>
                <w:szCs w:val="10"/>
                <w:color w:val="auto"/>
              </w:rPr>
              <w:t>Kirk Brown</w:t>
            </w:r>
            <w:r>
              <w:rPr>
                <w:rFonts w:ascii="Arial" w:cs="Arial" w:eastAsia="Arial" w:hAnsi="Arial"/>
                <w:sz w:val="16"/>
                <w:szCs w:val="16"/>
                <w:color w:val="auto"/>
                <w:vertAlign w:val="superscript"/>
              </w:rPr>
              <w:t>(6)(7)</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auto"/>
              </w:rPr>
              <w:t>Henry Schuck</w:t>
            </w:r>
            <w:r>
              <w:rPr>
                <w:rFonts w:ascii="Arial" w:cs="Arial" w:eastAsia="Arial" w:hAnsi="Arial"/>
                <w:sz w:val="16"/>
                <w:szCs w:val="16"/>
                <w:color w:val="auto"/>
                <w:vertAlign w:val="superscript"/>
              </w:rPr>
              <w:t>(6)(8)</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ind w:left="40"/>
              <w:spacing w:after="0"/>
              <w:rPr>
                <w:sz w:val="20"/>
                <w:szCs w:val="20"/>
                <w:color w:val="auto"/>
              </w:rPr>
            </w:pPr>
            <w:r>
              <w:rPr>
                <w:rFonts w:ascii="Arial" w:cs="Arial" w:eastAsia="Arial" w:hAnsi="Arial"/>
                <w:sz w:val="10"/>
                <w:szCs w:val="10"/>
                <w:color w:val="auto"/>
              </w:rPr>
              <w:t>Cameron Hyzer</w:t>
            </w:r>
            <w:r>
              <w:rPr>
                <w:rFonts w:ascii="Arial" w:cs="Arial" w:eastAsia="Arial" w:hAnsi="Arial"/>
                <w:sz w:val="16"/>
                <w:szCs w:val="16"/>
                <w:color w:val="auto"/>
                <w:vertAlign w:val="superscript"/>
              </w:rPr>
              <w:t>(9)</w:t>
            </w:r>
          </w:p>
        </w:tc>
        <w:tc>
          <w:tcPr>
            <w:tcW w:w="7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auto"/>
              </w:rPr>
              <w:t>Chris Hays</w:t>
            </w:r>
            <w:r>
              <w:rPr>
                <w:rFonts w:ascii="Arial" w:cs="Arial" w:eastAsia="Arial" w:hAnsi="Arial"/>
                <w:sz w:val="16"/>
                <w:szCs w:val="16"/>
                <w:color w:val="auto"/>
                <w:vertAlign w:val="superscript"/>
              </w:rPr>
              <w:t>(10)</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260" w:type="dxa"/>
            <w:vAlign w:val="bottom"/>
            <w:gridSpan w:val="3"/>
          </w:tcPr>
          <w:p>
            <w:pPr>
              <w:ind w:left="40"/>
              <w:spacing w:after="0"/>
              <w:rPr>
                <w:sz w:val="20"/>
                <w:szCs w:val="20"/>
                <w:color w:val="auto"/>
              </w:rPr>
            </w:pPr>
            <w:r>
              <w:rPr>
                <w:rFonts w:ascii="Arial" w:cs="Arial" w:eastAsia="Arial" w:hAnsi="Arial"/>
                <w:sz w:val="10"/>
                <w:szCs w:val="10"/>
                <w:color w:val="auto"/>
                <w:w w:val="95"/>
              </w:rPr>
              <w:t>Directors, director nominees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color w:val="auto"/>
                <w:w w:val="94"/>
              </w:rPr>
              <w:t>and executive officers as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color w:val="auto"/>
              </w:rPr>
              <w:t>a group</w:t>
            </w:r>
          </w:p>
        </w:tc>
        <w:tc>
          <w:tcPr>
            <w:tcW w:w="700" w:type="dxa"/>
            <w:vAlign w:val="bottom"/>
            <w:gridSpan w:val="2"/>
            <w:vMerge w:val="restart"/>
          </w:tcPr>
          <w:p>
            <w:pPr>
              <w:ind w:left="360"/>
              <w:spacing w:after="0"/>
              <w:rPr>
                <w:sz w:val="20"/>
                <w:szCs w:val="20"/>
                <w:color w:val="auto"/>
              </w:rPr>
            </w:pPr>
            <w:r>
              <w:rPr>
                <w:rFonts w:ascii="Arial" w:cs="Arial" w:eastAsia="Arial" w:hAnsi="Arial"/>
                <w:sz w:val="10"/>
                <w:szCs w:val="10"/>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0"/>
                <w:szCs w:val="10"/>
                <w:color w:val="auto"/>
              </w:rPr>
              <w:t>—</w:t>
            </w:r>
          </w:p>
        </w:tc>
        <w:tc>
          <w:tcPr>
            <w:tcW w:w="1160" w:type="dxa"/>
            <w:vAlign w:val="bottom"/>
            <w:gridSpan w:val="3"/>
            <w:vMerge w:val="restart"/>
          </w:tcPr>
          <w:p>
            <w:pPr>
              <w:ind w:left="700"/>
              <w:spacing w:after="0"/>
              <w:rPr>
                <w:sz w:val="20"/>
                <w:szCs w:val="20"/>
                <w:color w:val="auto"/>
              </w:rPr>
            </w:pPr>
            <w:r>
              <w:rPr>
                <w:rFonts w:ascii="Arial" w:cs="Arial" w:eastAsia="Arial" w:hAnsi="Arial"/>
                <w:sz w:val="10"/>
                <w:szCs w:val="10"/>
                <w:color w:val="auto"/>
              </w:rPr>
              <w:t>—</w:t>
            </w:r>
          </w:p>
        </w:tc>
        <w:tc>
          <w:tcPr>
            <w:tcW w:w="1600" w:type="dxa"/>
            <w:vAlign w:val="bottom"/>
            <w:gridSpan w:val="4"/>
            <w:vMerge w:val="restart"/>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color w:val="auto"/>
              </w:rPr>
              <w:t>(   persons)</w:t>
            </w:r>
          </w:p>
        </w:tc>
        <w:tc>
          <w:tcPr>
            <w:tcW w:w="7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 w:lineRule="exact"/>
        <w:rPr>
          <w:sz w:val="20"/>
          <w:szCs w:val="20"/>
          <w:color w:val="auto"/>
        </w:rPr>
      </w:pPr>
    </w:p>
    <w:p>
      <w:pPr>
        <w:jc w:val="both"/>
        <w:ind w:left="340" w:hanging="339"/>
        <w:spacing w:after="0" w:line="241" w:lineRule="auto"/>
        <w:tabs>
          <w:tab w:leader="none" w:pos="320" w:val="left"/>
        </w:tabs>
        <w:rPr>
          <w:sz w:val="20"/>
          <w:szCs w:val="20"/>
          <w:color w:val="auto"/>
        </w:rPr>
      </w:pPr>
      <w:r>
        <w:rPr>
          <w:rFonts w:ascii="Arial" w:cs="Arial" w:eastAsia="Arial" w:hAnsi="Arial"/>
          <w:sz w:val="14"/>
          <w:szCs w:val="14"/>
          <w:color w:val="auto"/>
        </w:rPr>
        <w:t>(1)</w:t>
        <w:tab/>
        <w:t>Subject to the terms of the exchange agreement, the LLC Units are exchangeable for shares of our Class A common stock on a basis after the completion of this offering. See “Certain Relationships and Related Person Transactions—Exchange Agreement.” Beneficial ownership of LLC Units reflected in this table has not been also reflected as beneficial ownership of shares of our Class A common stock for which such units may be exchanged. In calculating the percentage of LLC Units beneficially owned after the Offering Transactions, the LLC Units held by ZoomInfo Technologies Inc. are treated as outstanding.</w:t>
      </w:r>
    </w:p>
    <w:p>
      <w:pPr>
        <w:spacing w:after="0" w:line="2"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Represents percentage of voting power of the Class A common stock and Class B common stock of ZoomInfo Technologies Inc. voting together as a single class. See “Description of Capital</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Stock—Common Stock.”</w:t>
      </w:r>
    </w:p>
    <w:p>
      <w:pPr>
        <w:spacing w:after="0" w:line="1" w:lineRule="exact"/>
        <w:rPr>
          <w:sz w:val="20"/>
          <w:szCs w:val="20"/>
          <w:color w:val="auto"/>
        </w:rPr>
      </w:pPr>
    </w:p>
    <w:p>
      <w:pPr>
        <w:spacing w:after="0"/>
        <w:tabs>
          <w:tab w:leader="none" w:pos="320" w:val="left"/>
          <w:tab w:leader="none" w:pos="3160" w:val="left"/>
          <w:tab w:leader="none" w:pos="6380" w:val="left"/>
          <w:tab w:leader="none" w:pos="10100" w:val="left"/>
        </w:tabs>
        <w:rPr>
          <w:sz w:val="20"/>
          <w:szCs w:val="20"/>
          <w:color w:val="auto"/>
        </w:rPr>
      </w:pPr>
      <w:r>
        <w:rPr>
          <w:rFonts w:ascii="Arial" w:cs="Arial" w:eastAsia="Arial" w:hAnsi="Arial"/>
          <w:sz w:val="14"/>
          <w:szCs w:val="14"/>
          <w:color w:val="auto"/>
        </w:rPr>
        <w:t>(3)</w:t>
        <w:tab/>
        <w:t>Amounts beneficially owned reflect (i)</w:t>
      </w:r>
      <w:r>
        <w:rPr>
          <w:sz w:val="20"/>
          <w:szCs w:val="20"/>
          <w:color w:val="auto"/>
        </w:rPr>
        <w:tab/>
      </w:r>
      <w:r>
        <w:rPr>
          <w:rFonts w:ascii="Arial" w:cs="Arial" w:eastAsia="Arial" w:hAnsi="Arial"/>
          <w:sz w:val="14"/>
          <w:szCs w:val="14"/>
          <w:color w:val="auto"/>
        </w:rPr>
        <w:t>LLC Units held by TA XI DO AIV, L.P., (ii)</w:t>
      </w:r>
      <w:r>
        <w:rPr>
          <w:sz w:val="20"/>
          <w:szCs w:val="20"/>
          <w:color w:val="auto"/>
        </w:rPr>
        <w:tab/>
      </w:r>
      <w:r>
        <w:rPr>
          <w:rFonts w:ascii="Arial" w:cs="Arial" w:eastAsia="Arial" w:hAnsi="Arial"/>
          <w:sz w:val="14"/>
          <w:szCs w:val="14"/>
          <w:color w:val="auto"/>
        </w:rPr>
        <w:t>LLC Units held by TA XI DO AIV II, L.P., (iii)</w:t>
      </w:r>
      <w:r>
        <w:rPr>
          <w:sz w:val="20"/>
          <w:szCs w:val="20"/>
          <w:color w:val="auto"/>
        </w:rPr>
        <w:tab/>
      </w:r>
      <w:r>
        <w:rPr>
          <w:rFonts w:ascii="Arial" w:cs="Arial" w:eastAsia="Arial" w:hAnsi="Arial"/>
          <w:sz w:val="13"/>
          <w:szCs w:val="13"/>
          <w:color w:val="auto"/>
        </w:rPr>
        <w:t>LLC Units held by TA</w:t>
      </w:r>
    </w:p>
    <w:p>
      <w:pPr>
        <w:spacing w:after="0" w:line="1" w:lineRule="exact"/>
        <w:rPr>
          <w:sz w:val="20"/>
          <w:szCs w:val="20"/>
          <w:color w:val="auto"/>
        </w:rPr>
      </w:pPr>
    </w:p>
    <w:p>
      <w:pPr>
        <w:ind w:left="340"/>
        <w:spacing w:after="0"/>
        <w:tabs>
          <w:tab w:leader="none" w:pos="3500" w:val="left"/>
          <w:tab w:leader="none" w:pos="8660" w:val="left"/>
        </w:tabs>
        <w:rPr>
          <w:sz w:val="20"/>
          <w:szCs w:val="20"/>
          <w:color w:val="auto"/>
        </w:rPr>
      </w:pPr>
      <w:r>
        <w:rPr>
          <w:rFonts w:ascii="Arial" w:cs="Arial" w:eastAsia="Arial" w:hAnsi="Arial"/>
          <w:sz w:val="14"/>
          <w:szCs w:val="14"/>
          <w:color w:val="auto"/>
        </w:rPr>
        <w:t>Atlantic and Pacific VII-A, L.P., (iv)</w:t>
      </w:r>
      <w:r>
        <w:rPr>
          <w:sz w:val="20"/>
          <w:szCs w:val="20"/>
          <w:color w:val="auto"/>
        </w:rPr>
        <w:tab/>
      </w:r>
      <w:r>
        <w:rPr>
          <w:rFonts w:ascii="Arial" w:cs="Arial" w:eastAsia="Arial" w:hAnsi="Arial"/>
          <w:sz w:val="14"/>
          <w:szCs w:val="14"/>
          <w:color w:val="auto"/>
        </w:rPr>
        <w:t>LLC Units held by TA AP VII-B DO Subsidiary Partnership, L.P., (v)</w:t>
      </w:r>
      <w:r>
        <w:rPr>
          <w:sz w:val="20"/>
          <w:szCs w:val="20"/>
          <w:color w:val="auto"/>
        </w:rPr>
        <w:tab/>
      </w:r>
      <w:r>
        <w:rPr>
          <w:rFonts w:ascii="Arial" w:cs="Arial" w:eastAsia="Arial" w:hAnsi="Arial"/>
          <w:sz w:val="14"/>
          <w:szCs w:val="14"/>
          <w:color w:val="auto"/>
        </w:rPr>
        <w:t>LLC Units held by TA Investors IV, L.P., (vi)</w:t>
      </w:r>
    </w:p>
    <w:p>
      <w:pPr>
        <w:spacing w:after="0" w:line="1" w:lineRule="exact"/>
        <w:rPr>
          <w:sz w:val="20"/>
          <w:szCs w:val="20"/>
          <w:color w:val="auto"/>
        </w:rPr>
      </w:pPr>
    </w:p>
    <w:p>
      <w:pPr>
        <w:ind w:left="1240"/>
        <w:spacing w:after="0"/>
        <w:tabs>
          <w:tab w:leader="none" w:pos="4900" w:val="left"/>
          <w:tab w:leader="none" w:pos="8820" w:val="left"/>
        </w:tabs>
        <w:rPr>
          <w:sz w:val="20"/>
          <w:szCs w:val="20"/>
          <w:color w:val="auto"/>
        </w:rPr>
      </w:pPr>
      <w:r>
        <w:rPr>
          <w:rFonts w:ascii="Arial" w:cs="Arial" w:eastAsia="Arial" w:hAnsi="Arial"/>
          <w:sz w:val="14"/>
          <w:szCs w:val="14"/>
          <w:color w:val="auto"/>
        </w:rPr>
        <w:t>LLC Units held by TA SDF III DO AIV, L.P., (vii)</w:t>
      </w:r>
      <w:r>
        <w:rPr>
          <w:sz w:val="20"/>
          <w:szCs w:val="20"/>
          <w:color w:val="auto"/>
        </w:rPr>
        <w:tab/>
      </w:r>
      <w:r>
        <w:rPr>
          <w:rFonts w:ascii="Arial" w:cs="Arial" w:eastAsia="Arial" w:hAnsi="Arial"/>
          <w:sz w:val="14"/>
          <w:szCs w:val="14"/>
          <w:color w:val="auto"/>
        </w:rPr>
        <w:t>LLC Units held by TA SDF III DO AIV II, L.P., (viii)</w:t>
      </w:r>
      <w:r>
        <w:rPr>
          <w:sz w:val="20"/>
          <w:szCs w:val="20"/>
          <w:color w:val="auto"/>
        </w:rPr>
        <w:tab/>
      </w:r>
      <w:r>
        <w:rPr>
          <w:rFonts w:ascii="Arial" w:cs="Arial" w:eastAsia="Arial" w:hAnsi="Arial"/>
          <w:sz w:val="13"/>
          <w:szCs w:val="13"/>
          <w:color w:val="auto"/>
        </w:rPr>
        <w:t>LLC Units held by TA SDF II DO AIV, L.P.,</w:t>
      </w:r>
    </w:p>
    <w:p>
      <w:pPr>
        <w:spacing w:after="0" w:line="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4"/>
          <w:szCs w:val="14"/>
          <w:color w:val="auto"/>
        </w:rPr>
        <w:t>and (ix)</w:t>
      </w:r>
      <w:r>
        <w:rPr>
          <w:sz w:val="20"/>
          <w:szCs w:val="20"/>
          <w:color w:val="auto"/>
        </w:rPr>
        <w:tab/>
      </w:r>
      <w:r>
        <w:rPr>
          <w:rFonts w:ascii="Arial" w:cs="Arial" w:eastAsia="Arial" w:hAnsi="Arial"/>
          <w:sz w:val="13"/>
          <w:szCs w:val="13"/>
          <w:color w:val="auto"/>
        </w:rPr>
        <w:t>LLC Units held by TA SDF II DO AIV II, L.P. (the “TA Associates Funds”). TA Associates, L.P. is the ultimate general partner of each of such entity. Investment and</w:t>
      </w:r>
    </w:p>
    <w:p>
      <w:pPr>
        <w:spacing w:after="0" w:line="1" w:lineRule="exact"/>
        <w:rPr>
          <w:sz w:val="20"/>
          <w:szCs w:val="20"/>
          <w:color w:val="auto"/>
        </w:rPr>
      </w:pPr>
    </w:p>
    <w:p>
      <w:pPr>
        <w:jc w:val="both"/>
        <w:ind w:left="340"/>
        <w:spacing w:after="0" w:line="248" w:lineRule="auto"/>
        <w:rPr>
          <w:sz w:val="20"/>
          <w:szCs w:val="20"/>
          <w:color w:val="auto"/>
        </w:rPr>
      </w:pPr>
      <w:r>
        <w:rPr>
          <w:rFonts w:ascii="Arial" w:cs="Arial" w:eastAsia="Arial" w:hAnsi="Arial"/>
          <w:sz w:val="14"/>
          <w:szCs w:val="14"/>
          <w:color w:val="auto"/>
        </w:rPr>
        <w:t>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338" w:right="239" w:bottom="1440" w:gutter="0" w:footer="0" w:header="0"/>
        </w:sectPr>
      </w:pPr>
    </w:p>
    <w:bookmarkStart w:id="154" w:name="page155"/>
    <w:bookmarkEnd w:id="154"/>
    <w:p>
      <w:pPr>
        <w:ind w:left="340"/>
        <w:spacing w:after="0"/>
        <w:rPr>
          <w:sz w:val="20"/>
          <w:szCs w:val="20"/>
          <w:color w:val="auto"/>
        </w:rPr>
      </w:pPr>
      <w:r>
        <w:rPr>
          <w:rFonts w:ascii="Arial" w:cs="Arial" w:eastAsia="Arial" w:hAnsi="Arial"/>
          <w:sz w:val="13"/>
          <w:szCs w:val="13"/>
          <w:color w:val="auto"/>
        </w:rPr>
        <w:t>of TA Associates, L.P.: Todd R. Crockett, Jason P. Werlin, Jason S. Mironov, Kurt R. Jaggers and Jeffrey T. Chambers. The address of each TA Associates Fund is 200 Clarendon Street, 56th</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floor, Boston, Massachusetts 02116.</w:t>
            </w:r>
          </w:p>
        </w:tc>
        <w:tc>
          <w:tcPr>
            <w:tcW w:w="9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9"/>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(4)</w:t>
            </w:r>
          </w:p>
        </w:tc>
        <w:tc>
          <w:tcPr>
            <w:tcW w:w="5560" w:type="dxa"/>
            <w:vAlign w:val="bottom"/>
            <w:gridSpan w:val="4"/>
          </w:tcPr>
          <w:p>
            <w:pPr>
              <w:ind w:left="80"/>
              <w:spacing w:after="0"/>
              <w:rPr>
                <w:sz w:val="20"/>
                <w:szCs w:val="20"/>
                <w:color w:val="auto"/>
              </w:rPr>
            </w:pPr>
            <w:r>
              <w:rPr>
                <w:rFonts w:ascii="Arial" w:cs="Arial" w:eastAsia="Arial" w:hAnsi="Arial"/>
                <w:sz w:val="14"/>
                <w:szCs w:val="14"/>
                <w:color w:val="auto"/>
                <w:w w:val="99"/>
              </w:rPr>
              <w:t>Carlyle Partners VI Evergreen Holdings, L.P. (“Carlyle Evergreen”) is the record holder of</w:t>
            </w:r>
          </w:p>
        </w:tc>
        <w:tc>
          <w:tcPr>
            <w:tcW w:w="5600" w:type="dxa"/>
            <w:vAlign w:val="bottom"/>
            <w:gridSpan w:val="4"/>
          </w:tcPr>
          <w:p>
            <w:pPr>
              <w:jc w:val="right"/>
              <w:spacing w:after="0"/>
              <w:rPr>
                <w:sz w:val="20"/>
                <w:szCs w:val="20"/>
                <w:color w:val="auto"/>
              </w:rPr>
            </w:pPr>
            <w:r>
              <w:rPr>
                <w:rFonts w:ascii="Arial" w:cs="Arial" w:eastAsia="Arial" w:hAnsi="Arial"/>
                <w:sz w:val="14"/>
                <w:szCs w:val="14"/>
                <w:color w:val="auto"/>
              </w:rPr>
              <w:t>LLC Units. TA XI DO Blocker LLC, TA SDF III DO Blocker LLC, TA SDF II DO</w:t>
            </w:r>
          </w:p>
        </w:tc>
      </w:tr>
      <w:tr>
        <w:trPr>
          <w:trHeight w:val="162"/>
        </w:trPr>
        <w:tc>
          <w:tcPr>
            <w:tcW w:w="260" w:type="dxa"/>
            <w:vAlign w:val="bottom"/>
          </w:tcPr>
          <w:p>
            <w:pPr>
              <w:spacing w:after="0"/>
              <w:rPr>
                <w:sz w:val="14"/>
                <w:szCs w:val="14"/>
                <w:color w:val="auto"/>
              </w:rPr>
            </w:pPr>
          </w:p>
        </w:tc>
        <w:tc>
          <w:tcPr>
            <w:tcW w:w="10100" w:type="dxa"/>
            <w:vAlign w:val="bottom"/>
            <w:gridSpan w:val="7"/>
          </w:tcPr>
          <w:p>
            <w:pPr>
              <w:ind w:left="80"/>
              <w:spacing w:after="0"/>
              <w:rPr>
                <w:sz w:val="20"/>
                <w:szCs w:val="20"/>
                <w:color w:val="auto"/>
              </w:rPr>
            </w:pPr>
            <w:r>
              <w:rPr>
                <w:rFonts w:ascii="Arial" w:cs="Arial" w:eastAsia="Arial" w:hAnsi="Arial"/>
                <w:sz w:val="14"/>
                <w:szCs w:val="14"/>
                <w:color w:val="auto"/>
                <w:w w:val="98"/>
              </w:rPr>
              <w:t>Blocker LLC and TA AP VII-B DO Blocker LLC (the “Dash Entities” and, together with Carlyle Evergreen, the “Carlyle Investors”) are collectively the record holders of</w:t>
            </w:r>
          </w:p>
        </w:tc>
        <w:tc>
          <w:tcPr>
            <w:tcW w:w="1060" w:type="dxa"/>
            <w:vAlign w:val="bottom"/>
          </w:tcPr>
          <w:p>
            <w:pPr>
              <w:jc w:val="right"/>
              <w:spacing w:after="0"/>
              <w:rPr>
                <w:sz w:val="20"/>
                <w:szCs w:val="20"/>
                <w:color w:val="auto"/>
              </w:rPr>
            </w:pPr>
            <w:r>
              <w:rPr>
                <w:rFonts w:ascii="Arial" w:cs="Arial" w:eastAsia="Arial" w:hAnsi="Arial"/>
                <w:sz w:val="14"/>
                <w:szCs w:val="14"/>
                <w:color w:val="auto"/>
              </w:rPr>
              <w:t>shares of</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6"/>
              </w:rPr>
              <w:t>Class A Common Stock. Carlyle Group Management L.L.C. holds an irrevocable proxy to vote a majority of the shares of The Carlyle Group Inc., which is a publicly traded entity listed on</w:t>
            </w:r>
          </w:p>
        </w:tc>
      </w:tr>
      <w:tr>
        <w:trPr>
          <w:trHeight w:val="162"/>
        </w:trPr>
        <w:tc>
          <w:tcPr>
            <w:tcW w:w="26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NASDAQ.</w:t>
            </w:r>
          </w:p>
        </w:tc>
        <w:tc>
          <w:tcPr>
            <w:tcW w:w="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40" w:type="dxa"/>
            <w:vAlign w:val="bottom"/>
            <w:gridSpan w:val="7"/>
          </w:tcPr>
          <w:p>
            <w:pPr>
              <w:jc w:val="right"/>
              <w:spacing w:after="0"/>
              <w:rPr>
                <w:sz w:val="20"/>
                <w:szCs w:val="20"/>
                <w:color w:val="auto"/>
              </w:rPr>
            </w:pPr>
            <w:r>
              <w:rPr>
                <w:rFonts w:ascii="Arial" w:cs="Arial" w:eastAsia="Arial" w:hAnsi="Arial"/>
                <w:sz w:val="14"/>
                <w:szCs w:val="14"/>
                <w:color w:val="auto"/>
                <w:w w:val="97"/>
              </w:rPr>
              <w:t>The Carlyle Group Inc. is the sole shareholder of Carlyle Holdings I GP Inc., which is the managing member of Carlyle Holdings I GP Sub L.L.C., which is the general partner of</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5"/>
              </w:rPr>
              <w:t>Carlyle Holdings I L.P., which, with respect to the securities held of record by Carlyle Evergreen, is the managing member of CG Subsidiary Holdings L.L.C., which is the managing member</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6"/>
              </w:rPr>
              <w:t>of TC Group, L.L.C., which is the general partner of TC Group Sub L.P., which is the managing member of TC Group VI S1, L.L.C., which is the general partner of TC Group VI S1, L.P.,</w:t>
            </w:r>
          </w:p>
        </w:tc>
      </w:tr>
      <w:tr>
        <w:trPr>
          <w:trHeight w:val="162"/>
        </w:trPr>
        <w:tc>
          <w:tcPr>
            <w:tcW w:w="260" w:type="dxa"/>
            <w:vAlign w:val="bottom"/>
          </w:tcPr>
          <w:p>
            <w:pPr>
              <w:spacing w:after="0"/>
              <w:rPr>
                <w:sz w:val="14"/>
                <w:szCs w:val="14"/>
                <w:color w:val="auto"/>
              </w:rPr>
            </w:pPr>
          </w:p>
        </w:tc>
        <w:tc>
          <w:tcPr>
            <w:tcW w:w="3560" w:type="dxa"/>
            <w:vAlign w:val="bottom"/>
            <w:gridSpan w:val="3"/>
          </w:tcPr>
          <w:p>
            <w:pPr>
              <w:ind w:left="80"/>
              <w:spacing w:after="0"/>
              <w:rPr>
                <w:sz w:val="20"/>
                <w:szCs w:val="20"/>
                <w:color w:val="auto"/>
              </w:rPr>
            </w:pPr>
            <w:r>
              <w:rPr>
                <w:rFonts w:ascii="Arial" w:cs="Arial" w:eastAsia="Arial" w:hAnsi="Arial"/>
                <w:sz w:val="14"/>
                <w:szCs w:val="14"/>
                <w:color w:val="auto"/>
              </w:rPr>
              <w:t>which is the general partner of Carlyle Evergreen.</w:t>
            </w:r>
          </w:p>
        </w:tc>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6"/>
              </w:rPr>
              <w:t>The Carlyle Group Inc. is also the sole member of Carlyle Holdings II GP L.L.C., which is the managing member of Carlyle Holdings II L.L.C., which, with respect to the securities held of</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6"/>
              </w:rPr>
              <w:t>record by the Dash Entities, is the managing member of CG Subsidiary Holdings L.L.C., which is the general partner of TC Group Cayman Investment Holdings, L.P., which is the general</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4"/>
              </w:rPr>
              <w:t>partner of TC Group Cayman Investment Holdings Sub L.P., which is the sole member of TC Group VI, L.L.C., which is the general partner of TC Group VI, L.P., which is the general partner</w:t>
            </w:r>
          </w:p>
        </w:tc>
      </w:tr>
      <w:tr>
        <w:trPr>
          <w:trHeight w:val="162"/>
        </w:trPr>
        <w:tc>
          <w:tcPr>
            <w:tcW w:w="260" w:type="dxa"/>
            <w:vAlign w:val="bottom"/>
          </w:tcPr>
          <w:p>
            <w:pPr>
              <w:spacing w:after="0"/>
              <w:rPr>
                <w:sz w:val="14"/>
                <w:szCs w:val="14"/>
                <w:color w:val="auto"/>
              </w:rPr>
            </w:pPr>
          </w:p>
        </w:tc>
        <w:tc>
          <w:tcPr>
            <w:tcW w:w="7680" w:type="dxa"/>
            <w:vAlign w:val="bottom"/>
            <w:gridSpan w:val="5"/>
          </w:tcPr>
          <w:p>
            <w:pPr>
              <w:ind w:left="80"/>
              <w:spacing w:after="0"/>
              <w:rPr>
                <w:sz w:val="20"/>
                <w:szCs w:val="20"/>
                <w:color w:val="auto"/>
              </w:rPr>
            </w:pPr>
            <w:r>
              <w:rPr>
                <w:rFonts w:ascii="Arial" w:cs="Arial" w:eastAsia="Arial" w:hAnsi="Arial"/>
                <w:sz w:val="14"/>
                <w:szCs w:val="14"/>
                <w:color w:val="auto"/>
              </w:rPr>
              <w:t>of Carlyle Partners VI Dash Holdings, L.P., which is the general partner of each of the Dash Entities.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8"/>
              </w:rPr>
              <w:t>Voting and investment determinations with respect to the securities held by Carlyle Evergreen are made by an investment committee of TC Group VI, L.P. and voting and investment</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7"/>
              </w:rPr>
              <w:t>determinations with respect to the securities held by the Dash Entities are made by an investment committee of TC Group VI S1, L.P., each of which is comprised of Allan Holt, William</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7"/>
              </w:rPr>
              <w:t>Conway, Jr., Daniel D’Aniello, David Rubenstein, Peter Clare, Kewsong Lee, Norma Kuntz, Sandra Horbach and Marco De Benedetti as a non-voting observer. Accordingly, each of the</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8"/>
              </w:rPr>
              <w:t>entities and individuals named in this footnote may be deemed to share beneficial ownership of the securities held of record by the Carlyle Investors. Each of them disclaims beneficial</w:t>
            </w:r>
          </w:p>
        </w:tc>
      </w:tr>
      <w:tr>
        <w:trPr>
          <w:trHeight w:val="162"/>
        </w:trPr>
        <w:tc>
          <w:tcPr>
            <w:tcW w:w="26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ownership of such securities.</w:t>
            </w:r>
          </w:p>
        </w:tc>
        <w:tc>
          <w:tcPr>
            <w:tcW w:w="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6"/>
              </w:rPr>
              <w:t>The address of each of TC Group Cayman Investment Holdings, L.P. and TC Group Cayman Investment Holdings Sub L.P. is c/o Walkers, Cayman Corporate Center, 27 Hospital Road,</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5"/>
              </w:rPr>
              <w:t>George Town, Grand Cayman KY1-9008, Cayman Islands. The address of each of the other entities named in this footnote is c/o The Carlyle Group Inc., 1001 Pennsylvania Avenue, NW,</w:t>
            </w:r>
          </w:p>
        </w:tc>
      </w:tr>
      <w:tr>
        <w:trPr>
          <w:trHeight w:val="162"/>
        </w:trPr>
        <w:tc>
          <w:tcPr>
            <w:tcW w:w="26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color w:val="auto"/>
                <w:w w:val="95"/>
              </w:rPr>
              <w:t>Suite 220 South, Washington, D.C. 20004.</w:t>
            </w:r>
          </w:p>
        </w:tc>
        <w:tc>
          <w:tcPr>
            <w:tcW w:w="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(5)</w:t>
            </w: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Amounts beneficially owned reflect: (1)</w:t>
            </w:r>
          </w:p>
        </w:tc>
        <w:tc>
          <w:tcPr>
            <w:tcW w:w="7480" w:type="dxa"/>
            <w:vAlign w:val="bottom"/>
            <w:gridSpan w:val="5"/>
          </w:tcPr>
          <w:p>
            <w:pPr>
              <w:ind w:left="200"/>
              <w:spacing w:after="0"/>
              <w:rPr>
                <w:sz w:val="20"/>
                <w:szCs w:val="20"/>
                <w:color w:val="auto"/>
              </w:rPr>
            </w:pPr>
            <w:r>
              <w:rPr>
                <w:rFonts w:ascii="Arial" w:cs="Arial" w:eastAsia="Arial" w:hAnsi="Arial"/>
                <w:sz w:val="14"/>
                <w:szCs w:val="14"/>
                <w:color w:val="auto"/>
              </w:rPr>
              <w:t>LLC Units held directly by 22C DiscoverOrg Financing, L.P., whose general partner is 22C DiscoverOrg MM, LLC; (2)</w:t>
            </w:r>
          </w:p>
        </w:tc>
        <w:tc>
          <w:tcPr>
            <w:tcW w:w="1060" w:type="dxa"/>
            <w:vAlign w:val="bottom"/>
          </w:tcPr>
          <w:p>
            <w:pPr>
              <w:jc w:val="right"/>
              <w:spacing w:after="0"/>
              <w:rPr>
                <w:sz w:val="20"/>
                <w:szCs w:val="20"/>
                <w:color w:val="auto"/>
              </w:rPr>
            </w:pPr>
            <w:r>
              <w:rPr>
                <w:rFonts w:ascii="Arial" w:cs="Arial" w:eastAsia="Arial" w:hAnsi="Arial"/>
                <w:sz w:val="14"/>
                <w:szCs w:val="14"/>
                <w:color w:val="auto"/>
              </w:rPr>
              <w:t>LLC Units held</w:t>
            </w:r>
          </w:p>
        </w:tc>
      </w:tr>
      <w:tr>
        <w:trPr>
          <w:trHeight w:val="162"/>
        </w:trPr>
        <w:tc>
          <w:tcPr>
            <w:tcW w:w="260" w:type="dxa"/>
            <w:vAlign w:val="bottom"/>
          </w:tcPr>
          <w:p>
            <w:pPr>
              <w:spacing w:after="0"/>
              <w:rPr>
                <w:sz w:val="14"/>
                <w:szCs w:val="14"/>
                <w:color w:val="auto"/>
              </w:rPr>
            </w:pPr>
          </w:p>
        </w:tc>
        <w:tc>
          <w:tcPr>
            <w:tcW w:w="7680" w:type="dxa"/>
            <w:vAlign w:val="bottom"/>
            <w:gridSpan w:val="5"/>
          </w:tcPr>
          <w:p>
            <w:pPr>
              <w:ind w:left="80"/>
              <w:spacing w:after="0"/>
              <w:rPr>
                <w:sz w:val="20"/>
                <w:szCs w:val="20"/>
                <w:color w:val="auto"/>
              </w:rPr>
            </w:pPr>
            <w:r>
              <w:rPr>
                <w:rFonts w:ascii="Arial" w:cs="Arial" w:eastAsia="Arial" w:hAnsi="Arial"/>
                <w:sz w:val="14"/>
                <w:szCs w:val="14"/>
                <w:color w:val="auto"/>
                <w:w w:val="98"/>
              </w:rPr>
              <w:t>directly by 22C Magellan Financing, LLC, whose co-members are 22C Capital I, L.P. and 22C DiscoverOrg CP, L.P.; and (3)</w:t>
            </w:r>
          </w:p>
        </w:tc>
        <w:tc>
          <w:tcPr>
            <w:tcW w:w="3480" w:type="dxa"/>
            <w:vAlign w:val="bottom"/>
            <w:gridSpan w:val="3"/>
          </w:tcPr>
          <w:p>
            <w:pPr>
              <w:jc w:val="right"/>
              <w:spacing w:after="0"/>
              <w:rPr>
                <w:sz w:val="20"/>
                <w:szCs w:val="20"/>
                <w:color w:val="auto"/>
              </w:rPr>
            </w:pPr>
            <w:r>
              <w:rPr>
                <w:rFonts w:ascii="Arial" w:cs="Arial" w:eastAsia="Arial" w:hAnsi="Arial"/>
                <w:sz w:val="14"/>
                <w:szCs w:val="14"/>
                <w:color w:val="auto"/>
              </w:rPr>
              <w:t>shares of Class A Common Stock held directly by 22C</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8"/>
              </w:rPr>
              <w:t>Magellan Holdings, LLC, whose three members are 22C DiscoverOrg Investors, LLC, 22C Capital I, L.P. and 22C DiscoverOrg CP, L.P.  22C DiscoverOrg MM, LLC, is the managing</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8"/>
              </w:rPr>
              <w:t>member of 22C DiscoverOrg Investors, LLC. 22C DiscoverOrg Blocker, L.L.C. is a Limited Partner of 22C DiscoverOrg CP, L.P., and 22C Capital I-A, L.P. is the sole member of 22C</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5"/>
              </w:rPr>
              <w:t>DiscoverOrg Blocker, L.L.C. 22C DiscoverOrg Advisors, LLC is the managing member of 22C DiscoverOrg MM, LLC. 22C Capital GP I, L.L.C. is the general partner of 22C Capital I, L.P.,</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4"/>
              </w:rPr>
              <w:t>22C Capital I-A, L.P. and 22C DiscoverOrg CP, L.P. 22C Capital GP I MM LLC is the managing member of 22C Capital GP I, L.L.C. Eric Edell and D. Randall Winn are co-members of each</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5"/>
              </w:rPr>
              <w:t>of 22C DiscoverOrg Advisors, LLC and 22C Capital GP I MM LLC and, in such capacities, exercise voting or investment power over the shares held directly by 22C DiscoverOrg Financing,</w:t>
            </w:r>
          </w:p>
        </w:tc>
      </w:tr>
      <w:tr>
        <w:trPr>
          <w:trHeight w:val="162"/>
        </w:trPr>
        <w:tc>
          <w:tcPr>
            <w:tcW w:w="260" w:type="dxa"/>
            <w:vAlign w:val="bottom"/>
          </w:tcPr>
          <w:p>
            <w:pPr>
              <w:spacing w:after="0"/>
              <w:rPr>
                <w:sz w:val="14"/>
                <w:szCs w:val="14"/>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rPr>
              <w:t>L.P., 22C Magellan Financing, LLC and 22C Magellan Holdings, LLC (collectively, the “22C Capital Funds”). In addition, D. Randall Winn exercises voting and investment power</w:t>
            </w:r>
          </w:p>
        </w:tc>
      </w:tr>
      <w:tr>
        <w:trPr>
          <w:trHeight w:val="162"/>
        </w:trPr>
        <w:tc>
          <w:tcPr>
            <w:tcW w:w="2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over</w:t>
            </w:r>
          </w:p>
        </w:tc>
        <w:tc>
          <w:tcPr>
            <w:tcW w:w="3040" w:type="dxa"/>
            <w:vAlign w:val="bottom"/>
            <w:gridSpan w:val="2"/>
          </w:tcPr>
          <w:p>
            <w:pPr>
              <w:ind w:left="320"/>
              <w:spacing w:after="0"/>
              <w:rPr>
                <w:sz w:val="20"/>
                <w:szCs w:val="20"/>
                <w:color w:val="auto"/>
              </w:rPr>
            </w:pPr>
            <w:r>
              <w:rPr>
                <w:rFonts w:ascii="Arial" w:cs="Arial" w:eastAsia="Arial" w:hAnsi="Arial"/>
                <w:sz w:val="14"/>
                <w:szCs w:val="14"/>
                <w:color w:val="auto"/>
              </w:rPr>
              <w:t>shares of Class A Common Stock and</w:t>
            </w:r>
          </w:p>
        </w:tc>
        <w:tc>
          <w:tcPr>
            <w:tcW w:w="5500" w:type="dxa"/>
            <w:vAlign w:val="bottom"/>
            <w:gridSpan w:val="3"/>
          </w:tcPr>
          <w:p>
            <w:pPr>
              <w:ind w:left="80"/>
              <w:spacing w:after="0"/>
              <w:rPr>
                <w:sz w:val="20"/>
                <w:szCs w:val="20"/>
                <w:color w:val="auto"/>
              </w:rPr>
            </w:pPr>
            <w:r>
              <w:rPr>
                <w:rFonts w:ascii="Arial" w:cs="Arial" w:eastAsia="Arial" w:hAnsi="Arial"/>
                <w:sz w:val="14"/>
                <w:szCs w:val="14"/>
                <w:color w:val="auto"/>
              </w:rPr>
              <w:t>shares of LLC Units held directly by Mr. Winn in his individual capacity, and over</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w w:val="99"/>
              </w:rPr>
              <w:t>shares of Class A Common Stock</w:t>
            </w:r>
          </w:p>
        </w:tc>
      </w:tr>
      <w:tr>
        <w:trPr>
          <w:trHeight w:val="162"/>
        </w:trPr>
        <w:tc>
          <w:tcPr>
            <w:tcW w:w="2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and</w:t>
            </w:r>
          </w:p>
        </w:tc>
        <w:tc>
          <w:tcPr>
            <w:tcW w:w="10640" w:type="dxa"/>
            <w:vAlign w:val="bottom"/>
            <w:gridSpan w:val="7"/>
          </w:tcPr>
          <w:p>
            <w:pPr>
              <w:jc w:val="right"/>
              <w:spacing w:after="0"/>
              <w:rPr>
                <w:sz w:val="20"/>
                <w:szCs w:val="20"/>
                <w:color w:val="auto"/>
              </w:rPr>
            </w:pPr>
            <w:r>
              <w:rPr>
                <w:rFonts w:ascii="Arial" w:cs="Arial" w:eastAsia="Arial" w:hAnsi="Arial"/>
                <w:sz w:val="14"/>
                <w:szCs w:val="14"/>
                <w:color w:val="auto"/>
                <w:w w:val="97"/>
              </w:rPr>
              <w:t>shares of LLC Units held directly by Five W DiscoverOrg, LLC. The address of each of the 22C Capital Funds, Eric Edell and D. Randall Winn is 70 East 55th Street, 14th Floor,</w:t>
            </w:r>
          </w:p>
        </w:tc>
      </w:tr>
      <w:tr>
        <w:trPr>
          <w:trHeight w:val="182"/>
        </w:trPr>
        <w:tc>
          <w:tcPr>
            <w:tcW w:w="260" w:type="dxa"/>
            <w:vAlign w:val="bottom"/>
          </w:tcPr>
          <w:p>
            <w:pPr>
              <w:spacing w:after="0"/>
              <w:rPr>
                <w:sz w:val="15"/>
                <w:szCs w:val="15"/>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New York, NY 10022.</w:t>
            </w:r>
          </w:p>
        </w:tc>
        <w:tc>
          <w:tcPr>
            <w:tcW w:w="9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(6)</w:t>
            </w: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Amounts beneficially owned reflect</w:t>
            </w:r>
          </w:p>
        </w:tc>
        <w:tc>
          <w:tcPr>
            <w:tcW w:w="8540" w:type="dxa"/>
            <w:vAlign w:val="bottom"/>
            <w:gridSpan w:val="6"/>
          </w:tcPr>
          <w:p>
            <w:pPr>
              <w:jc w:val="right"/>
              <w:spacing w:after="0"/>
              <w:rPr>
                <w:sz w:val="20"/>
                <w:szCs w:val="20"/>
                <w:color w:val="auto"/>
              </w:rPr>
            </w:pPr>
            <w:r>
              <w:rPr>
                <w:rFonts w:ascii="Arial" w:cs="Arial" w:eastAsia="Arial" w:hAnsi="Arial"/>
                <w:sz w:val="14"/>
                <w:szCs w:val="14"/>
                <w:color w:val="auto"/>
                <w:w w:val="98"/>
              </w:rPr>
              <w:t>LLC Units held directly by DO Holdings (WA), LLC. DO Holdings (WA), LLC is owned by Henry Schuck and Kirk Brown. Messrs. Schuck and</w:t>
            </w:r>
          </w:p>
        </w:tc>
      </w:tr>
      <w:tr>
        <w:trPr>
          <w:trHeight w:val="216"/>
        </w:trPr>
        <w:tc>
          <w:tcPr>
            <w:tcW w:w="260" w:type="dxa"/>
            <w:vAlign w:val="bottom"/>
          </w:tcPr>
          <w:p>
            <w:pPr>
              <w:spacing w:after="0"/>
              <w:rPr>
                <w:sz w:val="18"/>
                <w:szCs w:val="18"/>
                <w:color w:val="auto"/>
              </w:rPr>
            </w:pPr>
          </w:p>
        </w:tc>
        <w:tc>
          <w:tcPr>
            <w:tcW w:w="11160" w:type="dxa"/>
            <w:vAlign w:val="bottom"/>
            <w:gridSpan w:val="8"/>
          </w:tcPr>
          <w:p>
            <w:pPr>
              <w:ind w:left="80"/>
              <w:spacing w:after="0"/>
              <w:rPr>
                <w:sz w:val="20"/>
                <w:szCs w:val="20"/>
                <w:color w:val="auto"/>
              </w:rPr>
            </w:pPr>
            <w:r>
              <w:rPr>
                <w:rFonts w:ascii="Arial" w:cs="Arial" w:eastAsia="Arial" w:hAnsi="Arial"/>
                <w:sz w:val="14"/>
                <w:szCs w:val="14"/>
                <w:color w:val="auto"/>
                <w:w w:val="97"/>
              </w:rPr>
              <w:t>Brown may be deemed to share voting and dispositive power over the securities held by DO Holdings (WA), LLC. The principal business address of DO Holdings (WA), LLC is c/o 805</w:t>
            </w:r>
          </w:p>
        </w:tc>
      </w:tr>
      <w:tr>
        <w:trPr>
          <w:trHeight w:val="216"/>
        </w:trPr>
        <w:tc>
          <w:tcPr>
            <w:tcW w:w="260" w:type="dxa"/>
            <w:vAlign w:val="bottom"/>
          </w:tcPr>
          <w:p>
            <w:pPr>
              <w:spacing w:after="0"/>
              <w:rPr>
                <w:sz w:val="18"/>
                <w:szCs w:val="18"/>
                <w:color w:val="auto"/>
              </w:rPr>
            </w:pPr>
          </w:p>
        </w:tc>
        <w:tc>
          <w:tcPr>
            <w:tcW w:w="3560" w:type="dxa"/>
            <w:vAlign w:val="bottom"/>
            <w:gridSpan w:val="3"/>
          </w:tcPr>
          <w:p>
            <w:pPr>
              <w:ind w:left="80"/>
              <w:spacing w:after="0"/>
              <w:rPr>
                <w:sz w:val="20"/>
                <w:szCs w:val="20"/>
                <w:color w:val="auto"/>
              </w:rPr>
            </w:pPr>
            <w:r>
              <w:rPr>
                <w:rFonts w:ascii="Arial" w:cs="Arial" w:eastAsia="Arial" w:hAnsi="Arial"/>
                <w:sz w:val="14"/>
                <w:szCs w:val="14"/>
                <w:color w:val="auto"/>
                <w:w w:val="93"/>
              </w:rPr>
              <w:t>Broadway Street, Suite 900 Vancouver, Washington 98660.</w:t>
            </w:r>
          </w:p>
        </w:tc>
        <w:tc>
          <w:tcPr>
            <w:tcW w:w="2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(7)</w:t>
            </w: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Amounts beneficially owned reflect the</w:t>
            </w:r>
          </w:p>
        </w:tc>
        <w:tc>
          <w:tcPr>
            <w:tcW w:w="8540" w:type="dxa"/>
            <w:vAlign w:val="bottom"/>
            <w:gridSpan w:val="6"/>
          </w:tcPr>
          <w:p>
            <w:pPr>
              <w:jc w:val="right"/>
              <w:spacing w:after="0"/>
              <w:rPr>
                <w:sz w:val="20"/>
                <w:szCs w:val="20"/>
                <w:color w:val="auto"/>
              </w:rPr>
            </w:pPr>
            <w:r>
              <w:rPr>
                <w:rFonts w:ascii="Arial" w:cs="Arial" w:eastAsia="Arial" w:hAnsi="Arial"/>
                <w:sz w:val="14"/>
                <w:szCs w:val="14"/>
                <w:color w:val="auto"/>
                <w:w w:val="99"/>
              </w:rPr>
              <w:t>LLC units held directly by DO Holdings (WA), LLC (as described above). The principal business address of Mr. Brown is c/o 1012 SE 64th</w:t>
            </w:r>
          </w:p>
        </w:tc>
      </w:tr>
      <w:tr>
        <w:trPr>
          <w:trHeight w:val="216"/>
        </w:trPr>
        <w:tc>
          <w:tcPr>
            <w:tcW w:w="26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Court, Vancouver, Washington 98661.</w:t>
            </w:r>
          </w:p>
        </w:tc>
        <w:tc>
          <w:tcPr>
            <w:tcW w:w="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(8)</w:t>
            </w:r>
          </w:p>
        </w:tc>
        <w:tc>
          <w:tcPr>
            <w:tcW w:w="2620" w:type="dxa"/>
            <w:vAlign w:val="bottom"/>
            <w:gridSpan w:val="2"/>
          </w:tcPr>
          <w:p>
            <w:pPr>
              <w:ind w:left="80"/>
              <w:spacing w:after="0"/>
              <w:rPr>
                <w:sz w:val="20"/>
                <w:szCs w:val="20"/>
                <w:color w:val="auto"/>
              </w:rPr>
            </w:pPr>
            <w:r>
              <w:rPr>
                <w:rFonts w:ascii="Arial" w:cs="Arial" w:eastAsia="Arial" w:hAnsi="Arial"/>
                <w:sz w:val="14"/>
                <w:szCs w:val="14"/>
                <w:color w:val="auto"/>
              </w:rPr>
              <w:t>Amounts beneficially owned reflect</w:t>
            </w:r>
          </w:p>
        </w:tc>
        <w:tc>
          <w:tcPr>
            <w:tcW w:w="2940" w:type="dxa"/>
            <w:vAlign w:val="bottom"/>
            <w:gridSpan w:val="2"/>
          </w:tcPr>
          <w:p>
            <w:pPr>
              <w:ind w:left="100"/>
              <w:spacing w:after="0"/>
              <w:rPr>
                <w:sz w:val="20"/>
                <w:szCs w:val="20"/>
                <w:color w:val="auto"/>
              </w:rPr>
            </w:pPr>
            <w:r>
              <w:rPr>
                <w:rFonts w:ascii="Arial" w:cs="Arial" w:eastAsia="Arial" w:hAnsi="Arial"/>
                <w:sz w:val="14"/>
                <w:szCs w:val="14"/>
                <w:color w:val="auto"/>
              </w:rPr>
              <w:t>LLC units held directly by Henry Schuck,</w:t>
            </w:r>
          </w:p>
        </w:tc>
        <w:tc>
          <w:tcPr>
            <w:tcW w:w="3500" w:type="dxa"/>
            <w:vAlign w:val="bottom"/>
            <w:gridSpan w:val="2"/>
          </w:tcPr>
          <w:p>
            <w:pPr>
              <w:ind w:left="180"/>
              <w:spacing w:after="0"/>
              <w:rPr>
                <w:sz w:val="20"/>
                <w:szCs w:val="20"/>
                <w:color w:val="auto"/>
              </w:rPr>
            </w:pPr>
            <w:r>
              <w:rPr>
                <w:rFonts w:ascii="Arial" w:cs="Arial" w:eastAsia="Arial" w:hAnsi="Arial"/>
                <w:sz w:val="14"/>
                <w:szCs w:val="14"/>
                <w:color w:val="auto"/>
                <w:w w:val="99"/>
              </w:rPr>
              <w:t>LLC Units held directly by HSKB Funds, LLC, and the</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LLC Units held directly by</w:t>
            </w:r>
          </w:p>
        </w:tc>
      </w:tr>
    </w:tbl>
    <w:p>
      <w:pPr>
        <w:spacing w:after="0" w:line="34" w:lineRule="exact"/>
        <w:rPr>
          <w:sz w:val="20"/>
          <w:szCs w:val="20"/>
          <w:color w:val="auto"/>
        </w:rPr>
      </w:pPr>
    </w:p>
    <w:p>
      <w:pPr>
        <w:ind w:left="340" w:right="20"/>
        <w:spacing w:after="0" w:line="301" w:lineRule="auto"/>
        <w:rPr>
          <w:sz w:val="20"/>
          <w:szCs w:val="20"/>
          <w:color w:val="auto"/>
        </w:rPr>
      </w:pPr>
      <w:r>
        <w:rPr>
          <w:rFonts w:ascii="Arial" w:cs="Arial" w:eastAsia="Arial" w:hAnsi="Arial"/>
          <w:sz w:val="14"/>
          <w:szCs w:val="14"/>
          <w:color w:val="auto"/>
        </w:rPr>
        <w:t>DO Holdings (WA), LLC (as described above). HSKB Funds, LLC is managed by HLS Management, LLC. Henry Schuck is the sole member of HLS Management, LLC. The principal business address of Mr. Schuck is c/o 805 Broadway Street, Suite 900 Vancouver, Washington 98660.</w:t>
      </w:r>
    </w:p>
    <w:p>
      <w:pPr>
        <w:spacing w:after="0" w:line="1"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principal business address of Mr. Hyzer is c/o 805 Broadway Street, Suite 900 Vancouver, Washington 98660.</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principal business address of Mr. Hays is c/o 805 Broadway Street, Suite 900 Vancouver, Washington 98660.</w:t>
      </w:r>
    </w:p>
    <w:p>
      <w:pPr>
        <w:spacing w:after="0" w:line="1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table assumes an offering price of $ per share of Class A common stock, which is the midpoint of the price range set forth on the front cover of this prospectus. However, while the aggregate number of shares of Class A common stock and LLC Units that will be held by existing owners will not change as a result of the initial public offering price per share in this offering, the precise number of shares of Class A common stock and LLC Units allocated to specific existing owners will differ from that presented in the table above if the actual initial public offering price per share differs from this assumed price.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364" w:right="239" w:bottom="1440" w:gutter="0" w:footer="0" w:header="0"/>
        </w:sectPr>
      </w:pPr>
    </w:p>
    <w:bookmarkStart w:id="155" w:name="page156"/>
    <w:bookmarkEnd w:id="155"/>
    <w:p>
      <w:pPr>
        <w:jc w:val="both"/>
        <w:ind w:firstLine="324"/>
        <w:spacing w:after="0" w:line="264" w:lineRule="auto"/>
        <w:rPr>
          <w:sz w:val="20"/>
          <w:szCs w:val="20"/>
          <w:color w:val="auto"/>
        </w:rPr>
      </w:pPr>
      <w:r>
        <w:rPr>
          <w:rFonts w:ascii="Arial" w:cs="Arial" w:eastAsia="Arial" w:hAnsi="Arial"/>
          <w:sz w:val="18"/>
          <w:szCs w:val="18"/>
          <w:color w:val="auto"/>
        </w:rPr>
        <w:t>For example, if the initial offering price per share of Class A common stock in this offering is $ , which is the low point of the price range set forth on the front cover of this prospectus, the beneficial ownership of Class A common stock and the LLC Units of the identified stockholders would be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4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Class A Common Stock Beneficially Owned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LLC Units Beneficially Owned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3"/>
              </w:rPr>
              <w:t>After the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7"/>
              </w:rPr>
              <w:t>After the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After the</w:t>
            </w:r>
          </w:p>
        </w:tc>
        <w:tc>
          <w:tcPr>
            <w:tcW w:w="1140" w:type="dxa"/>
            <w:vAlign w:val="bottom"/>
          </w:tcPr>
          <w:p>
            <w:pPr>
              <w:jc w:val="center"/>
              <w:ind w:right="188"/>
              <w:spacing w:after="0" w:line="153"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Offering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9"/>
              </w:rPr>
              <w:t>Offering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Offering</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8"/>
              </w:rPr>
              <w:t>Assuming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Prior to the</w:t>
            </w: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Assuming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4"/>
          </w:tcPr>
          <w:p>
            <w:pPr>
              <w:jc w:val="center"/>
              <w:ind w:right="1168"/>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Assuming</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Option is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Option is</w:t>
            </w:r>
          </w:p>
        </w:tc>
        <w:tc>
          <w:tcPr>
            <w:tcW w:w="0" w:type="dxa"/>
            <w:vAlign w:val="bottom"/>
          </w:tcPr>
          <w:p>
            <w:pPr>
              <w:spacing w:after="0"/>
              <w:rPr>
                <w:sz w:val="1"/>
                <w:szCs w:val="1"/>
                <w:color w:val="auto"/>
              </w:rPr>
            </w:pPr>
          </w:p>
        </w:tc>
      </w:tr>
      <w:tr>
        <w:trPr>
          <w:trHeight w:val="149"/>
        </w:trPr>
        <w:tc>
          <w:tcPr>
            <w:tcW w:w="2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Offering</w:t>
            </w:r>
          </w:p>
        </w:tc>
        <w:tc>
          <w:tcPr>
            <w:tcW w:w="15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Exercised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Offering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58"/>
        </w:trPr>
        <w:tc>
          <w:tcPr>
            <w:tcW w:w="2880" w:type="dxa"/>
            <w:vAlign w:val="bottom"/>
            <w:gridSpan w:val="4"/>
            <w:vMerge w:val="continue"/>
          </w:tcPr>
          <w:p>
            <w:pPr>
              <w:spacing w:after="0"/>
              <w:rPr>
                <w:sz w:val="13"/>
                <w:szCs w:val="13"/>
                <w:color w:val="auto"/>
              </w:rPr>
            </w:pPr>
          </w:p>
        </w:tc>
        <w:tc>
          <w:tcPr>
            <w:tcW w:w="13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Transactions</w:t>
            </w:r>
          </w:p>
        </w:tc>
        <w:tc>
          <w:tcPr>
            <w:tcW w:w="1080" w:type="dxa"/>
            <w:vAlign w:val="bottom"/>
          </w:tcPr>
          <w:p>
            <w:pPr>
              <w:jc w:val="center"/>
              <w:ind w:left="228"/>
              <w:spacing w:after="0" w:line="158" w:lineRule="exact"/>
              <w:rPr>
                <w:sz w:val="20"/>
                <w:szCs w:val="20"/>
                <w:color w:val="auto"/>
              </w:rPr>
            </w:pPr>
            <w:r>
              <w:rPr>
                <w:rFonts w:ascii="Arial" w:cs="Arial" w:eastAsia="Arial" w:hAnsi="Arial"/>
                <w:sz w:val="14"/>
                <w:szCs w:val="14"/>
                <w:b w:val="1"/>
                <w:bCs w:val="1"/>
                <w:color w:val="auto"/>
                <w:w w:val="87"/>
              </w:rPr>
              <w:t>Exercised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228"/>
              <w:spacing w:after="0" w:line="158" w:lineRule="exact"/>
              <w:rPr>
                <w:sz w:val="20"/>
                <w:szCs w:val="20"/>
                <w:color w:val="auto"/>
              </w:rPr>
            </w:pPr>
            <w:r>
              <w:rPr>
                <w:rFonts w:ascii="Arial" w:cs="Arial" w:eastAsia="Arial" w:hAnsi="Arial"/>
                <w:sz w:val="14"/>
                <w:szCs w:val="14"/>
                <w:b w:val="1"/>
                <w:bCs w:val="1"/>
                <w:color w:val="auto"/>
                <w:w w:val="96"/>
              </w:rPr>
              <w:t>in Full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68"/>
              <w:spacing w:after="0" w:line="158" w:lineRule="exact"/>
              <w:rPr>
                <w:sz w:val="20"/>
                <w:szCs w:val="20"/>
                <w:color w:val="auto"/>
              </w:rPr>
            </w:pPr>
            <w:r>
              <w:rPr>
                <w:rFonts w:ascii="Arial" w:cs="Arial" w:eastAsia="Arial" w:hAnsi="Arial"/>
                <w:sz w:val="14"/>
                <w:szCs w:val="14"/>
                <w:b w:val="1"/>
                <w:bCs w:val="1"/>
                <w:color w:val="auto"/>
                <w:w w:val="89"/>
              </w:rPr>
              <w:t>Transactions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Exercised</w:t>
            </w:r>
          </w:p>
        </w:tc>
        <w:tc>
          <w:tcPr>
            <w:tcW w:w="11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auto"/>
                <w:w w:val="96"/>
              </w:rPr>
              <w:t>in Full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2"/>
              </w:rPr>
              <w:t>Parties to our stockholders agreement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as a group</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TA Associates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affiliated with</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Carlyle</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22C Capital</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DO Holdings (WA), LLC</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Kirk Brown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Henry Schuck</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Cameron Hyzer</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Chris Hays</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Directors, director nominees and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executive officers as a group</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gridSpan w:val="2"/>
          </w:tcPr>
          <w:p>
            <w:pPr>
              <w:ind w:left="200"/>
              <w:spacing w:after="0"/>
              <w:rPr>
                <w:sz w:val="20"/>
                <w:szCs w:val="20"/>
                <w:color w:val="auto"/>
              </w:rPr>
            </w:pPr>
            <w:r>
              <w:rPr>
                <w:rFonts w:ascii="Arial" w:cs="Arial" w:eastAsia="Arial" w:hAnsi="Arial"/>
                <w:sz w:val="16"/>
                <w:szCs w:val="16"/>
                <w:color w:val="auto"/>
                <w:w w:val="74"/>
              </w:rPr>
              <w:t>(</w:t>
            </w:r>
          </w:p>
        </w:tc>
        <w:tc>
          <w:tcPr>
            <w:tcW w:w="2620" w:type="dxa"/>
            <w:vAlign w:val="bottom"/>
            <w:gridSpan w:val="2"/>
          </w:tcPr>
          <w:p>
            <w:pPr>
              <w:ind w:left="260"/>
              <w:spacing w:after="0"/>
              <w:rPr>
                <w:sz w:val="20"/>
                <w:szCs w:val="20"/>
                <w:color w:val="auto"/>
              </w:rPr>
            </w:pPr>
            <w:r>
              <w:rPr>
                <w:rFonts w:ascii="Arial" w:cs="Arial" w:eastAsia="Arial" w:hAnsi="Arial"/>
                <w:sz w:val="18"/>
                <w:szCs w:val="18"/>
                <w:color w:val="auto"/>
              </w:rPr>
              <w:t>persons)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341" w:right="239" w:bottom="1440" w:gutter="0" w:footer="0" w:header="0"/>
        </w:sectPr>
      </w:pPr>
    </w:p>
    <w:bookmarkStart w:id="156" w:name="page157"/>
    <w:bookmarkEnd w:id="156"/>
    <w:p>
      <w:pPr>
        <w:jc w:val="both"/>
        <w:ind w:firstLine="324"/>
        <w:spacing w:after="0" w:line="264" w:lineRule="auto"/>
        <w:rPr>
          <w:sz w:val="20"/>
          <w:szCs w:val="20"/>
          <w:color w:val="auto"/>
        </w:rPr>
      </w:pPr>
      <w:r>
        <w:rPr>
          <w:rFonts w:ascii="Arial" w:cs="Arial" w:eastAsia="Arial" w:hAnsi="Arial"/>
          <w:sz w:val="18"/>
          <w:szCs w:val="18"/>
          <w:color w:val="auto"/>
        </w:rPr>
        <w:t>Conversely, if the initial public offering price per share of Class A common stock in this offering is $ , which is the high point of the price range set forth on the front cover of this prospectus, the beneficial ownership of Class A common stock and the LLC Units of the identified holders would be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4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Class A Common Stock Beneficially Owned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LLC Units Beneficially Owned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3"/>
              </w:rPr>
              <w:t>After the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7"/>
              </w:rPr>
              <w:t>After the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After the</w:t>
            </w:r>
          </w:p>
        </w:tc>
        <w:tc>
          <w:tcPr>
            <w:tcW w:w="1140" w:type="dxa"/>
            <w:vAlign w:val="bottom"/>
          </w:tcPr>
          <w:p>
            <w:pPr>
              <w:jc w:val="center"/>
              <w:ind w:right="188"/>
              <w:spacing w:after="0" w:line="153"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Offering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9"/>
              </w:rPr>
              <w:t>Offering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Offering</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8"/>
              </w:rPr>
              <w:t>Assuming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Prior to the</w:t>
            </w: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Assuming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4"/>
          </w:tcPr>
          <w:p>
            <w:pPr>
              <w:jc w:val="center"/>
              <w:ind w:right="1168"/>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Assuming</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Option is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Option is</w:t>
            </w:r>
          </w:p>
        </w:tc>
        <w:tc>
          <w:tcPr>
            <w:tcW w:w="0" w:type="dxa"/>
            <w:vAlign w:val="bottom"/>
          </w:tcPr>
          <w:p>
            <w:pPr>
              <w:spacing w:after="0"/>
              <w:rPr>
                <w:sz w:val="1"/>
                <w:szCs w:val="1"/>
                <w:color w:val="auto"/>
              </w:rPr>
            </w:pPr>
          </w:p>
        </w:tc>
      </w:tr>
      <w:tr>
        <w:trPr>
          <w:trHeight w:val="149"/>
        </w:trPr>
        <w:tc>
          <w:tcPr>
            <w:tcW w:w="2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Offering</w:t>
            </w:r>
          </w:p>
        </w:tc>
        <w:tc>
          <w:tcPr>
            <w:tcW w:w="15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Exercised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Offering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58"/>
        </w:trPr>
        <w:tc>
          <w:tcPr>
            <w:tcW w:w="2880" w:type="dxa"/>
            <w:vAlign w:val="bottom"/>
            <w:gridSpan w:val="4"/>
            <w:vMerge w:val="continue"/>
          </w:tcPr>
          <w:p>
            <w:pPr>
              <w:spacing w:after="0"/>
              <w:rPr>
                <w:sz w:val="13"/>
                <w:szCs w:val="13"/>
                <w:color w:val="auto"/>
              </w:rPr>
            </w:pPr>
          </w:p>
        </w:tc>
        <w:tc>
          <w:tcPr>
            <w:tcW w:w="13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Transactions</w:t>
            </w:r>
          </w:p>
        </w:tc>
        <w:tc>
          <w:tcPr>
            <w:tcW w:w="1080" w:type="dxa"/>
            <w:vAlign w:val="bottom"/>
          </w:tcPr>
          <w:p>
            <w:pPr>
              <w:jc w:val="center"/>
              <w:ind w:left="228"/>
              <w:spacing w:after="0" w:line="158" w:lineRule="exact"/>
              <w:rPr>
                <w:sz w:val="20"/>
                <w:szCs w:val="20"/>
                <w:color w:val="auto"/>
              </w:rPr>
            </w:pPr>
            <w:r>
              <w:rPr>
                <w:rFonts w:ascii="Arial" w:cs="Arial" w:eastAsia="Arial" w:hAnsi="Arial"/>
                <w:sz w:val="14"/>
                <w:szCs w:val="14"/>
                <w:b w:val="1"/>
                <w:bCs w:val="1"/>
                <w:color w:val="auto"/>
                <w:w w:val="87"/>
              </w:rPr>
              <w:t>Exercised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228"/>
              <w:spacing w:after="0" w:line="158" w:lineRule="exact"/>
              <w:rPr>
                <w:sz w:val="20"/>
                <w:szCs w:val="20"/>
                <w:color w:val="auto"/>
              </w:rPr>
            </w:pPr>
            <w:r>
              <w:rPr>
                <w:rFonts w:ascii="Arial" w:cs="Arial" w:eastAsia="Arial" w:hAnsi="Arial"/>
                <w:sz w:val="14"/>
                <w:szCs w:val="14"/>
                <w:b w:val="1"/>
                <w:bCs w:val="1"/>
                <w:color w:val="auto"/>
                <w:w w:val="96"/>
              </w:rPr>
              <w:t>in Full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68"/>
              <w:spacing w:after="0" w:line="158" w:lineRule="exact"/>
              <w:rPr>
                <w:sz w:val="20"/>
                <w:szCs w:val="20"/>
                <w:color w:val="auto"/>
              </w:rPr>
            </w:pPr>
            <w:r>
              <w:rPr>
                <w:rFonts w:ascii="Arial" w:cs="Arial" w:eastAsia="Arial" w:hAnsi="Arial"/>
                <w:sz w:val="14"/>
                <w:szCs w:val="14"/>
                <w:b w:val="1"/>
                <w:bCs w:val="1"/>
                <w:color w:val="auto"/>
                <w:w w:val="89"/>
              </w:rPr>
              <w:t>Transactions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Exercised</w:t>
            </w:r>
          </w:p>
        </w:tc>
        <w:tc>
          <w:tcPr>
            <w:tcW w:w="11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auto"/>
                <w:w w:val="96"/>
              </w:rPr>
              <w:t>in Full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2"/>
              </w:rPr>
              <w:t>Parties to our stockholders agreement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as a group</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TA Associates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affiliated with</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Carlyle</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22C Capital</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DO Holdings (WA), LLC</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Kirk Brown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Henry Schuck</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Cameron Hyzer</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Chris Hays</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gridSpan w:val="4"/>
          </w:tcPr>
          <w:p>
            <w:pPr>
              <w:ind w:left="40"/>
              <w:spacing w:after="0"/>
              <w:rPr>
                <w:sz w:val="20"/>
                <w:szCs w:val="20"/>
                <w:color w:val="auto"/>
              </w:rPr>
            </w:pPr>
            <w:r>
              <w:rPr>
                <w:rFonts w:ascii="Arial" w:cs="Arial" w:eastAsia="Arial" w:hAnsi="Arial"/>
                <w:sz w:val="18"/>
                <w:szCs w:val="18"/>
                <w:color w:val="auto"/>
              </w:rPr>
              <w:t>Directors, director nominees and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rPr>
              <w:t>executive officers as a group</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120"/>
              <w:spacing w:after="0"/>
              <w:rPr>
                <w:sz w:val="20"/>
                <w:szCs w:val="20"/>
                <w:color w:val="auto"/>
              </w:rPr>
            </w:pPr>
            <w:r>
              <w:rPr>
                <w:rFonts w:ascii="Arial" w:cs="Arial" w:eastAsia="Arial" w:hAnsi="Arial"/>
                <w:sz w:val="18"/>
                <w:szCs w:val="18"/>
                <w:color w:val="auto"/>
              </w:rPr>
              <w:t>persons)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341" w:right="239" w:bottom="1440" w:gutter="0" w:footer="0" w:header="0"/>
        </w:sectPr>
      </w:pPr>
    </w:p>
    <w:bookmarkStart w:id="157" w:name="page158"/>
    <w:bookmarkEnd w:id="157"/>
    <w:p>
      <w:pPr>
        <w:ind w:left="380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section summarizes the terms of our material principal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1, 2019, DiscoverOrg, LLC and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borrowings under the first lien credit agreement consist of $865.0 million initial term loans, maturing February 1, 2026, and a $100.0 million</w:t>
      </w:r>
    </w:p>
    <w:p>
      <w:pPr>
        <w:spacing w:after="0" w:line="35"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revolving credit facility, maturing February 1, 2024. Of these first lien term loans, $</w:t>
      </w:r>
      <w:r>
        <w:rPr>
          <w:sz w:val="20"/>
          <w:szCs w:val="20"/>
          <w:color w:val="auto"/>
        </w:rPr>
        <w:tab/>
      </w:r>
      <w:r>
        <w:rPr>
          <w:rFonts w:ascii="Arial" w:cs="Arial" w:eastAsia="Arial" w:hAnsi="Arial"/>
          <w:sz w:val="16"/>
          <w:szCs w:val="16"/>
          <w:color w:val="auto"/>
        </w:rPr>
        <w:t>million was outstanding as of December 31, 2019.</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portion of the revolving credit facility is available for letters of credit, of which $ million, was utilized as of December 31, 2019. Including letters of credit, there was $ million of borrowings outstanding under the revolving credit facility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respect to the first lien term loans that bear interest by reference to an adjusted LIBOR rate, the applicable margin is 4.50% per annum and with respect to the first lien term loans that bear interest by reference to a base rate, the applicable margin is 3.50% per annum. The applicable margin for the borrowings under the revolving credit facility varies depending on a consolidated first lien debt to consolidated EBITDA ratio calculated pursuant to the first lien credit agreement (the “consolidated first lien net leverage ratio”) and is 4.50% or 4.25% per annum for the loans that bear interest by reference to the adjusted LIBOR rate and 3.50% of 3.25% per annum for the loans that bear interest by reference to the base rate. The applicable margin was % in the case of LIBOR rate loans and % in the case of base rate loans as of December 31, 2019.</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w:t>
      </w:r>
    </w:p>
    <w:p>
      <w:pPr>
        <w:ind w:left="300" w:hanging="292"/>
        <w:spacing w:after="0"/>
        <w:tabs>
          <w:tab w:leader="none" w:pos="3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0.375% if the consolidated first lien secured leverage ratio is equal to or less than 4.40 to 1.00 but greater than 3.90 to 1.00 or (z) 0.125% if the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consolidated first lien leverage ratio is equal to or less than 3.90 to 1.00, (ii) letter of credit fees, including a fronting fee and processing fees to each issuing</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bank, which vary depending on the consolidated first lien net leverage ratio and (ii) administration fees. We paid $ million of such fees for fiscal year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may prepay, in full or in part, borrowings under the first lien credit agreement without premium or penalty (other than customary breakage costs with respect to LIBOR rate loans), subject to notice requirements, minimum prepayment amounts and increment limitations.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337"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first lien credit agreement requires us to prepay outstanding first lien term loans, subject to certain exceptions, with:</w:t>
      </w:r>
    </w:p>
    <w:p>
      <w:pPr>
        <w:spacing w:after="0" w:line="171" w:lineRule="exact"/>
        <w:rPr>
          <w:sz w:val="20"/>
          <w:szCs w:val="20"/>
          <w:color w:val="auto"/>
        </w:rPr>
      </w:pPr>
    </w:p>
    <w:p>
      <w:pPr>
        <w:ind w:left="660" w:hanging="328"/>
        <w:spacing w:after="0" w:line="342" w:lineRule="auto"/>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69"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100% of the net cash proceeds of all non-ordinary course asset sales or other dispositions of property, or any loss or government taking of property for which insurance proceeds or condemnation awards are received, if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DiscoverOrg, LLC or certain of its subsidiaries may use a portion of such net cash proceeds to prepay or repurchase certain permitted other indebtedness with a lien in accordance with the terms of the first lien credit agreement;</w:t>
      </w:r>
    </w:p>
    <w:p>
      <w:pPr>
        <w:spacing w:after="0" w:line="12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100% of the net cash proceeds of all incurrence or issuance by DiscoverOrg, LLC or certain of its subsidiaries of any indebtedness (except for permitted debt (other than refinancing debt));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100% of the net cash proceeds of the incurrence of any specified refinancing debt constituting revolving credit facilities.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required to prepay the amount by which we exceed the revolving credit commitment.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amounts outstanding under the revolving credit facility are due and payable in full at maturity.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obligations under the first lien credit agreement are unconditionally guaranteed by substantially all existing and future, direct and indirect, wholly owned material domestic subsidiaries of DiscoverOrg, LLC, subject to certain exceptions.</w:t>
      </w:r>
    </w:p>
    <w:p>
      <w:pPr>
        <w:spacing w:after="0" w:line="11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All obligations under the first lien credit agreement, and the guarantees of such obligations, are secured, subject to permitted liens and other exceptions, by the equity interests of DiscoverOrg, LLC and substantially all assets of DiscoverOrg, LLC and certain of its subsidiaries, subject to certain exceptions.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first lien credit agreement contains a number of covenants that restrict, subject to certain exceptions, our ability to, among other things:</w:t>
      </w:r>
    </w:p>
    <w:p>
      <w:pPr>
        <w:spacing w:after="0" w:line="171"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342" w:right="239" w:bottom="1440" w:gutter="0" w:footer="0" w:header="0"/>
        </w:sectPr>
      </w:pPr>
    </w:p>
    <w:bookmarkStart w:id="159" w:name="page160"/>
    <w:bookmarkEnd w:id="159"/>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Credit Agreement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 2019, DiscoverOrg, LLC and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w:t>
      </w:r>
    </w:p>
    <w:p>
      <w:pPr>
        <w:sectPr>
          <w:pgSz w:w="11900" w:h="16838" w:orient="portrait"/>
          <w:cols w:equalWidth="0" w:num="1">
            <w:col w:w="11420"/>
          </w:cols>
          <w:pgMar w:left="240" w:top="341" w:right="239" w:bottom="1440" w:gutter="0" w:footer="0" w:header="0"/>
        </w:sectPr>
      </w:pP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second lien credit agreement provides for $370.0 million initial term loan facility, maturing on February 1, 2027 of which $ outstanding as of December 31, 2019.</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million was</w:t>
      </w:r>
    </w:p>
    <w:p>
      <w:pPr>
        <w:spacing w:after="0" w:line="398" w:lineRule="exact"/>
        <w:rPr>
          <w:sz w:val="20"/>
          <w:szCs w:val="20"/>
          <w:color w:val="auto"/>
        </w:rPr>
      </w:pPr>
    </w:p>
    <w:p>
      <w:pPr>
        <w:sectPr>
          <w:pgSz w:w="11900" w:h="16838" w:orient="portrait"/>
          <w:cols w:equalWidth="0" w:num="2">
            <w:col w:w="9920" w:space="640"/>
            <w:col w:w="86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Borrowings under the second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respect to the second lien term loans that bear interest by reference to an adjusted LIBOR rate, the applicable margin is 8.50% per annum and with respect to the second lien term loans that bear interest by reference to a base rate, the applicable margin is 7.50% per annum. In addition, we pay certain administration fees with respect to the second lien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prepay, in full or in part, borrowings under the second lien credit agreement without premium or penalty (other than customary breakage costs with respect to LIBOR rate loans), subject to notice requirements, minimum prepayment amounts and increment limitations.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mandatory prepayments under the first lien credit agreement, the second lien credit agreement requires us to prepay outstanding second lien term loans, subject to certain exceptions, with:</w:t>
      </w:r>
    </w:p>
    <w:p>
      <w:pPr>
        <w:spacing w:after="0" w:line="116" w:lineRule="exact"/>
        <w:rPr>
          <w:sz w:val="20"/>
          <w:szCs w:val="20"/>
          <w:color w:val="auto"/>
        </w:rPr>
      </w:pPr>
    </w:p>
    <w:p>
      <w:pPr>
        <w:jc w:val="both"/>
        <w:ind w:left="660" w:hanging="328"/>
        <w:spacing w:after="0" w:line="273"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100% of the net cash proceeds of all non-ordinary course asset sales or other dispositions of property, or any loss or government taking of property for which insurance proceeds or condemnation awards are received, if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DiscoverOrg, LLC or certain of its subsidiaries may use a portion of such net cash proceeds to prepay or repurchase certain permitted other indebtedness with a lien in accordance with the terms of the first lien and second lien credit agreement;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341" w:right="239" w:bottom="1440" w:gutter="0" w:footer="0" w:header="0"/>
          <w:type w:val="continuous"/>
        </w:sectPr>
      </w:pPr>
    </w:p>
    <w:bookmarkStart w:id="160" w:name="page161"/>
    <w:bookmarkEnd w:id="160"/>
    <w:p>
      <w:pPr>
        <w:ind w:left="660" w:hanging="328"/>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100% of the net cash proceeds of all incurrence or issuance by DiscoverOrg, LLC or certain of its subsidiaries of any indebtedness (except for permitted debt (other than refinancing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obligations under the second lien credit agreement are unconditionally guaranteed by substantially all existing and future, direct and indirect, wholly owned material domestic subsidiaries of DiscoverOrg, LLC, subject to certain exceptions.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equity interests of DiscoverOrg, LLC and substantially all assets of DiscoverOrg, LLC and certain of its subsidiaries, subject to certain exceptions.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183"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341"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this offering, we will amend and restate our certificate of incorporation and our bylaws. 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ZoomInfo Technologies Inc. and not to any of its subsidiaries.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purpose is to engage in any lawful act or activity for which corporations may be organized under the DGCL. Upon the consummation of this</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offering, our authorized capital stock will consist of shares of Class A common stock, par value $0.01 per share, shares of Class B common stock, par value $0.01 per share, and shares of preferred stock, par value $0.01 per share. No shares of preferred stock will be issued or outstanding</w:t>
      </w:r>
    </w:p>
    <w:p>
      <w:pPr>
        <w:jc w:val="both"/>
        <w:spacing w:after="0" w:line="261" w:lineRule="auto"/>
        <w:rPr>
          <w:sz w:val="20"/>
          <w:szCs w:val="20"/>
          <w:color w:val="auto"/>
        </w:rPr>
      </w:pPr>
      <w:r>
        <w:rPr>
          <w:rFonts w:ascii="Arial" w:cs="Arial" w:eastAsia="Arial" w:hAnsi="Arial"/>
          <w:sz w:val="18"/>
          <w:szCs w:val="18"/>
          <w:color w:val="auto"/>
        </w:rPr>
        <w:t>immediately after the offering contemplated by this prospectus. Unless our board of directors determines otherwise, we will issue all shares of our capital stock in uncertificated 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the rights of the holders of one or more outstanding series of our preferred stock.</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will be entitled to receive pro rata our remaining assets available for distribution.</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Each holder of Class B common stock shall be entitled, without regard to the number of shares of Class B common stock held by such holder, to votes for each LLC Unit held by such holder on all matters on which stockholders of ZoomInfo Technologies Inc. are entitled to vote generally.</w:t>
      </w:r>
    </w:p>
    <w:p>
      <w:pPr>
        <w:jc w:val="both"/>
        <w:spacing w:after="0" w:line="187" w:lineRule="auto"/>
        <w:rPr>
          <w:sz w:val="20"/>
          <w:szCs w:val="20"/>
          <w:color w:val="auto"/>
        </w:rPr>
      </w:pPr>
      <w:r>
        <w:rPr>
          <w:rFonts w:ascii="Arial" w:cs="Arial" w:eastAsia="Arial" w:hAnsi="Arial"/>
          <w:sz w:val="16"/>
          <w:szCs w:val="16"/>
          <w:color w:val="auto"/>
        </w:rPr>
        <w:t>The voting power afforded to holders of LLC Units by their shares of Class B common stock will be automatically and correspondingly reduced or increased as the number of LLC Units held by such holder of Class B common stock decreases or increases. For example, if a holder of Class B common stock holds 1,000 LLC Units as of the record date for determining stockholders of ZoomInfo Technologies Inc. that are entitled to vote on a particular matter,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will be entitled by virtue of such holder’s Class B common stock to votes on such matter. If, however, such holder were to hold 500 LLC Units as of the relevant record date, such holder would be entitled by virtue of such holder’s Class B common stock to votes on such matter. If at any time the ratio at which LLC Units are exchangeable for shares of Class A common stock of ZoomInfo Technologies Inc. changes from as described under</w:t>
      </w:r>
    </w:p>
    <w:p>
      <w:pPr>
        <w:jc w:val="both"/>
        <w:ind w:right="20"/>
        <w:spacing w:after="0" w:line="261" w:lineRule="auto"/>
        <w:rPr>
          <w:sz w:val="20"/>
          <w:szCs w:val="20"/>
          <w:color w:val="auto"/>
        </w:rPr>
      </w:pPr>
      <w:r>
        <w:rPr>
          <w:rFonts w:ascii="Arial" w:cs="Arial" w:eastAsia="Arial" w:hAnsi="Arial"/>
          <w:sz w:val="18"/>
          <w:szCs w:val="18"/>
          <w:color w:val="auto"/>
        </w:rPr>
        <w:t>“Certain Relationships and Related Person Transactions—Exchange Agreement,” the number of votes to which Class B common stockholders are entitled will be adjusted accordingly.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337" w:right="239" w:bottom="1440" w:gutter="0" w:footer="0" w:header="0"/>
        </w:sectPr>
      </w:pPr>
    </w:p>
    <w:bookmarkStart w:id="162" w:name="page163"/>
    <w:bookmarkEnd w:id="162"/>
    <w:p>
      <w:pPr>
        <w:jc w:val="both"/>
        <w:ind w:firstLine="324"/>
        <w:spacing w:after="0" w:line="258" w:lineRule="auto"/>
        <w:rPr>
          <w:sz w:val="20"/>
          <w:szCs w:val="20"/>
          <w:color w:val="auto"/>
        </w:rPr>
      </w:pPr>
      <w:r>
        <w:rPr>
          <w:rFonts w:ascii="Arial" w:cs="Arial" w:eastAsia="Arial" w:hAnsi="Arial"/>
          <w:sz w:val="18"/>
          <w:szCs w:val="18"/>
          <w:color w:val="auto"/>
        </w:rPr>
        <w:t>Upon completion of the Offering Transactions, there will be LLC Units outstanding (or LLC Units if the underwriters exercise in full their option to purchase additional shares of Class A common stock). ZoomInfo Technologies Inc. will hold LLC Units (or LLC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Units if the underwriters exercise in full their option to purchase additional shares of Class A common stock) and the Pre-IPO LLC Unitholders will</w:t>
      </w:r>
    </w:p>
    <w:p>
      <w:pPr>
        <w:spacing w:after="0" w:line="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hold</w:t>
      </w:r>
      <w:r>
        <w:rPr>
          <w:sz w:val="20"/>
          <w:szCs w:val="20"/>
          <w:color w:val="auto"/>
        </w:rPr>
        <w:tab/>
      </w:r>
      <w:r>
        <w:rPr>
          <w:rFonts w:ascii="Arial" w:cs="Arial" w:eastAsia="Arial" w:hAnsi="Arial"/>
          <w:sz w:val="18"/>
          <w:szCs w:val="18"/>
          <w:color w:val="auto"/>
        </w:rPr>
        <w:t>LLC Units.</w:t>
      </w:r>
    </w:p>
    <w:p>
      <w:pPr>
        <w:spacing w:after="0" w:line="1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Holders of shares of our Class B common stock will vote together with holders of our Class A common stock as a single class on all matters on which stockholders are entitled to vote generally, except as otherwise required by law. Delaware law entitles the holders of the outstanding shares of Class A common stock and Class B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and that the holders of Class B common stock would otherwise have with respect to an amendment to the certificate of incorporation increasing or decreasing the number of shares of Class B common stock the Company is entitled to issue. Thus, subject to any other voting requirements contained in the certificate of incorporation, any amendment to the certificate of incorporation increasing or decreasing the number of shares of either Class A common stock or Class B common stock that the Company is authorized to issue would require a vote of a majority of the outstanding voting power of all capital stock (including both the Class A common stock and the Class B common stock), voting together as a single class.</w:t>
      </w:r>
    </w:p>
    <w:p>
      <w:pPr>
        <w:spacing w:after="0" w:line="12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our Class B common stock do not have any right to receive dividends or to receive a distribution upon a liquidation, dissolution, or winding up of ZoomInfo Technologies Inc.</w:t>
      </w:r>
    </w:p>
    <w:p>
      <w:pPr>
        <w:spacing w:after="0" w:line="116" w:lineRule="exact"/>
        <w:rPr>
          <w:sz w:val="20"/>
          <w:szCs w:val="20"/>
          <w:color w:val="auto"/>
        </w:rPr>
      </w:pPr>
    </w:p>
    <w:p>
      <w:pPr>
        <w:ind w:right="1140" w:firstLine="324"/>
        <w:spacing w:after="0" w:line="438" w:lineRule="auto"/>
        <w:rPr>
          <w:sz w:val="20"/>
          <w:szCs w:val="20"/>
          <w:color w:val="auto"/>
        </w:rPr>
      </w:pPr>
      <w:r>
        <w:rPr>
          <w:rFonts w:ascii="Arial" w:cs="Arial" w:eastAsia="Arial" w:hAnsi="Arial"/>
          <w:sz w:val="18"/>
          <w:szCs w:val="18"/>
          <w:color w:val="auto"/>
        </w:rPr>
        <w:t xml:space="preserve">Our amended and restated certificate of incorporation does not provide for any restrictions on transfer of shares of Class B common stock. </w:t>
      </w:r>
      <w:r>
        <w:rPr>
          <w:rFonts w:ascii="Arial" w:cs="Arial" w:eastAsia="Arial" w:hAnsi="Arial"/>
          <w:sz w:val="18"/>
          <w:szCs w:val="18"/>
          <w:b w:val="1"/>
          <w:bCs w:val="1"/>
          <w:color w:val="auto"/>
        </w:rPr>
        <w:t>Preferred Stock</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Class A or Class B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9"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 on shares of such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 or other event;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341" w:right="239" w:bottom="1440" w:gutter="0" w:footer="0" w:header="0"/>
        </w:sectPr>
      </w:pPr>
    </w:p>
    <w:bookmarkStart w:id="163" w:name="page164"/>
    <w:bookmarkEnd w:id="163"/>
    <w:p>
      <w:pPr>
        <w:ind w:left="660"/>
        <w:spacing w:after="0" w:line="277" w:lineRule="auto"/>
        <w:rPr>
          <w:sz w:val="20"/>
          <w:szCs w:val="20"/>
          <w:color w:val="auto"/>
        </w:rPr>
      </w:pPr>
      <w:r>
        <w:rPr>
          <w:rFonts w:ascii="Arial" w:cs="Arial" w:eastAsia="Arial" w:hAnsi="Arial"/>
          <w:sz w:val="18"/>
          <w:szCs w:val="18"/>
          <w:color w:val="auto"/>
        </w:rPr>
        <w:t>price or prices or rate or rates, any rate adjustments, the date or dates as of which the shares will be convertible and all other terms and conditions upon which the conversion may be made;</w:t>
      </w:r>
    </w:p>
    <w:p>
      <w:pPr>
        <w:spacing w:after="0" w:line="116"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of our capital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limitations imposed by the listing standards of the .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342"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intend to opt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127" w:lineRule="exact"/>
        <w:rPr>
          <w:sz w:val="20"/>
          <w:szCs w:val="20"/>
          <w:color w:val="auto"/>
        </w:rPr>
      </w:pPr>
    </w:p>
    <w:p>
      <w:pPr>
        <w:ind w:left="6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w:t>
      </w:r>
    </w:p>
    <w:p>
      <w:pPr>
        <w:spacing w:after="0" w:line="46" w:lineRule="exact"/>
        <w:rPr>
          <w:rFonts w:ascii="Arial" w:cs="Arial" w:eastAsia="Arial" w:hAnsi="Arial"/>
          <w:sz w:val="16"/>
          <w:szCs w:val="16"/>
          <w:color w:val="auto"/>
        </w:rPr>
      </w:pPr>
    </w:p>
    <w:p>
      <w:pPr>
        <w:ind w:left="1120" w:hanging="194"/>
        <w:spacing w:after="0"/>
        <w:tabs>
          <w:tab w:leader="none" w:pos="11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of our voting stock outstanding at the time the transaction commenced, excluding certain shares; or</w:t>
      </w:r>
    </w:p>
    <w:p>
      <w:pPr>
        <w:sectPr>
          <w:pgSz w:w="11900" w:h="16838" w:orient="portrait"/>
          <w:cols w:equalWidth="0" w:num="1">
            <w:col w:w="11420"/>
          </w:cols>
          <w:pgMar w:left="240" w:top="341" w:right="239" w:bottom="1440" w:gutter="0" w:footer="0" w:header="0"/>
        </w:sectPr>
      </w:pP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of our outstanding voting stock that is not owned by the interested stockholder.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98" w:lineRule="exact"/>
        <w:rPr>
          <w:sz w:val="20"/>
          <w:szCs w:val="20"/>
          <w:color w:val="auto"/>
        </w:rPr>
      </w:pPr>
    </w:p>
    <w:p>
      <w:pPr>
        <w:sectPr>
          <w:pgSz w:w="11900" w:h="16838" w:orient="portrait"/>
          <w:cols w:equalWidth="0" w:num="3">
            <w:col w:w="400" w:space="260"/>
            <w:col w:w="10300" w:space="300"/>
            <w:col w:w="160"/>
          </w:cols>
          <w:pgMar w:left="240" w:top="341" w:right="239" w:bottom="1440" w:gutter="0" w:footer="0" w:header="0"/>
          <w:type w:val="continuous"/>
        </w:sectPr>
      </w:pPr>
    </w:p>
    <w:p>
      <w:pPr>
        <w:jc w:val="both"/>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amended and restated certificate of incorporation will provide that our Sponsors and their affiliates and any of their respective direct or indirect transferees, and any group as to which such persons are a party, do not constitute “interested stockholders” for purposes of this provision.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the stockholders agreement collectively beneficially</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own, in the aggregate, less than % of the voting power of all outstanding shares of our stock entitled to vote generally in the election of directors, directors may only be removed for cause, and only upon the affirmative vote of holders of at least % of the voting power of all the then outstanding shares of</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the stockholders agreement collectively beneficially own, in the aggregate, less than %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341" w:right="23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the stockholders agreement collectively own, in the aggregate, less than % in voting power of our stock entitled to vote generally in the election of directors, but does permit our Class B common stockholders to act by consent in writing without requiring any such recommendation by the directors then in office.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parties to the stockholders agreement collectively</w:t>
      </w:r>
    </w:p>
    <w:p>
      <w:pPr>
        <w:jc w:val="both"/>
        <w:spacing w:after="0" w:line="255" w:lineRule="auto"/>
        <w:rPr>
          <w:sz w:val="20"/>
          <w:szCs w:val="20"/>
          <w:color w:val="auto"/>
        </w:rPr>
      </w:pPr>
      <w:r>
        <w:rPr>
          <w:rFonts w:ascii="Arial" w:cs="Arial" w:eastAsia="Arial" w:hAnsi="Arial"/>
          <w:sz w:val="18"/>
          <w:szCs w:val="18"/>
          <w:color w:val="auto"/>
        </w:rPr>
        <w:t>beneficially own, in the aggregate, at least % in voting power of our stock entitled to vote generally in the election of directors, any amendment, alteration, change, addition, or repeal of our bylaws by our stockholders requires the affirmative vote of a majority in voting power of the outstanding shares of our stock present in person or represented by proxy at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341" w:right="2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t>meeting and entitled to vote on such amendment, alteration, rescission or repeal. At any time when the parties to the stockholders agreement collectively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beneficially own, in the aggregate, less than % in voting power of our stock entitled to vote generally in the election of directors, any amendment, alteration, rescission or repeal of our bylaws by our stockholders requires the affirmative vote of the holders of at least % in voting power of all the then outstanding shares of stock entitled to vote thereon, voting together as a single class.</w:t>
      </w:r>
    </w:p>
    <w:p>
      <w:pPr>
        <w:spacing w:after="0" w:line="136" w:lineRule="exact"/>
        <w:rPr>
          <w:sz w:val="20"/>
          <w:szCs w:val="20"/>
          <w:color w:val="auto"/>
        </w:rPr>
      </w:pPr>
    </w:p>
    <w:p>
      <w:pPr>
        <w:jc w:val="right"/>
        <w:spacing w:after="0" w:line="286" w:lineRule="auto"/>
        <w:rPr>
          <w:sz w:val="20"/>
          <w:szCs w:val="20"/>
          <w:color w:val="auto"/>
        </w:rPr>
      </w:pPr>
      <w:r>
        <w:rPr>
          <w:rFonts w:ascii="Arial" w:cs="Arial" w:eastAsia="Arial" w:hAnsi="Arial"/>
          <w:sz w:val="16"/>
          <w:szCs w:val="16"/>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the stockholders agreement collectively beneficially own, in the aggregate, less than % in voting power of our stock entitled to vote generally in the election of directors, the following provisions in our amended and restated certificate of</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incorporation may be amended, altered, repealed or rescinded only by the affirmative vote of the holders of at least % in voting power of all the then outstanding shares of our stock entitled to vote thereon, voting together as a single class:</w:t>
      </w:r>
    </w:p>
    <w:p>
      <w:pPr>
        <w:spacing w:after="0" w:line="130"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 requiring a    % supermajority vote for stockholders to amend our amended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 regarding forum selection; and</w:t>
      </w:r>
    </w:p>
    <w:p>
      <w:pPr>
        <w:spacing w:after="0" w:line="171" w:lineRule="exact"/>
        <w:rPr>
          <w:sz w:val="20"/>
          <w:szCs w:val="20"/>
          <w:color w:val="auto"/>
        </w:rPr>
      </w:pPr>
    </w:p>
    <w:p>
      <w:pPr>
        <w:ind w:left="340"/>
        <w:spacing w:after="0"/>
        <w:tabs>
          <w:tab w:leader="none" w:pos="640" w:val="left"/>
          <w:tab w:leader="none" w:pos="7100" w:val="left"/>
        </w:tabs>
        <w:rPr>
          <w:sz w:val="20"/>
          <w:szCs w:val="20"/>
          <w:color w:val="auto"/>
        </w:rPr>
      </w:pPr>
      <w:r>
        <w:rPr>
          <w:rFonts w:ascii="Arial" w:cs="Arial" w:eastAsia="Arial" w:hAnsi="Arial"/>
          <w:sz w:val="18"/>
          <w:szCs w:val="18"/>
          <w:color w:val="auto"/>
        </w:rPr>
        <w:t>•</w:t>
        <w:tab/>
        <w:t>the amendment provision requiring that the above provisions be amended only with a</w:t>
      </w:r>
      <w:r>
        <w:rPr>
          <w:sz w:val="20"/>
          <w:szCs w:val="20"/>
          <w:color w:val="auto"/>
        </w:rPr>
        <w:tab/>
      </w:r>
      <w:r>
        <w:rPr>
          <w:rFonts w:ascii="Arial" w:cs="Arial" w:eastAsia="Arial" w:hAnsi="Arial"/>
          <w:sz w:val="16"/>
          <w:szCs w:val="16"/>
          <w:color w:val="auto"/>
        </w:rPr>
        <w:t>% supermajority vote.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in which we are a constituent entity. Pursuant to the DGCL, stockholders who properly demand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341" w:right="239" w:bottom="1440" w:gutter="0" w:footer="0" w:header="0"/>
        </w:sectPr>
      </w:pPr>
    </w:p>
    <w:bookmarkStart w:id="167" w:name="page168"/>
    <w:bookmarkEnd w:id="167"/>
    <w:p>
      <w:pPr>
        <w:jc w:val="both"/>
        <w:spacing w:after="0" w:line="264" w:lineRule="auto"/>
        <w:rPr>
          <w:sz w:val="20"/>
          <w:szCs w:val="20"/>
          <w:color w:val="auto"/>
        </w:rPr>
      </w:pPr>
      <w:r>
        <w:rPr>
          <w:rFonts w:ascii="Arial" w:cs="Arial" w:eastAsia="Arial" w:hAnsi="Arial"/>
          <w:sz w:val="18"/>
          <w:szCs w:val="18"/>
          <w:color w:val="auto"/>
        </w:rPr>
        <w:t>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any</w:t>
      </w:r>
    </w:p>
    <w:p>
      <w:pPr>
        <w:spacing w:after="0" w:line="35" w:lineRule="exact"/>
        <w:rPr>
          <w:sz w:val="20"/>
          <w:szCs w:val="20"/>
          <w:color w:val="auto"/>
        </w:rPr>
      </w:pPr>
    </w:p>
    <w:p>
      <w:pPr>
        <w:jc w:val="both"/>
        <w:ind w:firstLine="8"/>
        <w:spacing w:after="0" w:line="268" w:lineRule="auto"/>
        <w:tabs>
          <w:tab w:leader="none" w:pos="2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derivative action or proceeding brought on behalf of our Company, (2) action asserting a claim of breach of a fiduciary duty owed by any director, officer, stockholder or employee of our Company to our Company or our Company’s stockholders, (3) action asserting a claim arising pursuant to any provision of the DGCL or our amended and restated certificate of incorporation or our amended and restated bylaws or (4)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Securities Act or the Exchange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342" w:right="239" w:bottom="1440" w:gutter="0" w:footer="0" w:header="0"/>
        </w:sectPr>
      </w:pPr>
    </w:p>
    <w:bookmarkStart w:id="168" w:name="page169"/>
    <w:bookmarkEnd w:id="168"/>
    <w:p>
      <w:pPr>
        <w:jc w:val="both"/>
        <w:spacing w:after="0" w:line="255" w:lineRule="auto"/>
        <w:rPr>
          <w:sz w:val="20"/>
          <w:szCs w:val="20"/>
          <w:color w:val="auto"/>
        </w:rPr>
      </w:pPr>
      <w:r>
        <w:rPr>
          <w:rFonts w:ascii="Arial" w:cs="Arial" w:eastAsia="Arial" w:hAnsi="Arial"/>
          <w:sz w:val="18"/>
          <w:szCs w:val="18"/>
          <w:color w:val="auto"/>
        </w:rPr>
        <w:t>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34" w:lineRule="exact"/>
        <w:rPr>
          <w:sz w:val="20"/>
          <w:szCs w:val="20"/>
          <w:color w:val="auto"/>
        </w:rPr>
      </w:pPr>
    </w:p>
    <w:p>
      <w:pPr>
        <w:ind w:right="80" w:firstLine="324"/>
        <w:spacing w:after="0" w:line="438" w:lineRule="auto"/>
        <w:rPr>
          <w:sz w:val="20"/>
          <w:szCs w:val="20"/>
          <w:color w:val="auto"/>
        </w:rPr>
      </w:pPr>
      <w:r>
        <w:rPr>
          <w:rFonts w:ascii="Arial" w:cs="Arial" w:eastAsia="Arial" w:hAnsi="Arial"/>
          <w:sz w:val="18"/>
          <w:szCs w:val="18"/>
          <w:color w:val="auto"/>
        </w:rPr>
        <w:t xml:space="preserve">There is currently no pending material litigation or proceeding involving any of our directors, officers or employees for which indemnification is sought. </w:t>
      </w:r>
      <w:r>
        <w:rPr>
          <w:rFonts w:ascii="Arial" w:cs="Arial" w:eastAsia="Arial" w:hAnsi="Arial"/>
          <w:sz w:val="18"/>
          <w:szCs w:val="18"/>
          <w:b w:val="1"/>
          <w:bCs w:val="1"/>
          <w:color w:val="auto"/>
        </w:rPr>
        <w:t>Transfer Agent and Registrar</w:t>
      </w:r>
    </w:p>
    <w:p>
      <w:pPr>
        <w:spacing w:after="0" w:line="1" w:lineRule="exact"/>
        <w:rPr>
          <w:sz w:val="20"/>
          <w:szCs w:val="20"/>
          <w:color w:val="auto"/>
        </w:rPr>
      </w:pPr>
    </w:p>
    <w:p>
      <w:pPr>
        <w:ind w:left="340"/>
        <w:spacing w:after="0"/>
        <w:tabs>
          <w:tab w:leader="none" w:pos="6720" w:val="left"/>
        </w:tabs>
        <w:rPr>
          <w:sz w:val="20"/>
          <w:szCs w:val="20"/>
          <w:color w:val="auto"/>
        </w:rPr>
      </w:pPr>
      <w:r>
        <w:rPr>
          <w:rFonts w:ascii="Arial" w:cs="Arial" w:eastAsia="Arial" w:hAnsi="Arial"/>
          <w:sz w:val="18"/>
          <w:szCs w:val="18"/>
          <w:color w:val="auto"/>
        </w:rPr>
        <w:t>The transfer agent and registrar for shares of our Class A common stock will be</w:t>
      </w:r>
      <w:r>
        <w:rPr>
          <w:sz w:val="20"/>
          <w:szCs w:val="20"/>
          <w:color w:val="auto"/>
        </w:rPr>
        <w:tab/>
      </w:r>
      <w:r>
        <w:rPr>
          <w:rFonts w:ascii="Arial" w:cs="Arial" w:eastAsia="Arial" w:hAnsi="Arial"/>
          <w:sz w:val="14"/>
          <w:szCs w:val="14"/>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tabs>
          <w:tab w:leader="none" w:pos="4620" w:val="left"/>
          <w:tab w:leader="none" w:pos="6360" w:val="left"/>
        </w:tabs>
        <w:rPr>
          <w:sz w:val="20"/>
          <w:szCs w:val="20"/>
          <w:color w:val="auto"/>
        </w:rPr>
      </w:pPr>
      <w:r>
        <w:rPr>
          <w:rFonts w:ascii="Arial" w:cs="Arial" w:eastAsia="Arial" w:hAnsi="Arial"/>
          <w:sz w:val="18"/>
          <w:szCs w:val="18"/>
          <w:color w:val="auto"/>
        </w:rPr>
        <w:t>We have applied to list our Class A common stock on</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341"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CERTAIN U.S. FEDERAL INCOME AND ESTATE TAX CONSEQUENCES TO NON-U.S. HOLDERS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16"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2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337"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of our Class A common stock (the tax treatment of which is discussed below under “—Gain on Disposition of Class A Common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discussion of backup withholding and FATCA below, any gain realized by a non-U.S. holder on the sale or other disposition of our Class A common stock generally will not be subject to United States federal income tax unless:</w:t>
      </w:r>
    </w:p>
    <w:p>
      <w:pPr>
        <w:spacing w:after="0" w:line="116" w:lineRule="exact"/>
        <w:rPr>
          <w:sz w:val="20"/>
          <w:szCs w:val="20"/>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341"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Federal Estate Tax</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337"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completion of this offering we will have a total of shares of our Class A common stock outstanding (or shares of Class A common stock if the underwriters exercise in full their option to purchase additional shares of Class A common stock).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that issuer. The shares of our Class A common stock held by the Pre-IPO Shareholders will be “restricted securities,” as defined in Rule 144 and may not be sold absent registration under the Securities Act or compliance with Rule 144 thereunder or in reliance on another exemption from registration.</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subject to certain limitations and exceptions, pursuant to the terms of an exchange agreement we will enter into with the Pre-IPO LLC Unitholders, holders of LLC Units may (subject to the terms of the exchange agreement) exchange LLC Units for shares of our Class A common stock on</w:t>
      </w:r>
    </w:p>
    <w:p>
      <w:pPr>
        <w:ind w:left="620" w:hanging="612"/>
        <w:spacing w:after="0"/>
        <w:tabs>
          <w:tab w:leader="none" w:pos="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basis, subject to customary conversion rate adjustments for stock splits, stock dividends, and reclassifications. Upon consummation of this offering,</w:t>
      </w:r>
    </w:p>
    <w:p>
      <w:pPr>
        <w:spacing w:after="0" w:line="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Pre-IPO LLC Unitholders will hold LLC Units, all of which will be exchangeable for shares of our Class A common stock. Any shares we issue upon exchange of LLC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LLC Units exchanged.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shares of Class A common stock may be granted under our Omnibus Incentive Plan. We intend to file one or more registration statements on Form S-8 under the Securities Act to register shares of Class A common stock or securities convertible into or exchangeable for shares of Class A common stock issued under or covered by our Omnibus Incentive Plan. Any such Form S-8 registration statements will automatically become effective upon filing. Accordingly, shares of Class A common stock registered under such registration statements will be available for sale in the open market.</w:t>
      </w:r>
    </w:p>
    <w:p>
      <w:pPr>
        <w:spacing w:after="0" w:line="2"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We expect that the initial registration statement on Form S-8 will cover</w:t>
      </w:r>
      <w:r>
        <w:rPr>
          <w:sz w:val="20"/>
          <w:szCs w:val="20"/>
          <w:color w:val="auto"/>
        </w:rPr>
        <w:tab/>
      </w:r>
      <w:r>
        <w:rPr>
          <w:rFonts w:ascii="Arial" w:cs="Arial" w:eastAsia="Arial" w:hAnsi="Arial"/>
          <w:sz w:val="16"/>
          <w:szCs w:val="16"/>
          <w:color w:val="auto"/>
        </w:rPr>
        <w:t>shares of Class A common stock.</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 of ZoomInfo OpCo permits ZoomInfo OpCo to issue an unlimited number of additional limited liability company interests of ZoomInfo OpCo with designations, preferences, rights, powers and duties that are different from, and may be senior to, those applicable to the LLC Units, and which may be exchangeable for shares of our Class A common stock.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338"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will enter into one or more registration rights agreements with our pre-IPO owners pursuant to which we will grant them, their affiliates and certain of their transferees the right, under certain circumstances and subject to certain restrictions, to require us to register under the Securities Act shares of Class A common stock delivered in exchange for LLC Units. See “Certain Relationships and Related Person Transactions—Registration Rights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our executive officers, our directors, and the holders of substantially all of our outstanding LLC Units have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foregoing, without, in each case, the prior written consent of and for a period of days after the date of this prospectus. The lock-up agreements do not preclude holders of LLC Units from exchanging such units (together with a corresponding number of shares of our Class B common stock) for shares of our Class A common stock, provided that shares of Class A common stock acquired in connection with any such exchanges will be subject to the restrictions provided for in the lock-up agreements. For a discussion of the exceptions to the lock-up agreements, see “Underwriting.”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shares we issue upon exchange of LLC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LLC Units exchanged.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337"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J.P. Morgan Securities LLC and Morgan Stanley &amp; Co. LLC are acting as representatives, have severally agreed to purchase, and we have agreed to sell to them, the number of shares of Class A common stock indicated below:</w:t>
      </w:r>
    </w:p>
    <w:p>
      <w:pPr>
        <w:spacing w:after="0" w:line="348" w:lineRule="exact"/>
        <w:rPr>
          <w:sz w:val="20"/>
          <w:szCs w:val="20"/>
          <w:color w:val="auto"/>
        </w:rPr>
      </w:pPr>
    </w:p>
    <w:p>
      <w:pPr>
        <w:ind w:left="40"/>
        <w:spacing w:after="0"/>
        <w:tabs>
          <w:tab w:leader="none" w:pos="99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31750</wp:posOffset>
            </wp:positionV>
            <wp:extent cx="1157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also be increased or the offering may be terminated.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of this prospectus and part to certain dealers at a price that represents a concession not in excess of $ per share under the public offering price. Any such dealers may resell shares to certain other brokers or dealers at a discount of up to $ per share from the public offering price. After the initial offering of</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Class A common stock at the public offering price listed on the cover page of this prospectus, less underwriting discounts.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proceeds before expenses to us. These amounts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5"/>
          </w:tcPr>
          <w:p>
            <w:pPr>
              <w:spacing w:after="0"/>
              <w:rPr>
                <w:sz w:val="20"/>
                <w:szCs w:val="20"/>
                <w:color w:val="auto"/>
              </w:rPr>
            </w:pPr>
            <w:r>
              <w:rPr>
                <w:rFonts w:ascii="Arial" w:cs="Arial" w:eastAsia="Arial" w:hAnsi="Arial"/>
                <w:sz w:val="18"/>
                <w:szCs w:val="18"/>
                <w:color w:val="auto"/>
                <w:w w:val="93"/>
              </w:rPr>
              <w:t>shown assuming both no exercise and full exercise of the underwriters’ option to purchase up to an additional</w:t>
            </w:r>
          </w:p>
        </w:tc>
        <w:tc>
          <w:tcPr>
            <w:tcW w:w="280" w:type="dxa"/>
            <w:vAlign w:val="bottom"/>
          </w:tcPr>
          <w:p>
            <w:pPr>
              <w:spacing w:after="0"/>
              <w:rPr>
                <w:sz w:val="20"/>
                <w:szCs w:val="20"/>
                <w:color w:val="auto"/>
              </w:rPr>
            </w:pPr>
          </w:p>
        </w:tc>
        <w:tc>
          <w:tcPr>
            <w:tcW w:w="3020" w:type="dxa"/>
            <w:vAlign w:val="bottom"/>
            <w:gridSpan w:val="5"/>
          </w:tcPr>
          <w:p>
            <w:pPr>
              <w:ind w:left="400"/>
              <w:spacing w:after="0"/>
              <w:rPr>
                <w:sz w:val="20"/>
                <w:szCs w:val="20"/>
                <w:color w:val="auto"/>
              </w:rPr>
            </w:pPr>
            <w:r>
              <w:rPr>
                <w:rFonts w:ascii="Arial" w:cs="Arial" w:eastAsia="Arial" w:hAnsi="Arial"/>
                <w:sz w:val="18"/>
                <w:szCs w:val="18"/>
                <w:color w:val="auto"/>
                <w:w w:val="97"/>
              </w:rPr>
              <w:t>shares of Class A common stock.</w:t>
            </w:r>
          </w:p>
        </w:tc>
      </w:tr>
      <w:tr>
        <w:trPr>
          <w:trHeight w:val="547"/>
        </w:trPr>
        <w:tc>
          <w:tcPr>
            <w:tcW w:w="4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Total</w:t>
            </w:r>
          </w:p>
        </w:tc>
        <w:tc>
          <w:tcPr>
            <w:tcW w:w="134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Full Exercise</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 price</w:t>
            </w:r>
          </w:p>
        </w:tc>
        <w:tc>
          <w:tcPr>
            <w:tcW w:w="2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Underwriting discounts to be paid by us</w:t>
            </w: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before expenses, to us</w:t>
            </w:r>
          </w:p>
        </w:tc>
        <w:tc>
          <w:tcPr>
            <w:tcW w:w="2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810"/>
        </w:trPr>
        <w:tc>
          <w:tcPr>
            <w:tcW w:w="4240" w:type="dxa"/>
            <w:vAlign w:val="bottom"/>
          </w:tcPr>
          <w:p>
            <w:pPr>
              <w:spacing w:after="0"/>
              <w:rPr>
                <w:sz w:val="24"/>
                <w:szCs w:val="24"/>
                <w:color w:val="auto"/>
              </w:rPr>
            </w:pPr>
          </w:p>
        </w:tc>
        <w:tc>
          <w:tcPr>
            <w:tcW w:w="2160" w:type="dxa"/>
            <w:vAlign w:val="bottom"/>
          </w:tcPr>
          <w:p>
            <w:pPr>
              <w:jc w:val="right"/>
              <w:ind w:right="47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338" w:right="239" w:bottom="1440" w:gutter="0" w:footer="0" w:header="0"/>
        </w:sectPr>
      </w:pPr>
    </w:p>
    <w:bookmarkStart w:id="175" w:name="page176"/>
    <w:bookmarkEnd w:id="175"/>
    <w:p>
      <w:pPr>
        <w:ind w:right="20" w:firstLine="324"/>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are approximately $ . We have agreed to reimburse the underwriters for expenses relating to clearance of this offering with the Financial Industry Regulatory Authority, Inc. up to $ .</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16" w:lineRule="exact"/>
        <w:rPr>
          <w:sz w:val="20"/>
          <w:szCs w:val="20"/>
          <w:color w:val="auto"/>
        </w:rPr>
      </w:pPr>
    </w:p>
    <w:p>
      <w:pPr>
        <w:ind w:left="340"/>
        <w:spacing w:after="0"/>
        <w:tabs>
          <w:tab w:leader="none" w:pos="5820" w:val="left"/>
          <w:tab w:leader="none" w:pos="8200" w:val="left"/>
        </w:tabs>
        <w:rPr>
          <w:sz w:val="20"/>
          <w:szCs w:val="20"/>
          <w:color w:val="auto"/>
        </w:rPr>
      </w:pPr>
      <w:r>
        <w:rPr>
          <w:rFonts w:ascii="Arial" w:cs="Arial" w:eastAsia="Arial" w:hAnsi="Arial"/>
          <w:sz w:val="18"/>
          <w:szCs w:val="18"/>
          <w:color w:val="auto"/>
        </w:rPr>
        <w:t>Our Class A common stock has been approved for listing on the</w:t>
      </w:r>
      <w:r>
        <w:rPr>
          <w:sz w:val="20"/>
          <w:szCs w:val="20"/>
          <w:color w:val="auto"/>
        </w:rPr>
        <w:tab/>
      </w:r>
      <w:r>
        <w:rPr>
          <w:rFonts w:ascii="Arial" w:cs="Arial" w:eastAsia="Arial" w:hAnsi="Arial"/>
          <w:sz w:val="18"/>
          <w:szCs w:val="18"/>
          <w:color w:val="auto"/>
        </w:rPr>
        <w:t>under the trading symbol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our executive officers, our directors, and the holders of substantially all of our outstanding LLC Units have agreed that, without the prior written</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consent of the representatives on behalf of the underwriters, we and they will not, during the period ending days after the date of this prospectus (the “restricted period”):</w:t>
      </w:r>
    </w:p>
    <w:p>
      <w:pPr>
        <w:spacing w:after="0" w:line="130" w:lineRule="exact"/>
        <w:rPr>
          <w:sz w:val="20"/>
          <w:szCs w:val="20"/>
          <w:color w:val="auto"/>
        </w:rPr>
      </w:pPr>
    </w:p>
    <w:p>
      <w:pPr>
        <w:jc w:val="both"/>
        <w:ind w:left="660" w:hanging="328"/>
        <w:spacing w:after="0" w:line="259"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common stock (the “securities”), whether any such transaction is to be settled by delivery of such securities, in cash or otherwise;</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our case, publicly file any registration statement with the SEC relating to the offering of any such securities;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in each case, publicly disclose the intention to undertake any of the foregoing. In addition, each such person agrees that, without the prior written consent of the representatives on behalf of the underwriters, such other person will not, during the restricted period, make any demand for, or exercise any right with respect to, the registration of any such securities.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described in the immediately preceding paragraph are subject to certain customary exceptions.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representatives, in their sole discretion, may release the securities subject to the lock-up agreements described above in whole or in part at any time.</w:t>
      </w:r>
    </w:p>
    <w:p>
      <w:pPr>
        <w:spacing w:after="0" w:line="1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 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341" w:right="239" w:bottom="1440" w:gutter="0" w:footer="0" w:header="0"/>
        </w:sectPr>
      </w:pPr>
    </w:p>
    <w:bookmarkStart w:id="176" w:name="page177"/>
    <w:bookmarkEnd w:id="176"/>
    <w:p>
      <w:pPr>
        <w:spacing w:after="0"/>
        <w:tabs>
          <w:tab w:leader="none" w:pos="6560" w:val="left"/>
        </w:tabs>
        <w:rPr>
          <w:sz w:val="20"/>
          <w:szCs w:val="20"/>
          <w:color w:val="auto"/>
        </w:rPr>
      </w:pPr>
      <w:r>
        <w:rPr>
          <w:rFonts w:ascii="Arial" w:cs="Arial" w:eastAsia="Arial" w:hAnsi="Arial"/>
          <w:sz w:val="18"/>
          <w:szCs w:val="18"/>
          <w:color w:val="auto"/>
        </w:rPr>
        <w:t>activities at any time. The underwriters may carry out these transactions on the</w:t>
      </w:r>
      <w:r>
        <w:rPr>
          <w:sz w:val="20"/>
          <w:szCs w:val="20"/>
          <w:color w:val="auto"/>
        </w:rPr>
        <w:tab/>
      </w:r>
      <w:r>
        <w:rPr>
          <w:rFonts w:ascii="Arial" w:cs="Arial" w:eastAsia="Arial" w:hAnsi="Arial"/>
          <w:sz w:val="16"/>
          <w:szCs w:val="16"/>
          <w:color w:val="auto"/>
        </w:rPr>
        <w:t>, in the over-the-counter market or otherwise.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or to contribute to payments that may be required to be made in respect of those liabilities.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 Certain of the underwriters or their respective affiliates are lenders and/or agents under our secured credit facilities.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shares of Class A Common Stock will trade in the public market at or above the initial public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341"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our Class A common stock must be made in accordance with an exemption from, or in a transaction not subject to, the prospectus requirements of applicable securities laws.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relation to each Member State of the European Economic Area, no offer to the public of any shares of our Class A common stock may be made in that Member State, except that an offer to the public in that Member State of any shares of our Class A common stock may be made at any time under the following exemptions under the Prospectus Directive:</w:t>
      </w:r>
    </w:p>
    <w:p>
      <w:pPr>
        <w:spacing w:after="0" w:line="127"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person located in a Member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Member State implementing Article 2(1)(e) of the Prospectus Directive; and (2) in the case of any shares of Class A Common Stock 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of Class A Common Stock have been acquired by it on behalf of persons in any Member State other than qualified investors, the offer of those shares of Class A Common Stock to it is not treated under the Prospectus Directive as having been made to such persons.</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the underwriters and our and their respective affiliates will rely upon the truth and accuracy of the foregoing representations, acknowledgments and agreements.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prospectus has been prepared on the basis that any offer of shares of Class A Common Stock in any Member State will be made pursuant to an exemption under the Prospectus Directive from the requirement to publish a prospectus for offers of shares of Class A Common Stock. Accordingly, any person making or intending to make an offer in that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342" w:right="239" w:bottom="1440" w:gutter="0" w:footer="0" w:header="0"/>
        </w:sectPr>
      </w:pPr>
    </w:p>
    <w:bookmarkStart w:id="178" w:name="page179"/>
    <w:bookmarkEnd w:id="178"/>
    <w:p>
      <w:pPr>
        <w:jc w:val="both"/>
        <w:spacing w:after="0" w:line="259" w:lineRule="auto"/>
        <w:rPr>
          <w:sz w:val="20"/>
          <w:szCs w:val="20"/>
          <w:color w:val="auto"/>
        </w:rPr>
      </w:pPr>
      <w:r>
        <w:rPr>
          <w:rFonts w:ascii="Arial" w:cs="Arial" w:eastAsia="Arial" w:hAnsi="Arial"/>
          <w:sz w:val="18"/>
          <w:szCs w:val="18"/>
          <w:color w:val="auto"/>
        </w:rPr>
        <w:t>Member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 Common Stock in circumstances in which an obligation arises for us or the underwriters to publish a prospectus for such offer.</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Class A common stock in any Member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Member State by any measure implementing the Prospectus Directive in that Member State; and (ii) the expression “Prospectus Directive” means Prospectus Regulation (EU) 2017/1129 (as amended) and includes any relevant implementing measure in each Member State.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shares of Class A Common Stock being offered pursuant to this prospectus have not and will not be approved, and may not be licensable, with FINMA. Therefore, the shares of Class A Common Stock have not been authorized for distribution by FINMA as a foreign collective investment scheme pursuant to Article 119 CISA and the shares of Class A Common Stock offered hereby may not be offered to the public (as this term is defined in Article 3 CISA) in or from Switzerland. The shares of Class A Common Stock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shares of Class A Common Stock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341" w:right="239" w:bottom="1440" w:gutter="0" w:footer="0" w:header="0"/>
        </w:sectPr>
      </w:pPr>
    </w:p>
    <w:bookmarkStart w:id="179" w:name="page180"/>
    <w:bookmarkEnd w:id="179"/>
    <w:p>
      <w:pPr>
        <w:jc w:val="both"/>
        <w:spacing w:after="0" w:line="312" w:lineRule="auto"/>
        <w:rPr>
          <w:sz w:val="20"/>
          <w:szCs w:val="20"/>
          <w:color w:val="auto"/>
        </w:rPr>
      </w:pPr>
      <w:r>
        <w:rPr>
          <w:rFonts w:ascii="Arial" w:cs="Arial" w:eastAsia="Arial" w:hAnsi="Arial"/>
          <w:sz w:val="16"/>
          <w:szCs w:val="16"/>
          <w:color w:val="auto"/>
        </w:rPr>
        <w:t>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of our Class A common stock are subscribed or purchased under Section 275 of the SFA by a relevant person which is:</w:t>
      </w:r>
    </w:p>
    <w:p>
      <w:pPr>
        <w:spacing w:after="0" w:line="171" w:lineRule="exact"/>
        <w:rPr>
          <w:sz w:val="20"/>
          <w:szCs w:val="20"/>
          <w:color w:val="auto"/>
        </w:rPr>
      </w:pPr>
    </w:p>
    <w:p>
      <w:pPr>
        <w:ind w:left="6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27" w:lineRule="exact"/>
        <w:rPr>
          <w:sz w:val="20"/>
          <w:szCs w:val="20"/>
          <w:color w:val="auto"/>
        </w:rPr>
      </w:pPr>
    </w:p>
    <w:p>
      <w:pPr>
        <w:ind w:left="66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341" w:right="239" w:bottom="1440" w:gutter="0" w:footer="0" w:header="0"/>
        </w:sectPr>
      </w:pPr>
    </w:p>
    <w:bookmarkStart w:id="180" w:name="page181"/>
    <w:bookmarkEnd w:id="180"/>
    <w:p>
      <w:pPr>
        <w:jc w:val="both"/>
        <w:ind w:firstLine="324"/>
        <w:spacing w:after="0" w:line="257"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8"/>
          <w:szCs w:val="18"/>
          <w:i w:val="1"/>
          <w:iCs w:val="1"/>
          <w:color w:val="auto"/>
        </w:rPr>
        <w:t>en bloc</w:t>
      </w:r>
      <w:r>
        <w:rPr>
          <w:rFonts w:ascii="Arial" w:cs="Arial" w:eastAsia="Arial" w:hAnsi="Arial"/>
          <w:sz w:val="18"/>
          <w:szCs w:val="18"/>
          <w:color w:val="auto"/>
        </w:rPr>
        <w:t xml:space="preserve"> without subdivision to a single investor.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341" w:right="239" w:bottom="1440" w:gutter="0" w:footer="0" w:header="0"/>
        </w:sectPr>
      </w:pPr>
    </w:p>
    <w:bookmarkStart w:id="181" w:name="page182"/>
    <w:bookmarkEnd w:id="181"/>
    <w:p>
      <w:pPr>
        <w:jc w:val="both"/>
        <w:ind w:firstLine="324"/>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341"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The financial statement of ZoomInfo Technologies Inc. as of November 14, 2019 and the consolidated financial statements of DiscoverOrg Holdings, LLC as of December 31, 2018 and for the year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2018 consolidated financial statements of DiscoverOrg Holdings, LLC refers to a change in the method of accounting for revenue due to the adoption of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7"/>
          <w:szCs w:val="17"/>
          <w:i w:val="1"/>
          <w:iCs w:val="1"/>
          <w:color w:val="auto"/>
        </w:rPr>
        <w:t>http://www.sec.gov.</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We maintain an internet site at </w:t>
      </w:r>
      <w:r>
        <w:rPr>
          <w:rFonts w:ascii="Arial" w:cs="Arial" w:eastAsia="Arial" w:hAnsi="Arial"/>
          <w:sz w:val="18"/>
          <w:szCs w:val="18"/>
          <w:i w:val="1"/>
          <w:iCs w:val="1"/>
          <w:color w:val="auto"/>
        </w:rPr>
        <w:t>http://www.zoominfo.com</w:t>
      </w:r>
      <w:r>
        <w:rPr>
          <w:rFonts w:ascii="Arial" w:cs="Arial" w:eastAsia="Arial" w:hAnsi="Arial"/>
          <w:sz w:val="18"/>
          <w:szCs w:val="18"/>
          <w:color w:val="auto"/>
        </w:rPr>
        <w:t>. The information on, or accessible from, our website is not part of this prospectus by reference or otherwise.</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Upon completion of this offering, we will become subject to the informational requirements of the Exchange Act and will be required to file reports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338"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40" w:type="dxa"/>
            <w:vAlign w:val="bottom"/>
            <w:gridSpan w:val="13"/>
          </w:tcPr>
          <w:p>
            <w:pPr>
              <w:jc w:val="center"/>
              <w:ind w:right="3260"/>
              <w:spacing w:after="0"/>
              <w:rPr>
                <w:sz w:val="20"/>
                <w:szCs w:val="20"/>
                <w:color w:val="auto"/>
              </w:rPr>
            </w:pPr>
            <w:r>
              <w:rPr>
                <w:rFonts w:ascii="Arial" w:cs="Arial" w:eastAsia="Arial" w:hAnsi="Arial"/>
                <w:sz w:val="18"/>
                <w:szCs w:val="18"/>
                <w:b w:val="1"/>
                <w:bCs w:val="1"/>
                <w:color w:val="auto"/>
              </w:rPr>
              <w:t>INDEX TO FINANCIAL STATEMENTS</w:t>
            </w:r>
          </w:p>
        </w:tc>
        <w:tc>
          <w:tcPr>
            <w:tcW w:w="580" w:type="dxa"/>
            <w:vAlign w:val="bottom"/>
          </w:tcPr>
          <w:p>
            <w:pPr>
              <w:spacing w:after="0"/>
              <w:rPr>
                <w:sz w:val="20"/>
                <w:szCs w:val="20"/>
                <w:color w:val="auto"/>
              </w:rPr>
            </w:pPr>
          </w:p>
        </w:tc>
      </w:tr>
      <w:tr>
        <w:trPr>
          <w:trHeight w:val="837"/>
        </w:trPr>
        <w:tc>
          <w:tcPr>
            <w:tcW w:w="10680" w:type="dxa"/>
            <w:vAlign w:val="bottom"/>
            <w:gridSpan w:val="20"/>
          </w:tcPr>
          <w:p>
            <w:pPr>
              <w:spacing w:after="0"/>
              <w:rPr>
                <w:sz w:val="20"/>
                <w:szCs w:val="20"/>
                <w:color w:val="auto"/>
              </w:rPr>
            </w:pPr>
            <w:r>
              <w:rPr>
                <w:rFonts w:ascii="Arial" w:cs="Arial" w:eastAsia="Arial" w:hAnsi="Arial"/>
                <w:sz w:val="18"/>
                <w:szCs w:val="18"/>
                <w:b w:val="1"/>
                <w:bCs w:val="1"/>
                <w:color w:val="auto"/>
              </w:rPr>
              <w:t>Audited Balance Sheet of ZoomInfo Technologies Inc.</w:t>
            </w:r>
          </w:p>
        </w:tc>
        <w:tc>
          <w:tcPr>
            <w:tcW w:w="580" w:type="dxa"/>
            <w:vAlign w:val="bottom"/>
          </w:tcPr>
          <w:p>
            <w:pPr>
              <w:spacing w:after="0"/>
              <w:rPr>
                <w:sz w:val="24"/>
                <w:szCs w:val="24"/>
                <w:color w:val="auto"/>
              </w:rPr>
            </w:pPr>
          </w:p>
        </w:tc>
      </w:tr>
      <w:tr>
        <w:trPr>
          <w:trHeight w:val="230"/>
        </w:trPr>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85">
              <w:r>
                <w:rPr>
                  <w:rFonts w:ascii="Arial" w:cs="Arial" w:eastAsia="Arial" w:hAnsi="Arial"/>
                  <w:sz w:val="18"/>
                  <w:szCs w:val="18"/>
                  <w:color w:val="0000EE"/>
                  <w:w w:val="91"/>
                </w:rPr>
                <w:t>Report of Independent Registered Public Accounting Firm</w:t>
              </w:r>
            </w:hyperlink>
          </w:p>
        </w:tc>
        <w:tc>
          <w:tcPr>
            <w:tcW w:w="6460" w:type="dxa"/>
            <w:vAlign w:val="bottom"/>
            <w:gridSpan w:val="12"/>
          </w:tcPr>
          <w:p>
            <w:pPr>
              <w:spacing w:after="0"/>
              <w:rPr>
                <w:sz w:val="19"/>
                <w:szCs w:val="19"/>
                <w:color w:val="auto"/>
              </w:rPr>
            </w:pPr>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85">
              <w:r>
                <w:rPr>
                  <w:rFonts w:ascii="Arial" w:cs="Arial" w:eastAsia="Arial" w:hAnsi="Arial"/>
                  <w:sz w:val="18"/>
                  <w:szCs w:val="18"/>
                  <w:color w:val="auto"/>
                  <w:w w:val="93"/>
                </w:rPr>
                <w:t>2</w:t>
              </w:r>
            </w:hyperlink>
          </w:p>
        </w:tc>
      </w:tr>
      <w:tr>
        <w:trPr>
          <w:trHeight w:val="250"/>
        </w:trPr>
        <w:tc>
          <w:tcPr>
            <w:tcW w:w="10680" w:type="dxa"/>
            <w:vAlign w:val="bottom"/>
            <w:gridSpan w:val="2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Balance Sheet as of November 14, 2019</w:t>
              </w:r>
            </w:hyperlink>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86">
              <w:r>
                <w:rPr>
                  <w:rFonts w:ascii="Arial" w:cs="Arial" w:eastAsia="Arial" w:hAnsi="Arial"/>
                  <w:sz w:val="18"/>
                  <w:szCs w:val="18"/>
                  <w:color w:val="auto"/>
                  <w:w w:val="93"/>
                </w:rPr>
                <w:t>3</w:t>
              </w:r>
            </w:hyperlink>
          </w:p>
        </w:tc>
      </w:tr>
      <w:tr>
        <w:trPr>
          <w:trHeight w:val="250"/>
        </w:trPr>
        <w:tc>
          <w:tcPr>
            <w:tcW w:w="2880" w:type="dxa"/>
            <w:vAlign w:val="bottom"/>
            <w:tcBorders>
              <w:top w:val="single" w:sz="8" w:color="0000EE"/>
            </w:tcBorders>
            <w:gridSpan w:val="3"/>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Notes to Balance Sheet</w:t>
              </w:r>
            </w:hyperlink>
          </w:p>
        </w:tc>
        <w:tc>
          <w:tcPr>
            <w:tcW w:w="7800" w:type="dxa"/>
            <w:vAlign w:val="bottom"/>
            <w:gridSpan w:val="17"/>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87">
              <w:r>
                <w:rPr>
                  <w:rFonts w:ascii="Arial" w:cs="Arial" w:eastAsia="Arial" w:hAnsi="Arial"/>
                  <w:sz w:val="18"/>
                  <w:szCs w:val="18"/>
                  <w:color w:val="auto"/>
                  <w:w w:val="93"/>
                </w:rPr>
                <w:t>4</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10680" w:type="dxa"/>
            <w:vAlign w:val="bottom"/>
            <w:gridSpan w:val="20"/>
          </w:tcPr>
          <w:p>
            <w:pPr>
              <w:spacing w:after="0"/>
              <w:rPr>
                <w:sz w:val="20"/>
                <w:szCs w:val="20"/>
                <w:color w:val="auto"/>
              </w:rPr>
            </w:pPr>
            <w:r>
              <w:rPr>
                <w:rFonts w:ascii="Arial" w:cs="Arial" w:eastAsia="Arial" w:hAnsi="Arial"/>
                <w:sz w:val="18"/>
                <w:szCs w:val="18"/>
                <w:b w:val="1"/>
                <w:bCs w:val="1"/>
                <w:color w:val="auto"/>
              </w:rPr>
              <w:t>Audited Consolidated Financial Statements of DiscoverOrg Holdings, LLC (“ZoomInfo OpCo”) and Subsidiaries</w:t>
            </w:r>
          </w:p>
        </w:tc>
        <w:tc>
          <w:tcPr>
            <w:tcW w:w="580" w:type="dxa"/>
            <w:vAlign w:val="bottom"/>
          </w:tcPr>
          <w:p>
            <w:pPr>
              <w:spacing w:after="0"/>
              <w:rPr>
                <w:sz w:val="24"/>
                <w:szCs w:val="24"/>
                <w:color w:val="auto"/>
              </w:rPr>
            </w:pPr>
          </w:p>
        </w:tc>
      </w:tr>
      <w:tr>
        <w:trPr>
          <w:trHeight w:val="230"/>
        </w:trPr>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88">
              <w:r>
                <w:rPr>
                  <w:rFonts w:ascii="Arial" w:cs="Arial" w:eastAsia="Arial" w:hAnsi="Arial"/>
                  <w:sz w:val="18"/>
                  <w:szCs w:val="18"/>
                  <w:color w:val="0000EE"/>
                  <w:w w:val="91"/>
                </w:rPr>
                <w:t>Report of Independent Registered Public Accounting Firm</w:t>
              </w:r>
            </w:hyperlink>
          </w:p>
        </w:tc>
        <w:tc>
          <w:tcPr>
            <w:tcW w:w="6460" w:type="dxa"/>
            <w:vAlign w:val="bottom"/>
            <w:gridSpan w:val="12"/>
          </w:tcPr>
          <w:p>
            <w:pPr>
              <w:spacing w:after="0"/>
              <w:rPr>
                <w:sz w:val="19"/>
                <w:szCs w:val="19"/>
                <w:color w:val="auto"/>
              </w:rPr>
            </w:pPr>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88">
              <w:r>
                <w:rPr>
                  <w:rFonts w:ascii="Arial" w:cs="Arial" w:eastAsia="Arial" w:hAnsi="Arial"/>
                  <w:sz w:val="18"/>
                  <w:szCs w:val="18"/>
                  <w:color w:val="auto"/>
                  <w:w w:val="93"/>
                </w:rPr>
                <w:t>5</w:t>
              </w:r>
            </w:hyperlink>
          </w:p>
        </w:tc>
      </w:tr>
      <w:tr>
        <w:trPr>
          <w:trHeight w:val="250"/>
        </w:trPr>
        <w:tc>
          <w:tcPr>
            <w:tcW w:w="10680" w:type="dxa"/>
            <w:vAlign w:val="bottom"/>
            <w:gridSpan w:val="20"/>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Consolidated Balance Sheet as of December 31, 2018</w:t>
              </w:r>
            </w:hyperlink>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89">
              <w:r>
                <w:rPr>
                  <w:rFonts w:ascii="Arial" w:cs="Arial" w:eastAsia="Arial" w:hAnsi="Arial"/>
                  <w:sz w:val="18"/>
                  <w:szCs w:val="18"/>
                  <w:color w:val="auto"/>
                  <w:w w:val="93"/>
                </w:rPr>
                <w:t>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6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0">
              <w:r>
                <w:rPr>
                  <w:rFonts w:ascii="Arial" w:cs="Arial" w:eastAsia="Arial" w:hAnsi="Arial"/>
                  <w:sz w:val="18"/>
                  <w:szCs w:val="18"/>
                  <w:color w:val="0000EE"/>
                  <w:w w:val="89"/>
                </w:rPr>
                <w:t>Consolidated Statements of Operations for the Year Ended December 31, 2018</w:t>
              </w:r>
            </w:hyperlink>
          </w:p>
        </w:tc>
        <w:tc>
          <w:tcPr>
            <w:tcW w:w="5000" w:type="dxa"/>
            <w:vAlign w:val="bottom"/>
            <w:gridSpan w:val="10"/>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90">
              <w:r>
                <w:rPr>
                  <w:rFonts w:ascii="Arial" w:cs="Arial" w:eastAsia="Arial" w:hAnsi="Arial"/>
                  <w:sz w:val="18"/>
                  <w:szCs w:val="18"/>
                  <w:color w:val="auto"/>
                  <w:w w:val="93"/>
                </w:rPr>
                <w:t>7</w:t>
              </w:r>
            </w:hyperlink>
          </w:p>
        </w:tc>
      </w:tr>
      <w:tr>
        <w:trPr>
          <w:trHeight w:val="250"/>
        </w:trPr>
        <w:tc>
          <w:tcPr>
            <w:tcW w:w="70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91">
              <w:r>
                <w:rPr>
                  <w:rFonts w:ascii="Arial" w:cs="Arial" w:eastAsia="Arial" w:hAnsi="Arial"/>
                  <w:sz w:val="18"/>
                  <w:szCs w:val="18"/>
                  <w:color w:val="0000EE"/>
                  <w:w w:val="90"/>
                </w:rPr>
                <w:t>Consolidated Statements of Changes in Members’ Deficit for the Year Ended December 31, 2018</w:t>
              </w:r>
            </w:hyperlink>
          </w:p>
        </w:tc>
        <w:tc>
          <w:tcPr>
            <w:tcW w:w="3660" w:type="dxa"/>
            <w:vAlign w:val="bottom"/>
            <w:gridSpan w:val="7"/>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91">
              <w:r>
                <w:rPr>
                  <w:rFonts w:ascii="Arial" w:cs="Arial" w:eastAsia="Arial" w:hAnsi="Arial"/>
                  <w:sz w:val="18"/>
                  <w:szCs w:val="18"/>
                  <w:color w:val="auto"/>
                  <w:w w:val="93"/>
                </w:rPr>
                <w:t>8</w:t>
              </w:r>
            </w:hyperlink>
          </w:p>
        </w:tc>
      </w:tr>
      <w:tr>
        <w:trPr>
          <w:trHeight w:val="250"/>
        </w:trPr>
        <w:tc>
          <w:tcPr>
            <w:tcW w:w="10680" w:type="dxa"/>
            <w:vAlign w:val="bottom"/>
            <w:gridSpan w:val="20"/>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Cash Flows for the Year Ended December 31, 2018</w:t>
              </w:r>
            </w:hyperlink>
          </w:p>
        </w:tc>
        <w:tc>
          <w:tcPr>
            <w:tcW w:w="580" w:type="dxa"/>
            <w:vAlign w:val="bottom"/>
          </w:tcPr>
          <w:p>
            <w:pPr>
              <w:jc w:val="center"/>
              <w:ind w:left="11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92">
              <w:r>
                <w:rPr>
                  <w:rFonts w:ascii="Arial" w:cs="Arial" w:eastAsia="Arial" w:hAnsi="Arial"/>
                  <w:sz w:val="18"/>
                  <w:szCs w:val="18"/>
                  <w:color w:val="auto"/>
                  <w:w w:val="93"/>
                </w:rPr>
                <w:t>9</w:t>
              </w:r>
            </w:hyperlink>
          </w:p>
        </w:tc>
      </w:tr>
      <w:tr>
        <w:trPr>
          <w:trHeight w:val="250"/>
        </w:trPr>
        <w:tc>
          <w:tcPr>
            <w:tcW w:w="5720" w:type="dxa"/>
            <w:vAlign w:val="bottom"/>
            <w:tcBorders>
              <w:top w:val="single" w:sz="8" w:color="0000EE"/>
            </w:tcBorders>
            <w:gridSpan w:val="11"/>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Notes to Consolidated Financial Statements</w:t>
              </w:r>
            </w:hyperlink>
          </w:p>
        </w:tc>
        <w:tc>
          <w:tcPr>
            <w:tcW w:w="4960" w:type="dxa"/>
            <w:vAlign w:val="bottom"/>
            <w:gridSpan w:val="9"/>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193">
              <w:r>
                <w:rPr>
                  <w:rFonts w:ascii="Arial" w:cs="Arial" w:eastAsia="Arial" w:hAnsi="Arial"/>
                  <w:sz w:val="18"/>
                  <w:szCs w:val="18"/>
                  <w:color w:val="auto"/>
                  <w:w w:val="90"/>
                </w:rPr>
                <w:t>10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10680" w:type="dxa"/>
            <w:vAlign w:val="bottom"/>
            <w:gridSpan w:val="20"/>
          </w:tcPr>
          <w:p>
            <w:pPr>
              <w:spacing w:after="0"/>
              <w:rPr>
                <w:sz w:val="20"/>
                <w:szCs w:val="20"/>
                <w:color w:val="auto"/>
              </w:rPr>
            </w:pPr>
            <w:r>
              <w:rPr>
                <w:rFonts w:ascii="Arial" w:cs="Arial" w:eastAsia="Arial" w:hAnsi="Arial"/>
                <w:sz w:val="18"/>
                <w:szCs w:val="18"/>
                <w:b w:val="1"/>
                <w:bCs w:val="1"/>
                <w:color w:val="auto"/>
              </w:rPr>
              <w:t>Unaudited Consolidated Financial Statements of DiscoverOrg Holdings, LLC and Subsidiaries</w:t>
            </w:r>
          </w:p>
        </w:tc>
        <w:tc>
          <w:tcPr>
            <w:tcW w:w="580" w:type="dxa"/>
            <w:vAlign w:val="bottom"/>
          </w:tcPr>
          <w:p>
            <w:pPr>
              <w:spacing w:after="0"/>
              <w:rPr>
                <w:sz w:val="24"/>
                <w:szCs w:val="24"/>
                <w:color w:val="auto"/>
              </w:rPr>
            </w:pPr>
          </w:p>
        </w:tc>
      </w:tr>
      <w:tr>
        <w:trPr>
          <w:trHeight w:val="230"/>
        </w:trPr>
        <w:tc>
          <w:tcPr>
            <w:tcW w:w="10680" w:type="dxa"/>
            <w:vAlign w:val="bottom"/>
            <w:gridSpan w:val="20"/>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Consolidated Balance Sheets as of September 30, 2019 (Unaudited) and December 31, 2018</w:t>
              </w:r>
            </w:hyperlink>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11">
              <w:r>
                <w:rPr>
                  <w:rFonts w:ascii="Arial" w:cs="Arial" w:eastAsia="Arial" w:hAnsi="Arial"/>
                  <w:sz w:val="18"/>
                  <w:szCs w:val="18"/>
                  <w:color w:val="auto"/>
                  <w:w w:val="90"/>
                </w:rPr>
                <w:t>28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0680" w:type="dxa"/>
            <w:vAlign w:val="bottom"/>
            <w:gridSpan w:val="20"/>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Unaudited Consolidated Statements of Operations for the Nine Months Ended September 30, 2019 and September 30, 2018</w:t>
              </w:r>
            </w:hyperlink>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12">
              <w:r>
                <w:rPr>
                  <w:rFonts w:ascii="Arial" w:cs="Arial" w:eastAsia="Arial" w:hAnsi="Arial"/>
                  <w:sz w:val="18"/>
                  <w:szCs w:val="18"/>
                  <w:color w:val="auto"/>
                  <w:w w:val="90"/>
                </w:rPr>
                <w:t>29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0680" w:type="dxa"/>
            <w:vAlign w:val="bottom"/>
            <w:gridSpan w:val="20"/>
          </w:tcPr>
          <w:p>
            <w:pPr>
              <w:spacing w:after="0"/>
              <w:rPr>
                <w:rFonts w:ascii="Arial" w:cs="Arial" w:eastAsia="Arial" w:hAnsi="Arial"/>
                <w:sz w:val="18"/>
                <w:szCs w:val="18"/>
                <w:color w:val="0000EE"/>
                <w:w w:val="94"/>
              </w:rPr>
            </w:pPr>
            <w:hyperlink w:anchor="page214">
              <w:r>
                <w:rPr>
                  <w:rFonts w:ascii="Arial" w:cs="Arial" w:eastAsia="Arial" w:hAnsi="Arial"/>
                  <w:sz w:val="18"/>
                  <w:szCs w:val="18"/>
                  <w:color w:val="0000EE"/>
                  <w:w w:val="94"/>
                </w:rPr>
                <w:t>Unaudited Consolidated Statements of Changes in Members’ Deficit for the Nine Months Ended September 30, 2019 and September 30, 2018</w:t>
              </w:r>
            </w:hyperlink>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14">
              <w:r>
                <w:rPr>
                  <w:rFonts w:ascii="Arial" w:cs="Arial" w:eastAsia="Arial" w:hAnsi="Arial"/>
                  <w:sz w:val="18"/>
                  <w:szCs w:val="18"/>
                  <w:color w:val="auto"/>
                  <w:w w:val="90"/>
                </w:rPr>
                <w:t>31</w:t>
              </w:r>
            </w:hyperlink>
          </w:p>
        </w:tc>
      </w:tr>
      <w:tr>
        <w:trPr>
          <w:trHeight w:val="250"/>
        </w:trPr>
        <w:tc>
          <w:tcPr>
            <w:tcW w:w="89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215">
              <w:r>
                <w:rPr>
                  <w:rFonts w:ascii="Arial" w:cs="Arial" w:eastAsia="Arial" w:hAnsi="Arial"/>
                  <w:sz w:val="18"/>
                  <w:szCs w:val="18"/>
                  <w:color w:val="0000EE"/>
                  <w:w w:val="89"/>
                </w:rPr>
                <w:t>Unaudited Consolidated Statements of Cash Flows for the Nine Months Ended September 30, 2019 and September 30, 2018</w:t>
              </w:r>
            </w:hyperlink>
          </w:p>
        </w:tc>
        <w:tc>
          <w:tcPr>
            <w:tcW w:w="1280" w:type="dxa"/>
            <w:vAlign w:val="bottom"/>
            <w:tcBorders>
              <w:top w:val="single" w:sz="8" w:color="0000EE"/>
            </w:tcBorders>
          </w:tcPr>
          <w:p>
            <w:pPr>
              <w:spacing w:after="0"/>
              <w:rPr>
                <w:sz w:val="21"/>
                <w:szCs w:val="21"/>
                <w:color w:val="auto"/>
              </w:rPr>
            </w:pPr>
          </w:p>
        </w:tc>
        <w:tc>
          <w:tcPr>
            <w:tcW w:w="440" w:type="dxa"/>
            <w:vAlign w:val="bottom"/>
            <w:gridSpan w:val="4"/>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15">
              <w:r>
                <w:rPr>
                  <w:rFonts w:ascii="Arial" w:cs="Arial" w:eastAsia="Arial" w:hAnsi="Arial"/>
                  <w:sz w:val="18"/>
                  <w:szCs w:val="18"/>
                  <w:color w:val="auto"/>
                  <w:w w:val="90"/>
                </w:rPr>
                <w:t>32</w:t>
              </w:r>
            </w:hyperlink>
          </w:p>
        </w:tc>
      </w:tr>
      <w:tr>
        <w:trPr>
          <w:trHeight w:val="250"/>
        </w:trPr>
        <w:tc>
          <w:tcPr>
            <w:tcW w:w="3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16">
              <w:r>
                <w:rPr>
                  <w:rFonts w:ascii="Arial" w:cs="Arial" w:eastAsia="Arial" w:hAnsi="Arial"/>
                  <w:sz w:val="18"/>
                  <w:szCs w:val="18"/>
                  <w:color w:val="0000EE"/>
                  <w:w w:val="89"/>
                </w:rPr>
                <w:t>Notes to Unaudited Consolidated Financial Statements</w:t>
              </w:r>
            </w:hyperlink>
          </w:p>
        </w:tc>
        <w:tc>
          <w:tcPr>
            <w:tcW w:w="6740" w:type="dxa"/>
            <w:vAlign w:val="bottom"/>
            <w:gridSpan w:val="13"/>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16">
              <w:r>
                <w:rPr>
                  <w:rFonts w:ascii="Arial" w:cs="Arial" w:eastAsia="Arial" w:hAnsi="Arial"/>
                  <w:sz w:val="18"/>
                  <w:szCs w:val="18"/>
                  <w:color w:val="auto"/>
                  <w:w w:val="90"/>
                </w:rPr>
                <w:t>33</w:t>
              </w:r>
            </w:hyperlink>
          </w:p>
        </w:tc>
      </w:tr>
      <w:tr>
        <w:trPr>
          <w:trHeight w:val="588"/>
        </w:trPr>
        <w:tc>
          <w:tcPr>
            <w:tcW w:w="10680" w:type="dxa"/>
            <w:vAlign w:val="bottom"/>
            <w:gridSpan w:val="20"/>
          </w:tcPr>
          <w:p>
            <w:pPr>
              <w:spacing w:after="0"/>
              <w:rPr>
                <w:sz w:val="20"/>
                <w:szCs w:val="20"/>
                <w:color w:val="auto"/>
              </w:rPr>
            </w:pPr>
            <w:r>
              <w:rPr>
                <w:rFonts w:ascii="Arial" w:cs="Arial" w:eastAsia="Arial" w:hAnsi="Arial"/>
                <w:sz w:val="18"/>
                <w:szCs w:val="18"/>
                <w:b w:val="1"/>
                <w:bCs w:val="1"/>
                <w:color w:val="auto"/>
              </w:rPr>
              <w:t>Audited Consolidated Financial Statements of Zoom Information, Inc. (“Pre-Acquisition ZI”) and Subsidiaries</w:t>
            </w:r>
          </w:p>
        </w:tc>
        <w:tc>
          <w:tcPr>
            <w:tcW w:w="580" w:type="dxa"/>
            <w:vAlign w:val="bottom"/>
          </w:tcPr>
          <w:p>
            <w:pPr>
              <w:spacing w:after="0"/>
              <w:rPr>
                <w:sz w:val="24"/>
                <w:szCs w:val="24"/>
                <w:color w:val="auto"/>
              </w:rPr>
            </w:pPr>
          </w:p>
        </w:tc>
      </w:tr>
      <w:tr>
        <w:trPr>
          <w:trHeight w:val="230"/>
        </w:trPr>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38">
              <w:r>
                <w:rPr>
                  <w:rFonts w:ascii="Arial" w:cs="Arial" w:eastAsia="Arial" w:hAnsi="Arial"/>
                  <w:sz w:val="18"/>
                  <w:szCs w:val="18"/>
                  <w:color w:val="0000EE"/>
                  <w:w w:val="91"/>
                </w:rPr>
                <w:t>Report of Independent Registered Public Accounting Firm</w:t>
              </w:r>
            </w:hyperlink>
          </w:p>
        </w:tc>
        <w:tc>
          <w:tcPr>
            <w:tcW w:w="6460" w:type="dxa"/>
            <w:vAlign w:val="bottom"/>
            <w:gridSpan w:val="12"/>
          </w:tcPr>
          <w:p>
            <w:pPr>
              <w:spacing w:after="0"/>
              <w:rPr>
                <w:sz w:val="19"/>
                <w:szCs w:val="19"/>
                <w:color w:val="auto"/>
              </w:rPr>
            </w:pPr>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38">
              <w:r>
                <w:rPr>
                  <w:rFonts w:ascii="Arial" w:cs="Arial" w:eastAsia="Arial" w:hAnsi="Arial"/>
                  <w:sz w:val="18"/>
                  <w:szCs w:val="18"/>
                  <w:color w:val="auto"/>
                  <w:w w:val="90"/>
                </w:rPr>
                <w:t>54</w:t>
              </w:r>
            </w:hyperlink>
          </w:p>
        </w:tc>
      </w:tr>
      <w:tr>
        <w:trPr>
          <w:trHeight w:val="250"/>
        </w:trPr>
        <w:tc>
          <w:tcPr>
            <w:tcW w:w="5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39">
              <w:r>
                <w:rPr>
                  <w:rFonts w:ascii="Arial" w:cs="Arial" w:eastAsia="Arial" w:hAnsi="Arial"/>
                  <w:sz w:val="18"/>
                  <w:szCs w:val="18"/>
                  <w:color w:val="0000EE"/>
                  <w:w w:val="88"/>
                </w:rPr>
                <w:t>Consolidated Balance Sheets as of January 31, 2019 and December 31, 2018</w:t>
              </w:r>
            </w:hyperlink>
          </w:p>
        </w:tc>
        <w:tc>
          <w:tcPr>
            <w:tcW w:w="5160" w:type="dxa"/>
            <w:vAlign w:val="bottom"/>
            <w:gridSpan w:val="11"/>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39">
              <w:r>
                <w:rPr>
                  <w:rFonts w:ascii="Arial" w:cs="Arial" w:eastAsia="Arial" w:hAnsi="Arial"/>
                  <w:sz w:val="18"/>
                  <w:szCs w:val="18"/>
                  <w:color w:val="auto"/>
                  <w:w w:val="90"/>
                </w:rPr>
                <w:t>55</w:t>
              </w:r>
            </w:hyperlink>
          </w:p>
        </w:tc>
      </w:tr>
      <w:tr>
        <w:trPr>
          <w:trHeight w:val="250"/>
        </w:trPr>
        <w:tc>
          <w:tcPr>
            <w:tcW w:w="103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40">
              <w:r>
                <w:rPr>
                  <w:rFonts w:ascii="Arial" w:cs="Arial" w:eastAsia="Arial" w:hAnsi="Arial"/>
                  <w:sz w:val="18"/>
                  <w:szCs w:val="18"/>
                  <w:color w:val="0000EE"/>
                  <w:w w:val="89"/>
                </w:rPr>
                <w:t>Consolidated Statements of Operations for the Period from January 1, 2019 Through January 31, 2019 and the Year Ended December 31, 2018</w:t>
              </w:r>
            </w:hyperlink>
          </w:p>
        </w:tc>
        <w:tc>
          <w:tcPr>
            <w:tcW w:w="380" w:type="dxa"/>
            <w:vAlign w:val="bottom"/>
            <w:gridSpan w:val="2"/>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40">
              <w:r>
                <w:rPr>
                  <w:rFonts w:ascii="Arial" w:cs="Arial" w:eastAsia="Arial" w:hAnsi="Arial"/>
                  <w:sz w:val="18"/>
                  <w:szCs w:val="18"/>
                  <w:color w:val="auto"/>
                  <w:w w:val="90"/>
                </w:rPr>
                <w:t>56</w:t>
              </w:r>
            </w:hyperlink>
          </w:p>
        </w:tc>
      </w:tr>
      <w:tr>
        <w:trPr>
          <w:trHeight w:val="250"/>
        </w:trPr>
        <w:tc>
          <w:tcPr>
            <w:tcW w:w="10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41">
              <w:r>
                <w:rPr>
                  <w:rFonts w:ascii="Arial" w:cs="Arial" w:eastAsia="Arial" w:hAnsi="Arial"/>
                  <w:sz w:val="18"/>
                  <w:szCs w:val="18"/>
                  <w:color w:val="0000EE"/>
                  <w:w w:val="90"/>
                </w:rPr>
                <w:t>Consolidated Statements of Convertible Preferred Stock and Stockholders’ Equity for the Period from January 1, 2019 Through January 31, 2019</w:t>
              </w:r>
            </w:hyperlink>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10520" w:type="dxa"/>
            <w:vAlign w:val="bottom"/>
            <w:gridSpan w:val="19"/>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and the Year Ended December 31, 2018</w:t>
              </w:r>
            </w:hyperlink>
          </w:p>
        </w:tc>
        <w:tc>
          <w:tcPr>
            <w:tcW w:w="580" w:type="dxa"/>
            <w:vAlign w:val="bottom"/>
          </w:tcPr>
          <w:p>
            <w:pPr>
              <w:jc w:val="center"/>
              <w:ind w:left="110"/>
              <w:spacing w:after="0" w:line="196" w:lineRule="exact"/>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41">
              <w:r>
                <w:rPr>
                  <w:rFonts w:ascii="Arial" w:cs="Arial" w:eastAsia="Arial" w:hAnsi="Arial"/>
                  <w:sz w:val="18"/>
                  <w:szCs w:val="18"/>
                  <w:color w:val="auto"/>
                  <w:w w:val="90"/>
                </w:rPr>
                <w:t>57</w:t>
              </w:r>
            </w:hyperlink>
          </w:p>
        </w:tc>
      </w:tr>
      <w:tr>
        <w:trPr>
          <w:trHeight w:val="20"/>
        </w:trPr>
        <w:tc>
          <w:tcPr>
            <w:tcW w:w="16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40" w:type="dxa"/>
            <w:vAlign w:val="bottom"/>
            <w:gridSpan w:val="1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02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42">
              <w:r>
                <w:rPr>
                  <w:rFonts w:ascii="Arial" w:cs="Arial" w:eastAsia="Arial" w:hAnsi="Arial"/>
                  <w:sz w:val="18"/>
                  <w:szCs w:val="18"/>
                  <w:color w:val="0000EE"/>
                  <w:w w:val="89"/>
                </w:rPr>
                <w:t>Consolidated Statements of Cash Flows for the Period from January 1, 2019 through January 31, 2019 and the Year Ended December 31, 2018</w:t>
              </w:r>
            </w:hyperlink>
          </w:p>
        </w:tc>
        <w:tc>
          <w:tcPr>
            <w:tcW w:w="400" w:type="dxa"/>
            <w:vAlign w:val="bottom"/>
            <w:gridSpan w:val="3"/>
          </w:tcPr>
          <w:p>
            <w:pPr>
              <w:spacing w:after="0"/>
              <w:rPr>
                <w:sz w:val="21"/>
                <w:szCs w:val="21"/>
                <w:color w:val="auto"/>
              </w:rPr>
            </w:pPr>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42">
              <w:r>
                <w:rPr>
                  <w:rFonts w:ascii="Arial" w:cs="Arial" w:eastAsia="Arial" w:hAnsi="Arial"/>
                  <w:sz w:val="18"/>
                  <w:szCs w:val="18"/>
                  <w:color w:val="auto"/>
                  <w:w w:val="90"/>
                </w:rPr>
                <w:t>58</w:t>
              </w:r>
            </w:hyperlink>
          </w:p>
        </w:tc>
      </w:tr>
      <w:tr>
        <w:trPr>
          <w:trHeight w:val="250"/>
        </w:trPr>
        <w:tc>
          <w:tcPr>
            <w:tcW w:w="10680" w:type="dxa"/>
            <w:vAlign w:val="bottom"/>
            <w:gridSpan w:val="20"/>
          </w:tcPr>
          <w:p>
            <w:pPr>
              <w:spacing w:after="0"/>
              <w:rPr>
                <w:rFonts w:ascii="Arial" w:cs="Arial" w:eastAsia="Arial" w:hAnsi="Arial"/>
                <w:sz w:val="18"/>
                <w:szCs w:val="18"/>
                <w:color w:val="0000EE"/>
              </w:rPr>
            </w:pPr>
            <w:hyperlink w:anchor="page243">
              <w:r>
                <w:rPr>
                  <w:rFonts w:ascii="Arial" w:cs="Arial" w:eastAsia="Arial" w:hAnsi="Arial"/>
                  <w:sz w:val="18"/>
                  <w:szCs w:val="18"/>
                  <w:color w:val="0000EE"/>
                </w:rPr>
                <w:t>Notes to Consolidated Financial Statements</w:t>
              </w:r>
            </w:hyperlink>
          </w:p>
        </w:tc>
        <w:tc>
          <w:tcPr>
            <w:tcW w:w="580" w:type="dxa"/>
            <w:vAlign w:val="bottom"/>
          </w:tcPr>
          <w:p>
            <w:pPr>
              <w:jc w:val="center"/>
              <w:ind w:left="11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43">
              <w:r>
                <w:rPr>
                  <w:rFonts w:ascii="Arial" w:cs="Arial" w:eastAsia="Arial" w:hAnsi="Arial"/>
                  <w:sz w:val="18"/>
                  <w:szCs w:val="18"/>
                  <w:color w:val="auto"/>
                  <w:w w:val="90"/>
                </w:rPr>
                <w:t>59</w:t>
              </w:r>
            </w:hyperlink>
          </w:p>
        </w:tc>
      </w:tr>
      <w:tr>
        <w:trPr>
          <w:trHeight w:val="642"/>
        </w:trPr>
        <w:tc>
          <w:tcPr>
            <w:tcW w:w="1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160" w:type="dxa"/>
            <w:vAlign w:val="bottom"/>
            <w:gridSpan w:val="11"/>
          </w:tcPr>
          <w:p>
            <w:pPr>
              <w:jc w:val="center"/>
              <w:ind w:right="4860"/>
              <w:spacing w:after="0"/>
              <w:rPr>
                <w:sz w:val="20"/>
                <w:szCs w:val="20"/>
                <w:color w:val="auto"/>
              </w:rPr>
            </w:pPr>
            <w:r>
              <w:rPr>
                <w:rFonts w:ascii="Arial" w:cs="Arial" w:eastAsia="Arial" w:hAnsi="Arial"/>
                <w:sz w:val="18"/>
                <w:szCs w:val="18"/>
                <w:color w:val="auto"/>
                <w:w w:val="93"/>
              </w:rPr>
              <w:t>F- 1</w:t>
            </w:r>
          </w:p>
        </w:tc>
        <w:tc>
          <w:tcPr>
            <w:tcW w:w="580" w:type="dxa"/>
            <w:vAlign w:val="bottom"/>
          </w:tcPr>
          <w:p>
            <w:pPr>
              <w:spacing w:after="0"/>
              <w:rPr>
                <w:sz w:val="24"/>
                <w:szCs w:val="24"/>
                <w:color w:val="auto"/>
              </w:rPr>
            </w:pPr>
          </w:p>
        </w:tc>
      </w:tr>
    </w:tbl>
    <w:p>
      <w:pPr>
        <w:sectPr>
          <w:pgSz w:w="11900" w:h="16838" w:orient="portrait"/>
          <w:cols w:equalWidth="0" w:num="1">
            <w:col w:w="11260"/>
          </w:cols>
          <w:pgMar w:left="280" w:top="337" w:right="35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ZoomInfo Technologies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balance sheet of ZoomInfo Technologies Inc. (the Company) as of November 14, 2019, and the related notes (collectively, the financial statements). In our opinion, the financial statements present fairly, in all material respects, the financial position of the Company as of November 14, 2019, in conformity with U.S. generally accepted accounting principles.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351" w:right="239" w:bottom="1440" w:gutter="0" w:footer="0" w:header="0"/>
        </w:sectPr>
      </w:pPr>
    </w:p>
    <w:bookmarkStart w:id="185" w:name="page186"/>
    <w:bookmarkEnd w:id="185"/>
    <w:p>
      <w:pPr>
        <w:ind w:left="40"/>
        <w:spacing w:after="0"/>
        <w:rPr>
          <w:sz w:val="20"/>
          <w:szCs w:val="20"/>
          <w:color w:val="auto"/>
        </w:rPr>
      </w:pPr>
      <w:r>
        <w:rPr>
          <w:rFonts w:ascii="Arial" w:cs="Arial" w:eastAsia="Arial" w:hAnsi="Arial"/>
          <w:sz w:val="18"/>
          <w:szCs w:val="18"/>
          <w:b w:val="1"/>
          <w:bCs w:val="1"/>
          <w:color w:val="auto"/>
        </w:rPr>
        <w:t>ZoomInfo Technologies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November 14,</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68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Class A Common Stock, par value $0.01 per share, 1,000 shares authorized, none issued and outstanding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 Common Stock, par value $0.01 per share, 1,000 shares authorized, 100 issued and outstanding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5560"/>
              <w:spacing w:after="0"/>
              <w:rPr>
                <w:sz w:val="20"/>
                <w:szCs w:val="20"/>
                <w:color w:val="auto"/>
              </w:rPr>
            </w:pPr>
            <w:r>
              <w:rPr>
                <w:rFonts w:ascii="Arial" w:cs="Arial" w:eastAsia="Arial" w:hAnsi="Arial"/>
                <w:sz w:val="18"/>
                <w:szCs w:val="18"/>
                <w:color w:val="auto"/>
              </w:rPr>
              <w:t>F- 3</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9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9"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assets are expected to be an equity interest in DiscoverOrg Holdings, LLC.</w:t>
      </w:r>
    </w:p>
    <w:p>
      <w:pPr>
        <w:spacing w:after="0" w:line="12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Stockholder’s Equity</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November 14,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420"/>
          </w:cols>
          <w:pgMar w:left="240" w:top="337" w:right="2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DiscoverOrg Holdings, LLC: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DiscoverOrg Holdings, LLC and subsidiaries (the Company) as of December 31, 2018, the related consolidated statements of operations, changes in members’ deficit, and cash flows for the year then ended, and the related notes (collectively, the consolidated financial statements). In our opinion, the consolidated financial statements present fairly, in all material respects, the financial position of the Company as of December 31, 2018, and the results of its operations and its cash flows for the year then ended,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 in 2018 due to the adoption of Accounting Standards Codification Topic 606, </w:t>
      </w:r>
      <w:r>
        <w:rPr>
          <w:rFonts w:ascii="Arial" w:cs="Arial" w:eastAsia="Arial" w:hAnsi="Arial"/>
          <w:sz w:val="18"/>
          <w:szCs w:val="18"/>
          <w:i w:val="1"/>
          <w:iCs w:val="1"/>
          <w:color w:val="auto"/>
        </w:rPr>
        <w:t>Revenue from Contracts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2019</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20"/>
          </w:cols>
          <w:pgMar w:left="240" w:top="351" w:right="239" w:bottom="1440" w:gutter="0" w:footer="0" w:header="0"/>
        </w:sectPr>
      </w:pPr>
    </w:p>
    <w:bookmarkStart w:id="188" w:name="page189"/>
    <w:bookmarkEnd w:id="188"/>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9820" w:type="dxa"/>
            <w:vAlign w:val="bottom"/>
            <w:tcBorders>
              <w:bottom w:val="single" w:sz="8" w:color="CCEEFF"/>
            </w:tcBorders>
            <w:shd w:val="clear" w:color="auto" w:fill="CCEEFF"/>
          </w:tcPr>
          <w:p>
            <w:pPr>
              <w:ind w:left="46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Deferred costs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Related party receivable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318"/>
        </w:trPr>
        <w:tc>
          <w:tcPr>
            <w:tcW w:w="98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324"/>
        </w:trPr>
        <w:tc>
          <w:tcPr>
            <w:tcW w:w="9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88.7</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Deferred costs, net of current portion</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591.0</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Members'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 net of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37"/>
        </w:trPr>
        <w:tc>
          <w:tcPr>
            <w:tcW w:w="98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w:t>
            </w:r>
          </w:p>
        </w:tc>
      </w:tr>
      <w:tr>
        <w:trPr>
          <w:trHeight w:val="27"/>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8"/>
        </w:trPr>
        <w:tc>
          <w:tcPr>
            <w:tcW w:w="9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Unearned revenue, net of current portion</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98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705.8</w:t>
            </w:r>
          </w:p>
        </w:tc>
      </w:tr>
      <w:tr>
        <w:trPr>
          <w:trHeight w:val="27"/>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8"/>
        </w:trPr>
        <w:tc>
          <w:tcPr>
            <w:tcW w:w="9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98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r>
      <w:tr>
        <w:trPr>
          <w:trHeight w:val="257"/>
        </w:trPr>
        <w:tc>
          <w:tcPr>
            <w:tcW w:w="9820" w:type="dxa"/>
            <w:vAlign w:val="bottom"/>
          </w:tcPr>
          <w:p>
            <w:pPr>
              <w:ind w:left="500"/>
              <w:spacing w:after="0"/>
              <w:rPr>
                <w:sz w:val="20"/>
                <w:szCs w:val="20"/>
                <w:color w:val="auto"/>
              </w:rPr>
            </w:pPr>
            <w:r>
              <w:rPr>
                <w:rFonts w:ascii="Arial" w:cs="Arial" w:eastAsia="Arial" w:hAnsi="Arial"/>
                <w:sz w:val="18"/>
                <w:szCs w:val="18"/>
                <w:color w:val="auto"/>
              </w:rPr>
              <w:t>Total liabilities and members' deficit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591.0</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500" w:right="239" w:bottom="1440" w:gutter="0" w:footer="0" w:header="0"/>
        </w:sectPr>
      </w:pPr>
    </w:p>
    <w:bookmarkStart w:id="189" w:name="page190"/>
    <w:bookmarkEnd w:id="189"/>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9820" w:type="dxa"/>
            <w:vAlign w:val="bottom"/>
          </w:tcPr>
          <w:p>
            <w:pPr>
              <w:spacing w:after="0"/>
              <w:rPr>
                <w:sz w:val="24"/>
                <w:szCs w:val="24"/>
                <w:color w:val="auto"/>
              </w:rPr>
            </w:pPr>
          </w:p>
        </w:tc>
        <w:tc>
          <w:tcPr>
            <w:tcW w:w="1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Year Ended December</w:t>
            </w:r>
          </w:p>
        </w:tc>
        <w:tc>
          <w:tcPr>
            <w:tcW w:w="0" w:type="dxa"/>
            <w:vAlign w:val="bottom"/>
          </w:tcPr>
          <w:p>
            <w:pPr>
              <w:spacing w:after="0"/>
              <w:rPr>
                <w:sz w:val="1"/>
                <w:szCs w:val="1"/>
                <w:color w:val="auto"/>
              </w:rPr>
            </w:pPr>
          </w:p>
        </w:tc>
      </w:tr>
      <w:tr>
        <w:trPr>
          <w:trHeight w:val="192"/>
        </w:trPr>
        <w:tc>
          <w:tcPr>
            <w:tcW w:w="9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324"/>
        </w:trPr>
        <w:tc>
          <w:tcPr>
            <w:tcW w:w="9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8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Cost of service </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acquired technology</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0"/>
        </w:trPr>
        <w:tc>
          <w:tcPr>
            <w:tcW w:w="98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9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transaction related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98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318"/>
        </w:trPr>
        <w:tc>
          <w:tcPr>
            <w:tcW w:w="98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324"/>
        </w:trPr>
        <w:tc>
          <w:tcPr>
            <w:tcW w:w="9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r>
      <w:tr>
        <w:trPr>
          <w:trHeight w:val="210"/>
        </w:trPr>
        <w:tc>
          <w:tcPr>
            <w:tcW w:w="91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15.8</w:t>
            </w:r>
          </w:p>
        </w:tc>
      </w:tr>
      <w:tr>
        <w:trPr>
          <w:trHeight w:val="222"/>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r>
      <w:tr>
        <w:trPr>
          <w:trHeight w:val="21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r>
      <w:tr>
        <w:trPr>
          <w:trHeight w:val="216"/>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32.7</w:t>
            </w:r>
          </w:p>
        </w:tc>
      </w:tr>
      <w:tr>
        <w:trPr>
          <w:trHeight w:val="20"/>
        </w:trPr>
        <w:tc>
          <w:tcPr>
            <w:tcW w:w="9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499" w:right="239" w:bottom="1440" w:gutter="0" w:footer="0" w:header="0"/>
        </w:sectPr>
      </w:pPr>
    </w:p>
    <w:bookmarkStart w:id="190" w:name="page191"/>
    <w:bookmarkEnd w:id="190"/>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98"/>
        </w:trPr>
        <w:tc>
          <w:tcPr>
            <w:tcW w:w="98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Members' Deficit</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Member distributions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20"/>
          </w:cols>
          <w:pgMar w:left="240" w:top="499" w:right="239" w:bottom="1440" w:gutter="0" w:footer="0" w:header="0"/>
        </w:sectPr>
      </w:pPr>
    </w:p>
    <w:bookmarkStart w:id="191" w:name="page192"/>
    <w:bookmarkEnd w:id="191"/>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Year Ended December</w:t>
            </w:r>
          </w:p>
        </w:tc>
      </w:tr>
      <w:tr>
        <w:trPr>
          <w:trHeight w:val="192"/>
        </w:trPr>
        <w:tc>
          <w:tcPr>
            <w:tcW w:w="9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31,</w:t>
            </w:r>
          </w:p>
        </w:tc>
      </w:tr>
      <w:tr>
        <w:trPr>
          <w:trHeight w:val="250"/>
        </w:trPr>
        <w:tc>
          <w:tcPr>
            <w:tcW w:w="98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debt discounts and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Amortization of deferred commissions costs</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Paid-in-kind (PIK) accrued interest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Provision for bad debt expense</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Deferred costs and other assets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Related party receivable</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Unearned revenue</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77"/>
        </w:trPr>
        <w:tc>
          <w:tcPr>
            <w:tcW w:w="9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43.8</w:t>
            </w:r>
          </w:p>
        </w:tc>
      </w:tr>
      <w:tr>
        <w:trPr>
          <w:trHeight w:val="129"/>
        </w:trPr>
        <w:tc>
          <w:tcPr>
            <w:tcW w:w="9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and equipment and 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Cash paid for acquisitions, net of cash acquired</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1"/>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135"/>
        </w:trPr>
        <w:tc>
          <w:tcPr>
            <w:tcW w:w="9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Payments on long-term debt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Payments of debt issuance costs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members</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77"/>
        </w:trPr>
        <w:tc>
          <w:tcPr>
            <w:tcW w:w="9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129"/>
        </w:trPr>
        <w:tc>
          <w:tcPr>
            <w:tcW w:w="9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97"/>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year</w:t>
            </w: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r>
      <w:tr>
        <w:trPr>
          <w:trHeight w:val="122"/>
        </w:trPr>
        <w:tc>
          <w:tcPr>
            <w:tcW w:w="9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paid in cash:</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135"/>
        </w:trPr>
        <w:tc>
          <w:tcPr>
            <w:tcW w:w="9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Deferred variable consideration from acquisition of a business</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ectPr>
          <w:pgSz w:w="11900" w:h="16838" w:orient="portrait"/>
          <w:cols w:equalWidth="0" w:num="1">
            <w:col w:w="11420"/>
          </w:cols>
          <w:pgMar w:left="240" w:top="499"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F- 9</w:t>
      </w:r>
    </w:p>
    <w:p>
      <w:pPr>
        <w:sectPr>
          <w:pgSz w:w="11900" w:h="16838" w:orient="portrait"/>
          <w:cols w:equalWidth="0" w:num="1">
            <w:col w:w="11420"/>
          </w:cols>
          <w:pgMar w:left="240" w:top="499" w:right="23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DiscoverOrg Holdings, LLC (together with its subsidiaries, “DiscoverOrg” or the “Company”) provides a go-to-market intelligence platform for sales and marketing teams. Our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headquarters are located in Vancouver, WA and we operate in five offices throughout the US.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began operations in 2007 through a predecessor entity then called DiscoverOrg, LLC and were incorporated in Delaware in 2014 as a limited liability company. The Company is comprised of two limited liability companies that are treated as partnerships for tax purposes, 6 limited liability companies that are single member entities and disregarded for tax purposes, and one corporation.</w:t>
      </w:r>
    </w:p>
    <w:p>
      <w:pPr>
        <w:spacing w:after="0" w:line="123" w:lineRule="exact"/>
        <w:rPr>
          <w:sz w:val="20"/>
          <w:szCs w:val="20"/>
          <w:color w:val="auto"/>
        </w:rPr>
      </w:pPr>
    </w:p>
    <w:p>
      <w:pPr>
        <w:ind w:right="540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derive revenue primarily from subscription services. Our subscription services consist of our SaaS applications and related access to our databases. Subscription contracts are generally based on the number of users that access our applications and the number of datasets or records that can be accessed. Our subscriptions contracts typically have a term of 1 to 3 years and are non-cancellable. We typically bill for services quarterly or annually in advance.</w:t>
      </w:r>
    </w:p>
    <w:p>
      <w:pPr>
        <w:spacing w:after="0" w:line="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 effective January 1, 2018, using the full retrospective method of adoption as if the adoption occurred on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2017. As such, the consolidated financial statements present revenue in accordance with Topic 606 for all the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351"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significant judgments and estimates that can have a significant impact on the timing and amount of revenue reported. At times, the Company may adjust billing under a contract based on the addition of services or other circumstances, which are accounted for as variable consideration under Topic 606. The Company estimates these amounts based on historical experience and reduces revenue recognized.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measure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that are supported by little or no market activity, including our own assumptions in determining fair value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and accounts receivable. Our cash accounts are maintained at various high credit quality financial institutions and may exceed federally insured limits. We have not experienced any losses in such accounts.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client accounted for 10% or more of our revenue or accounts receivable for the year ended December 31,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554"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conditions, all of which may impact a customer’s ability to pay. The Company also has an outstanding receivable from a predecessor entity that is a current member of $0.2 million as of December 31, 2018. The Company does not have significant bad debt experience with customers, and therefore the allowance for doubtful accounts is immaterial.</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Certain sales commissions earned by our sales force are considered incremental and recoverable costs of obtaining a contract with a customer. These sales commissions for initial contracts are capitalized and included in deferred costs and deferred costs, net of current portion, based on expected timing of reversal. Deferred sales commissions are amortized on a straight-line basis over the estimated period of benefit from the customer relationship that we have determined to be three years. We determined the period of benefit by taking into consideration our customer contracts, our technology, and other factors. Amortization expense is included in Sales and marketing expense on the Consolidated statement of operations.</w:t>
      </w:r>
    </w:p>
    <w:p>
      <w:pPr>
        <w:spacing w:after="0" w:line="119" w:lineRule="exact"/>
        <w:rPr>
          <w:sz w:val="20"/>
          <w:szCs w:val="20"/>
          <w:color w:val="auto"/>
        </w:rPr>
      </w:pPr>
    </w:p>
    <w:p>
      <w:pPr>
        <w:ind w:right="180" w:firstLine="324"/>
        <w:spacing w:after="0" w:line="438" w:lineRule="auto"/>
        <w:rPr>
          <w:sz w:val="20"/>
          <w:szCs w:val="20"/>
          <w:color w:val="auto"/>
        </w:rPr>
      </w:pPr>
      <w:r>
        <w:rPr>
          <w:rFonts w:ascii="Arial" w:cs="Arial" w:eastAsia="Arial" w:hAnsi="Arial"/>
          <w:sz w:val="18"/>
          <w:szCs w:val="18"/>
          <w:color w:val="auto"/>
        </w:rPr>
        <w:t xml:space="preserve">Certain commissions are not capitalized as they do not represent incremental costs of obtaining a contract. Such commissions are expensed as incurred. </w:t>
      </w:r>
      <w:r>
        <w:rPr>
          <w:rFonts w:ascii="Arial" w:cs="Arial" w:eastAsia="Arial" w:hAnsi="Arial"/>
          <w:sz w:val="18"/>
          <w:szCs w:val="18"/>
          <w:b w:val="1"/>
          <w:bCs w:val="1"/>
          <w:i w:val="1"/>
          <w:iCs w:val="1"/>
          <w:color w:val="auto"/>
        </w:rPr>
        <w:t>Advertising and Promotional Expenses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expenses advertising costs as incurred in accordance with ASC 720-35, Other Expenses - Advertising Cost.” Advertising expenses of $2.5 million are included in sales and marketing on the Consolidated statement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 Related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553"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no more than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5). Acquired intangible assets are amortized on a straight-line basis over the estimated period over which we expect to realize economic value related to the intangible asset. The amortization periods range from 2 years to 15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554"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we determine that there has been a substantial modification of the related debt. If we determine that there has not been a substantial modification of the related debt, any previously capitalized debt issuance costs are amortized as interest expense over the term of the new debt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DiscoverOrg is comprised of two limited liability companies that are treated as partnerships for federal U.S. tax purposes, 6 limited liability companies that are single member entities and disregarded for tax purposes, and one corporation.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DiscoverOrg is responsible for making payments directly to the relevant tax authority.</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Directors. The holder, therefore, has the right to participate in distributions of profits only in excess of the Participation Threshold. The Participation Threshold was based on the valuation of a common unit on or around the grant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553"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a Black-Scholes option pricing model to determine fair value of its incentive units.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accounts for nonemployee equity-based compensation in accordance with ASC 505-50-25, " Equity Based Payments to Non-Employees, " which requires the measurement and recognition of compensation expense for all equity-based payment awards made to nonemployees based on estimated fair values.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and International Accounting Standards Board (“IASB”) jointly issued a new revenue recognition standard,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606, that is designed to improve financial reporting by creating a common recognition guidance for GAAP. Subsequently, the FASB and IASB issued several amendments, which, along with the initial issuance, are collectively referred to herein as ASC 606. This guidance provides a framework for addressing revenue issues, improves comparability of revenue recognition practices across industries, provides useful information to users of financial statements through expanded disclosure requirements, and simplifies the presentation of financial statements. The core principle of the guidance is that an entity should recognize revenue to depict the transfer of promised services to customers in an amount that reflects the consideration to which the entity expects to be entitled in exchange for those services.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 2018, DiscoverOrg adopted ASC 606, using the full retrospective method. Results for all reporting periods have been adjusted to reflect the impact of ASC 606. In adopting the guidance, we applied the guidance to all customer contracts and used several available practical expedients, including ignoring the impact of contracts that began and were completed within a single annual reporting period and reflecting the aggregate effect of modifications to contracts that occurred prior to the earliest annual reporting period, as well as ongoing practical expedients including assessing contracts with similar terms and conditions on a “portfolio” basis.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 xml:space="preserve"> (“ASU 2017- 04”). The new standard simplifies how an entity measures goodwill impairment by removing the second step of the two-step quantitative goodwill impairment test. An entity will no longer perform a hypothetical purchase price allocation to measure goodwill impairment. Instead, impairment will be measured at the amount by which the carrying value exceeds the fair value of a reporting unit; however, the loss recognized should not exceed the total amount of goodwill allocated to that reporting unit. An entity still has the option to perform a qualitative assessment of whether it is more-likely-than-not that a reporting unit’s fair value is less than its carrying amount. ASU 2017-04 requires prospective adoption and is effective for the annual or any interim goodwill impairment tests in fiscal years beginning after December 15, 2019, with early adoption permitted. The Company adopted ASU 2017-04 effective January 1, 2018. The adoption of this standard did not impact the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553"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The Company expects to adopt Topic 842 as of January 1, 2019 under this new alternative transition method. The Company will elect the package of practical expedients permitted under the transition guidance within the new standard, which among other things, allows the Company to carry forward the historical lease classification. In addition, as a practical expedient relating to its property lease, the Company will not separate lease components from nonlease components. The Company will not elect the hindsight practical expedient permitted under the transition guidance within the new lease standard. The Company has substantially completed an assessment of the new standard’s impact, and while the Company does not expect a material impact from adoption on its Consolidated statements of operations or comprehensive loss, the Company does expect to record a material increase in its assets and liabilities on the balance sheet upon adoption of this standard. Upon adoption, the Company expects to recognize a right-of-use asset in the range of $9 million to $10 million and a lease liability in the range of $12 million to $13 million, largely pertaining to our headquarter office lease.</w:t>
      </w:r>
    </w:p>
    <w:p>
      <w:pPr>
        <w:spacing w:after="0" w:line="1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This update expands the scope of Topic 718, Compensation - Stock Compensation, to include equity-based awards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in 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is currently planning to adopt ASU 2018-07 on January 1, 2019. We are currently evaluating the impact of this update on our consolidated financial statements and related disclosures.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(“ASU 2018-15”) 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has elected to early adopt the standard, on a prospective basis, effective for the year and interim periods within the year beginning January 1, 2019. The adoption of this standard is not expected to have a material impact on the Company’s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comprised the following service offerings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9"/>
              </w:rPr>
              <w:t>Year Ended December</w:t>
            </w:r>
          </w:p>
        </w:tc>
      </w:tr>
      <w:tr>
        <w:trPr>
          <w:trHeight w:val="192"/>
        </w:trPr>
        <w:tc>
          <w:tcPr>
            <w:tcW w:w="37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31,</w:t>
            </w:r>
          </w:p>
        </w:tc>
      </w:tr>
      <w:tr>
        <w:trPr>
          <w:trHeight w:val="250"/>
        </w:trPr>
        <w:tc>
          <w:tcPr>
            <w:tcW w:w="3740" w:type="dxa"/>
            <w:vAlign w:val="bottom"/>
            <w:tcBorders>
              <w:bottom w:val="single" w:sz="8" w:color="CCEEFF"/>
            </w:tcBorders>
          </w:tcPr>
          <w:p>
            <w:pPr>
              <w:spacing w:after="0"/>
              <w:rPr>
                <w:sz w:val="21"/>
                <w:szCs w:val="21"/>
                <w:color w:val="auto"/>
              </w:rPr>
            </w:pPr>
          </w:p>
        </w:tc>
        <w:tc>
          <w:tcPr>
            <w:tcW w:w="60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intelligence tools</w:t>
            </w:r>
          </w:p>
        </w:tc>
        <w:tc>
          <w:tcPr>
            <w:tcW w:w="64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143.4</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Email verification service</w:t>
            </w:r>
          </w:p>
        </w:tc>
        <w:tc>
          <w:tcPr>
            <w:tcW w:w="6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0.9</w:t>
            </w:r>
          </w:p>
        </w:tc>
      </w:tr>
      <w:tr>
        <w:trPr>
          <w:trHeight w:val="27"/>
        </w:trPr>
        <w:tc>
          <w:tcPr>
            <w:tcW w:w="37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64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144.3</w:t>
            </w:r>
          </w:p>
        </w:tc>
      </w:tr>
      <w:tr>
        <w:trPr>
          <w:trHeight w:val="594"/>
        </w:trPr>
        <w:tc>
          <w:tcPr>
            <w:tcW w:w="3740" w:type="dxa"/>
            <w:vAlign w:val="bottom"/>
          </w:tcPr>
          <w:p>
            <w:pPr>
              <w:spacing w:after="0"/>
              <w:rPr>
                <w:sz w:val="24"/>
                <w:szCs w:val="24"/>
                <w:color w:val="auto"/>
              </w:rPr>
            </w:pPr>
          </w:p>
        </w:tc>
        <w:tc>
          <w:tcPr>
            <w:tcW w:w="6480" w:type="dxa"/>
            <w:vAlign w:val="bottom"/>
            <w:gridSpan w:val="2"/>
          </w:tcPr>
          <w:p>
            <w:pPr>
              <w:jc w:val="right"/>
              <w:ind w:right="4248"/>
              <w:spacing w:after="0"/>
              <w:rPr>
                <w:sz w:val="20"/>
                <w:szCs w:val="20"/>
                <w:color w:val="auto"/>
              </w:rPr>
            </w:pPr>
            <w:r>
              <w:rPr>
                <w:rFonts w:ascii="Arial" w:cs="Arial" w:eastAsia="Arial" w:hAnsi="Arial"/>
                <w:sz w:val="18"/>
                <w:szCs w:val="18"/>
                <w:color w:val="auto"/>
              </w:rPr>
              <w:t>F- 16</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54"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Go-To-Market business intelligence tools are subscription services that allow customers access to our SaaS tools to support sales and marketing processes, which include data covering companies and analytics to search for and identify their target customers, pinpoint the right decision makers, obtain continually updated predictive lead and company scoring, monitor buying signals and other attributes of target companies, craft the right message, engage via automated sales tools, and track progress and momentum through the deal cycle.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total revenue recognized in the year, $32.8 million were included in the unearned revenue balance as of December 31, 2017. Revenues recognized from performance obligations satisfied (or partially satisfied) in previous periods were not material.</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by geography is determined based on the domicile of the DiscoverOrg contracting entity. All customer contracts are with our U.S. entities, therefore 100% of our revenue is designated as U.S. revenue. Due to the SaaS-based nature of our service, it is possible that some of our customers use the service outside of the U.S. We estimate that less than 10% of our customers are located outside of the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 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 As of December 31, 2018, the Company had contract assets of $1.1 million and are recorded as current assets within Prepaid expenses and other current assets in the consolidated balance sheet. As of December 31, 2018, the Company had unearned revenue of $48.2 million.</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Current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Total</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3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155.1</w:t>
            </w:r>
          </w:p>
        </w:tc>
      </w:tr>
      <w:tr>
        <w:trPr>
          <w:trHeight w:val="594"/>
        </w:trPr>
        <w:tc>
          <w:tcPr>
            <w:tcW w:w="3700" w:type="dxa"/>
            <w:vAlign w:val="bottom"/>
          </w:tcPr>
          <w:p>
            <w:pPr>
              <w:spacing w:after="0"/>
              <w:rPr>
                <w:sz w:val="24"/>
                <w:szCs w:val="24"/>
                <w:color w:val="auto"/>
              </w:rPr>
            </w:pPr>
          </w:p>
        </w:tc>
        <w:tc>
          <w:tcPr>
            <w:tcW w:w="3040" w:type="dxa"/>
            <w:vAlign w:val="bottom"/>
            <w:gridSpan w:val="2"/>
          </w:tcPr>
          <w:p>
            <w:pPr>
              <w:jc w:val="right"/>
              <w:ind w:right="840"/>
              <w:spacing w:after="0"/>
              <w:rPr>
                <w:sz w:val="20"/>
                <w:szCs w:val="20"/>
                <w:color w:val="auto"/>
              </w:rPr>
            </w:pPr>
            <w:r>
              <w:rPr>
                <w:rFonts w:ascii="Arial" w:cs="Arial" w:eastAsia="Arial" w:hAnsi="Arial"/>
                <w:sz w:val="18"/>
                <w:szCs w:val="18"/>
                <w:color w:val="auto"/>
              </w:rPr>
              <w:t>F- 17</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NeverBounce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Contingent Earnout Payments</w:t>
            </w: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8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Consideration</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9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Contingent earnout payments was determined based on management’s estimate of probability-weighted future payments. The total amount of potential future contingent payments could be $2.0 million if all performance criteria are met. The total potential future contingent payment amount is comprised of a) one payment of up to $0.4 million due in the second quarter of 2019 and b) one payment of up to $1.6 million due in the second quarter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Brand portfolio</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&amp; unearned revenue</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the net tangible and intangible assets acquired was $6.0 million and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 portfolio</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8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7"/>
        </w:trPr>
        <w:tc>
          <w:tcPr>
            <w:tcW w:w="8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337"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6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8"/>
                <w:szCs w:val="18"/>
                <w:color w:val="auto"/>
                <w:w w:val="97"/>
              </w:rPr>
              <w:t>Depreciation expense was $2.6 million for the year ended December 31, 2018.</w:t>
            </w: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4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0"/>
                <w:szCs w:val="20"/>
                <w:color w:val="auto"/>
              </w:rPr>
            </w:pPr>
            <w:r>
              <w:rPr>
                <w:rFonts w:ascii="Arial" w:cs="Arial" w:eastAsia="Arial" w:hAnsi="Arial"/>
                <w:sz w:val="18"/>
                <w:szCs w:val="18"/>
                <w:b w:val="1"/>
                <w:bCs w:val="1"/>
                <w:color w:val="auto"/>
              </w:rPr>
              <w:t>Note 6 - Goodwill and Acquired Intangible Assets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40" w:type="dxa"/>
            <w:vAlign w:val="bottom"/>
            <w:gridSpan w:val="4"/>
          </w:tcPr>
          <w:p>
            <w:pPr>
              <w:ind w:left="340"/>
              <w:spacing w:after="0"/>
              <w:rPr>
                <w:sz w:val="20"/>
                <w:szCs w:val="20"/>
                <w:color w:val="auto"/>
              </w:rPr>
            </w:pPr>
            <w:r>
              <w:rPr>
                <w:rFonts w:ascii="Arial" w:cs="Arial" w:eastAsia="Arial" w:hAnsi="Arial"/>
                <w:sz w:val="18"/>
                <w:szCs w:val="18"/>
                <w:color w:val="auto"/>
              </w:rPr>
              <w:t>Intangible assets consisted of the following as of December 31 (in millions):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76"/>
              <w:spacing w:after="0" w:line="139" w:lineRule="exact"/>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400" w:type="dxa"/>
            <w:vAlign w:val="bottom"/>
          </w:tcPr>
          <w:p>
            <w:pPr>
              <w:spacing w:after="0"/>
              <w:rPr>
                <w:sz w:val="16"/>
                <w:szCs w:val="16"/>
                <w:color w:val="auto"/>
              </w:rPr>
            </w:pPr>
          </w:p>
        </w:tc>
        <w:tc>
          <w:tcPr>
            <w:tcW w:w="146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Net</w:t>
            </w:r>
          </w:p>
        </w:tc>
        <w:tc>
          <w:tcPr>
            <w:tcW w:w="14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Brand portfolio</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intangible assets subject to amortization</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was $14.7 million for the year ended December 31, 2018. A summary of estimated future amortization expense is as follows (in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millions):</w:t>
            </w:r>
          </w:p>
        </w:tc>
        <w:tc>
          <w:tcPr>
            <w:tcW w:w="18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ending December 31,</w:t>
            </w:r>
          </w:p>
        </w:tc>
        <w:tc>
          <w:tcPr>
            <w:tcW w:w="1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2019</w:t>
            </w:r>
          </w:p>
        </w:tc>
        <w:tc>
          <w:tcPr>
            <w:tcW w:w="556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3040" w:type="dxa"/>
            <w:vAlign w:val="bottom"/>
          </w:tcPr>
          <w:p>
            <w:pPr>
              <w:spacing w:after="0"/>
              <w:rPr>
                <w:sz w:val="21"/>
                <w:szCs w:val="21"/>
                <w:color w:val="auto"/>
              </w:rPr>
            </w:pPr>
          </w:p>
        </w:tc>
        <w:tc>
          <w:tcPr>
            <w:tcW w:w="1880" w:type="dxa"/>
            <w:vAlign w:val="bottom"/>
          </w:tcPr>
          <w:p>
            <w:pPr>
              <w:ind w:left="540"/>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3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2021</w:t>
            </w:r>
          </w:p>
        </w:tc>
        <w:tc>
          <w:tcPr>
            <w:tcW w:w="4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3040" w:type="dxa"/>
            <w:vAlign w:val="bottom"/>
          </w:tcPr>
          <w:p>
            <w:pPr>
              <w:spacing w:after="0"/>
              <w:rPr>
                <w:sz w:val="21"/>
                <w:szCs w:val="21"/>
                <w:color w:val="auto"/>
              </w:rPr>
            </w:pPr>
          </w:p>
        </w:tc>
        <w:tc>
          <w:tcPr>
            <w:tcW w:w="1880" w:type="dxa"/>
            <w:vAlign w:val="bottom"/>
          </w:tcPr>
          <w:p>
            <w:pPr>
              <w:ind w:left="540"/>
              <w:spacing w:after="0"/>
              <w:rPr>
                <w:sz w:val="20"/>
                <w:szCs w:val="20"/>
                <w:color w:val="auto"/>
              </w:rPr>
            </w:pPr>
            <w:r>
              <w:rPr>
                <w:rFonts w:ascii="Arial" w:cs="Arial" w:eastAsia="Arial" w:hAnsi="Arial"/>
                <w:sz w:val="18"/>
                <w:szCs w:val="18"/>
                <w:color w:val="auto"/>
              </w:rPr>
              <w:t>2022</w:t>
            </w:r>
          </w:p>
        </w:tc>
        <w:tc>
          <w:tcPr>
            <w:tcW w:w="4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3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2023</w:t>
            </w:r>
          </w:p>
        </w:tc>
        <w:tc>
          <w:tcPr>
            <w:tcW w:w="4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3040" w:type="dxa"/>
            <w:vAlign w:val="bottom"/>
          </w:tcPr>
          <w:p>
            <w:pPr>
              <w:spacing w:after="0"/>
              <w:rPr>
                <w:sz w:val="21"/>
                <w:szCs w:val="21"/>
                <w:color w:val="auto"/>
              </w:rPr>
            </w:pPr>
          </w:p>
        </w:tc>
        <w:tc>
          <w:tcPr>
            <w:tcW w:w="1880" w:type="dxa"/>
            <w:vAlign w:val="bottom"/>
          </w:tcPr>
          <w:p>
            <w:pPr>
              <w:ind w:left="5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3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60" w:type="dxa"/>
            <w:vAlign w:val="bottom"/>
            <w:gridSpan w:val="2"/>
          </w:tcPr>
          <w:p>
            <w:pPr>
              <w:jc w:val="right"/>
              <w:ind w:right="4490"/>
              <w:spacing w:after="0"/>
              <w:rPr>
                <w:sz w:val="20"/>
                <w:szCs w:val="20"/>
                <w:color w:val="auto"/>
              </w:rPr>
            </w:pPr>
            <w:r>
              <w:rPr>
                <w:rFonts w:ascii="Arial" w:cs="Arial" w:eastAsia="Arial" w:hAnsi="Arial"/>
                <w:sz w:val="18"/>
                <w:szCs w:val="18"/>
                <w:color w:val="auto"/>
              </w:rPr>
              <w:t>F- 19</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r>
              <w:rPr>
                <w:rFonts w:ascii="Arial" w:cs="Arial" w:eastAsia="Arial" w:hAnsi="Arial"/>
                <w:sz w:val="18"/>
                <w:szCs w:val="18"/>
                <w:b w:val="1"/>
                <w:bCs w:val="1"/>
                <w:color w:val="auto"/>
              </w:rPr>
              <w:t>Note 6 - Goodwill and Acquired Intangible Assets (continued)</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9820" w:type="dxa"/>
            <w:vAlign w:val="bottom"/>
          </w:tcPr>
          <w:p>
            <w:pPr>
              <w:ind w:left="340"/>
              <w:spacing w:after="0"/>
              <w:rPr>
                <w:sz w:val="20"/>
                <w:szCs w:val="20"/>
                <w:color w:val="auto"/>
              </w:rPr>
            </w:pPr>
            <w:r>
              <w:rPr>
                <w:rFonts w:ascii="Arial" w:cs="Arial" w:eastAsia="Arial" w:hAnsi="Arial"/>
                <w:sz w:val="18"/>
                <w:szCs w:val="18"/>
                <w:color w:val="auto"/>
              </w:rPr>
              <w:t>The following summarizes changes to the Company’s goodwill (in millions):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9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439.7</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Acquisition</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445.7</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year ended December 31,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the Company’s borrowings were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12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2018 Elected Interest Rate</w:t>
            </w:r>
          </w:p>
        </w:tc>
        <w:tc>
          <w:tcPr>
            <w:tcW w:w="100" w:type="dxa"/>
            <w:vAlign w:val="bottom"/>
            <w:vMerge w:val="restart"/>
          </w:tcPr>
          <w:p>
            <w:pPr>
              <w:spacing w:after="0"/>
              <w:rPr>
                <w:sz w:val="14"/>
                <w:szCs w:val="14"/>
                <w:color w:val="auto"/>
              </w:rPr>
            </w:pPr>
          </w:p>
        </w:tc>
        <w:tc>
          <w:tcPr>
            <w:tcW w:w="14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Antares First Lien Term Loan</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2017</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August 2023</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Goldman Second Lien Term Loan</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2016</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+ 8.5%</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Subordinated Term Loan</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September 2017</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2024</w:t>
            </w: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LIBOR + 12.5%</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 Carrying Value of Debt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 Long Term Debt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principal payments for all borrowings as of December 31, 2018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Maturity</w:t>
            </w: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Discounts and Issuance</w:t>
            </w:r>
          </w:p>
        </w:tc>
        <w:tc>
          <w:tcPr>
            <w:tcW w:w="260" w:type="dxa"/>
            <w:vAlign w:val="bottom"/>
          </w:tcPr>
          <w:p>
            <w:pPr>
              <w:spacing w:after="0"/>
              <w:rPr>
                <w:sz w:val="14"/>
                <w:szCs w:val="14"/>
                <w:color w:val="auto"/>
              </w:rPr>
            </w:pPr>
          </w:p>
        </w:tc>
        <w:tc>
          <w:tcPr>
            <w:tcW w:w="13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Costs</w:t>
            </w:r>
          </w:p>
        </w:tc>
        <w:tc>
          <w:tcPr>
            <w:tcW w:w="2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w:t>
            </w:r>
          </w:p>
        </w:tc>
        <w:tc>
          <w:tcPr>
            <w:tcW w:w="35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520" w:type="dxa"/>
            <w:vAlign w:val="bottom"/>
          </w:tcPr>
          <w:p>
            <w:pPr>
              <w:ind w:left="46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520" w:type="dxa"/>
            <w:vAlign w:val="bottom"/>
          </w:tcPr>
          <w:p>
            <w:pPr>
              <w:ind w:left="46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520" w:type="dxa"/>
            <w:vAlign w:val="bottom"/>
          </w:tcPr>
          <w:p>
            <w:pPr>
              <w:ind w:left="46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0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Antares First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our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requires the Company to make certain payments on the outstanding loan balances if it has generated excess cash flows as defined by the credit agreement, beginning the year ended December 31,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554"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Second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our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Loan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described in Note 12, the aforementioned outstanding financing arrangements were repaid on February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 The Company is a lessee under various noncancelable operating leases which have remaining terms through 2025. Future minimum</w:t>
      </w:r>
      <w:r>
        <w:rPr>
          <w:rFonts w:ascii="Arial" w:cs="Arial" w:eastAsia="Arial" w:hAnsi="Arial"/>
          <w:sz w:val="18"/>
          <w:szCs w:val="18"/>
          <w:b w:val="1"/>
          <w:bCs w:val="1"/>
          <w:color w:val="auto"/>
        </w:rPr>
        <w:t xml:space="preserve"> </w:t>
      </w:r>
      <w:r>
        <w:rPr>
          <w:rFonts w:ascii="Arial" w:cs="Arial" w:eastAsia="Arial" w:hAnsi="Arial"/>
          <w:sz w:val="18"/>
          <w:szCs w:val="18"/>
          <w:color w:val="auto"/>
        </w:rPr>
        <w:t>lease payments as of December 31, 2018 are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Contractual Payments</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Expected Sub-Lease</w:t>
            </w:r>
          </w:p>
        </w:tc>
        <w:tc>
          <w:tcPr>
            <w:tcW w:w="240" w:type="dxa"/>
            <w:vAlign w:val="bottom"/>
          </w:tcPr>
          <w:p>
            <w:pPr>
              <w:spacing w:after="0"/>
              <w:rPr>
                <w:sz w:val="14"/>
                <w:szCs w:val="14"/>
                <w:color w:val="auto"/>
              </w:rPr>
            </w:pPr>
          </w:p>
        </w:tc>
        <w:tc>
          <w:tcPr>
            <w:tcW w:w="1360" w:type="dxa"/>
            <w:vAlign w:val="bottom"/>
          </w:tcPr>
          <w:p>
            <w:pPr>
              <w:jc w:val="right"/>
              <w:ind w:right="294"/>
              <w:spacing w:after="0"/>
              <w:rPr>
                <w:sz w:val="20"/>
                <w:szCs w:val="20"/>
                <w:color w:val="auto"/>
              </w:rPr>
            </w:pPr>
            <w:r>
              <w:rPr>
                <w:rFonts w:ascii="Arial" w:cs="Arial" w:eastAsia="Arial" w:hAnsi="Arial"/>
                <w:sz w:val="14"/>
                <w:szCs w:val="14"/>
                <w:b w:val="1"/>
                <w:bCs w:val="1"/>
                <w:color w:val="auto"/>
              </w:rPr>
              <w:t>Net Expected</w:t>
            </w:r>
          </w:p>
        </w:tc>
      </w:tr>
      <w:tr>
        <w:trPr>
          <w:trHeight w:val="192"/>
        </w:trPr>
        <w:tc>
          <w:tcPr>
            <w:tcW w:w="29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Due</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Commitments</w:t>
            </w:r>
          </w:p>
        </w:tc>
      </w:tr>
      <w:tr>
        <w:trPr>
          <w:trHeight w:val="250"/>
        </w:trPr>
        <w:tc>
          <w:tcPr>
            <w:tcW w:w="2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w:t>
            </w:r>
          </w:p>
        </w:tc>
        <w:tc>
          <w:tcPr>
            <w:tcW w:w="35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2900" w:type="dxa"/>
            <w:vAlign w:val="bottom"/>
          </w:tcPr>
          <w:p>
            <w:pPr>
              <w:spacing w:after="0"/>
              <w:rPr>
                <w:sz w:val="21"/>
                <w:szCs w:val="21"/>
                <w:color w:val="auto"/>
              </w:rPr>
            </w:pPr>
          </w:p>
        </w:tc>
        <w:tc>
          <w:tcPr>
            <w:tcW w:w="3520" w:type="dxa"/>
            <w:vAlign w:val="bottom"/>
          </w:tcPr>
          <w:p>
            <w:pPr>
              <w:ind w:left="46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2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2900" w:type="dxa"/>
            <w:vAlign w:val="bottom"/>
          </w:tcPr>
          <w:p>
            <w:pPr>
              <w:spacing w:after="0"/>
              <w:rPr>
                <w:sz w:val="21"/>
                <w:szCs w:val="21"/>
                <w:color w:val="auto"/>
              </w:rPr>
            </w:pPr>
          </w:p>
        </w:tc>
        <w:tc>
          <w:tcPr>
            <w:tcW w:w="3520" w:type="dxa"/>
            <w:vAlign w:val="bottom"/>
          </w:tcPr>
          <w:p>
            <w:pPr>
              <w:ind w:left="46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2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2900" w:type="dxa"/>
            <w:vAlign w:val="bottom"/>
          </w:tcPr>
          <w:p>
            <w:pPr>
              <w:spacing w:after="0"/>
              <w:rPr>
                <w:sz w:val="21"/>
                <w:szCs w:val="21"/>
                <w:color w:val="auto"/>
              </w:rPr>
            </w:pPr>
          </w:p>
        </w:tc>
        <w:tc>
          <w:tcPr>
            <w:tcW w:w="3520" w:type="dxa"/>
            <w:vAlign w:val="bottom"/>
          </w:tcPr>
          <w:p>
            <w:pPr>
              <w:ind w:left="46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29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290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leases contain various provisions for increases in rental rates on a graduated basis based on a predetermined escalation schedule and for options to renew, which could increase future minimum lease payments if exercised. We recognize expense on a straight-line basis over the lease term, with the difference between the expense and rent payments being recognized as deferred rent. Total rent expense for the year ended December 31, 2018 was $1.9 million.</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Sales and use tax </w:t>
      </w:r>
      <w:r>
        <w:rPr>
          <w:rFonts w:ascii="Arial" w:cs="Arial" w:eastAsia="Arial" w:hAnsi="Arial"/>
          <w:sz w:val="18"/>
          <w:szCs w:val="18"/>
          <w:color w:val="auto"/>
        </w:rPr>
        <w:t>- The Company has conducted an assessment of sales and use tax exposure in states where the Company has established nexus.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this assessment, the Company has recorded a liability for taxes owed and related penalties and interest in the amount of $1.4 million at December 31, 2018. This liability is included in Accrued expenses and other current liabilities.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Contingent earnout payments </w:t>
      </w:r>
      <w:r>
        <w:rPr>
          <w:rFonts w:ascii="Arial" w:cs="Arial" w:eastAsia="Arial" w:hAnsi="Arial"/>
          <w:sz w:val="18"/>
          <w:szCs w:val="18"/>
          <w:color w:val="auto"/>
        </w:rPr>
        <w:t>- The Company is contingently committed to making additional payments of up to $2.0 million as part of our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NeverBounce. Refer to Note 4 - Business Combinations.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554"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Note 9 - Members’ Deficit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certain members of the Company sold membership interests to private equity funds managed by Carlyle Partners (“Carlyle Investment”) and entered into the Third Amended and Restated Limited Liability Company Agreement (the “LLC Agreement”). The LLC Agreement establishes different classes of membership units and the rights and economics related to each. All existing units of the Company were converted at the time of the Carlyle Investment to new Common and Preferred units. Class P units were reserved for use in equity incentive programs for employees, directors, and service providers.</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Distributions to members are generally to be made in priority order, first to Preferred Units up to the initial investment level, then to Common Units up to the initial investment level, and then ratably to all units, with Class P Units participating in distributions once other units have achieved a specified Return Threshold.</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December 31, 2018, there were 383.8 million Preferred Units outstanding, 983.9 million Common Units outstanding, and 22.9 million Class P Units outstanding. Prior to the Carlyle Investment, the Company operated under the Amended and Restated Limited Liability Company Agreement (the “Prior LLC Agreement”).</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Class P Incentive Units </w:t>
      </w:r>
      <w:r>
        <w:rPr>
          <w:rFonts w:ascii="Arial" w:cs="Arial" w:eastAsia="Arial" w:hAnsi="Arial"/>
          <w:sz w:val="17"/>
          <w:szCs w:val="17"/>
          <w:color w:val="auto"/>
        </w:rPr>
        <w:t>- Class P units under the current LLC Agreement and the Class C units under the Prior LLC Agreement that converted to</w:t>
      </w:r>
      <w:r>
        <w:rPr>
          <w:rFonts w:ascii="Arial" w:cs="Arial" w:eastAsia="Arial" w:hAnsi="Arial"/>
          <w:sz w:val="17"/>
          <w:szCs w:val="17"/>
          <w:b w:val="1"/>
          <w:bCs w:val="1"/>
          <w:color w:val="auto"/>
        </w:rPr>
        <w:t xml:space="preserve"> </w:t>
      </w:r>
      <w:r>
        <w:rPr>
          <w:rFonts w:ascii="Arial" w:cs="Arial" w:eastAsia="Arial" w:hAnsi="Arial"/>
          <w:sz w:val="17"/>
          <w:szCs w:val="17"/>
          <w:color w:val="auto"/>
        </w:rPr>
        <w:t>Common Units (collectively the “Incentive Units”) operate under employee incentive programs and are granted to employees and service providers as approved by the Board of Managers. These awards are subject to a time-based vesting condition. The service vesting condition is generally over four years with 50% vesting on the two year anniversary of the grant date of the award and the remainder vesting monthly thereafter. The fair value of each grant was estimated on the date of grant using the Black-Scholes option pricing model with the following assumption ranges and fair value per unit: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Year Ended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7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4"/>
              </w:rPr>
              <w:t>4 years</w:t>
            </w:r>
          </w:p>
        </w:tc>
      </w:tr>
      <w:tr>
        <w:trPr>
          <w:trHeight w:val="27"/>
        </w:trPr>
        <w:tc>
          <w:tcPr>
            <w:tcW w:w="9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- 2.82%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per Unit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900" w:type="dxa"/>
            <w:vAlign w:val="bottom"/>
          </w:tcPr>
          <w:p>
            <w:pPr>
              <w:ind w:left="20"/>
              <w:spacing w:after="0"/>
              <w:rPr>
                <w:sz w:val="20"/>
                <w:szCs w:val="20"/>
                <w:color w:val="auto"/>
              </w:rPr>
            </w:pPr>
            <w:r>
              <w:rPr>
                <w:rFonts w:ascii="Arial" w:cs="Arial" w:eastAsia="Arial" w:hAnsi="Arial"/>
                <w:sz w:val="18"/>
                <w:szCs w:val="18"/>
                <w:color w:val="auto"/>
              </w:rPr>
              <w:t>- $1.30</w:t>
            </w: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 As of December 31, 2018, the amount of unamortized equity-based compensation related to the Incentive Units is $9.9 million.</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HSKB Incentive Units </w:t>
      </w:r>
      <w:r>
        <w:rPr>
          <w:rFonts w:ascii="Arial" w:cs="Arial" w:eastAsia="Arial" w:hAnsi="Arial"/>
          <w:sz w:val="17"/>
          <w:szCs w:val="17"/>
          <w:color w:val="auto"/>
        </w:rPr>
        <w:t>- The founders of the Company previously contributed membership units into an upper tier entity that they control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allocate profits interests to employees of the Company (“HSKB Grants”). These awards are recorded in accordance with the measurement and recognition criteria of ASC 505-50, “Equity-Based Payments to Non-Employees”. All HSKB Grants have been issued with a performance vesting condition wherein the awards vest upon the cumulative change of more than 90% of the membership interests in the Company. The Company will recognize compensation cost under these awards when it determines it is probable that the performance condition will be achieved.</w:t>
      </w:r>
    </w:p>
    <w:p>
      <w:pPr>
        <w:spacing w:after="0" w:line="1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2018, in connection with the Carlyle Investment described above, holders of HSKB Grants received a cash distribution subject to certain time-vesting conditions. As a result, the Company recorded equity-based compensation cost of $21.8 million during 2018.</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HSKB allocated an additional $31.3 million to be paid over three years from 2019 to 2021 if the holder of the HSKB grant is employed by the Company as of the payment date. The Company recognizes compensation cost associated with this commitment as it is earned over time. In March 2019, HSKB distributed $11.9 million against this commitment,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337"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Note 9 - Members' Deficit (continued)</w:t>
      </w:r>
    </w:p>
    <w:p>
      <w:pPr>
        <w:spacing w:after="0" w:line="3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which $9.5 million had been recognized as compensation cost in the Consolidated statement of operations as of December 31, 2018 with an offset to Members’ Deficit. As of December 31, 2018, the amount of unrecognized equity-based compensation related to the HSKB Grants is $77.6 million.</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Carlyle Investment transaction, accelerated vesting was triggered on all unvested units and they were converted to new Common and Preferred units. The Company recognized $0.3 million compensation expense in connection with this accelerated vesting event. On March 12, 2018, 82,735 unvested Class C units held by employees were converted into 7.0 million Common units subject to time-vesting conditions, of which 5.2 million were fully vested upon conversion and 1.8 million were unvested.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Common Units</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Class C Units</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Class P Units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Weighted Avg Grant</w:t>
            </w: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4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Weighted Avg Grant</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6"/>
              </w:rPr>
              <w:t>Weighted Avg Grant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 Fair Value/Unit</w:t>
            </w:r>
          </w:p>
        </w:tc>
        <w:tc>
          <w:tcPr>
            <w:tcW w:w="1460" w:type="dxa"/>
            <w:vAlign w:val="bottom"/>
            <w:gridSpan w:val="2"/>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 Fair Value/Unit</w:t>
            </w:r>
          </w:p>
        </w:tc>
        <w:tc>
          <w:tcPr>
            <w:tcW w:w="1460" w:type="dxa"/>
            <w:vAlign w:val="bottom"/>
            <w:gridSpan w:val="2"/>
            <w:vMerge w:val="continue"/>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Date Fair Value/Unit</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at</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January 1, 2018</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159,905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2,845,304</w:t>
            </w:r>
          </w:p>
        </w:tc>
        <w:tc>
          <w:tcPr>
            <w:tcW w:w="120" w:type="dxa"/>
            <w:vAlign w:val="bottom"/>
          </w:tcPr>
          <w:p>
            <w:pPr>
              <w:spacing w:after="0"/>
              <w:rPr>
                <w:sz w:val="21"/>
                <w:szCs w:val="21"/>
                <w:color w:val="auto"/>
              </w:rPr>
            </w:pPr>
          </w:p>
        </w:tc>
        <w:tc>
          <w:tcPr>
            <w:tcW w:w="700" w:type="dxa"/>
            <w:vAlign w:val="bottom"/>
          </w:tcPr>
          <w:p>
            <w:pPr>
              <w:jc w:val="right"/>
              <w:ind w:right="49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22,865,875</w:t>
            </w:r>
          </w:p>
        </w:tc>
        <w:tc>
          <w:tcPr>
            <w:tcW w:w="12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(1,078,582)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(159,905)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40" w:type="dxa"/>
            <w:vAlign w:val="bottom"/>
          </w:tcPr>
          <w:p>
            <w:pPr>
              <w:ind w:left="40"/>
              <w:spacing w:after="0"/>
              <w:rPr>
                <w:sz w:val="20"/>
                <w:szCs w:val="20"/>
                <w:color w:val="auto"/>
              </w:rPr>
            </w:pPr>
            <w:r>
              <w:rPr>
                <w:rFonts w:ascii="Arial" w:cs="Arial" w:eastAsia="Arial" w:hAnsi="Arial"/>
                <w:sz w:val="18"/>
                <w:szCs w:val="18"/>
                <w:color w:val="auto"/>
                <w:w w:val="94"/>
              </w:rPr>
              <w:t>Non-vested units at December 31,</w:t>
            </w:r>
          </w:p>
        </w:tc>
        <w:tc>
          <w:tcPr>
            <w:tcW w:w="13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1,766,722</w:t>
            </w:r>
          </w:p>
        </w:tc>
        <w:tc>
          <w:tcPr>
            <w:tcW w:w="120" w:type="dxa"/>
            <w:vAlign w:val="bottom"/>
          </w:tcPr>
          <w:p>
            <w:pPr>
              <w:spacing w:after="0"/>
              <w:rPr>
                <w:sz w:val="18"/>
                <w:szCs w:val="18"/>
                <w:color w:val="auto"/>
              </w:rPr>
            </w:pPr>
          </w:p>
        </w:tc>
        <w:tc>
          <w:tcPr>
            <w:tcW w:w="700" w:type="dxa"/>
            <w:vAlign w:val="bottom"/>
            <w:tcBorders>
              <w:top w:val="single" w:sz="8" w:color="auto"/>
            </w:tcBorders>
            <w:vMerge w:val="restart"/>
          </w:tcPr>
          <w:p>
            <w:pPr>
              <w:jc w:val="right"/>
              <w:ind w:right="4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3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3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22,865,875</w:t>
            </w:r>
          </w:p>
        </w:tc>
        <w:tc>
          <w:tcPr>
            <w:tcW w:w="120" w:type="dxa"/>
            <w:vAlign w:val="bottom"/>
          </w:tcPr>
          <w:p>
            <w:pPr>
              <w:spacing w:after="0"/>
              <w:rPr>
                <w:sz w:val="18"/>
                <w:szCs w:val="18"/>
                <w:color w:val="auto"/>
              </w:rPr>
            </w:pPr>
          </w:p>
        </w:tc>
        <w:tc>
          <w:tcPr>
            <w:tcW w:w="6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2640" w:type="dxa"/>
            <w:vAlign w:val="bottom"/>
          </w:tcPr>
          <w:p>
            <w:pPr>
              <w:ind w:left="200"/>
              <w:spacing w:after="0"/>
              <w:rPr>
                <w:sz w:val="20"/>
                <w:szCs w:val="20"/>
                <w:color w:val="auto"/>
              </w:rPr>
            </w:pPr>
            <w:r>
              <w:rPr>
                <w:rFonts w:ascii="Arial" w:cs="Arial" w:eastAsia="Arial" w:hAnsi="Arial"/>
                <w:sz w:val="18"/>
                <w:szCs w:val="18"/>
                <w:color w:val="auto"/>
              </w:rPr>
              <w:t>2018</w:t>
            </w:r>
          </w:p>
        </w:tc>
        <w:tc>
          <w:tcPr>
            <w:tcW w:w="13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equity-based compensation expense related to employee incentive unit awards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9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8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and Operating expenses include equity-based compensation expenses as follows: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Cost of service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8.3</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1.1</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r>
      <w:tr>
        <w:trPr>
          <w:trHeight w:val="257"/>
        </w:trPr>
        <w:tc>
          <w:tcPr>
            <w:tcW w:w="9820" w:type="dxa"/>
            <w:vAlign w:val="bottom"/>
          </w:tcPr>
          <w:p>
            <w:pPr>
              <w:ind w:left="500"/>
              <w:spacing w:after="0"/>
              <w:rPr>
                <w:sz w:val="20"/>
                <w:szCs w:val="20"/>
                <w:color w:val="auto"/>
              </w:rPr>
            </w:pPr>
            <w:r>
              <w:rPr>
                <w:rFonts w:ascii="Arial" w:cs="Arial" w:eastAsia="Arial" w:hAnsi="Arial"/>
                <w:sz w:val="18"/>
                <w:szCs w:val="18"/>
                <w:color w:val="auto"/>
              </w:rPr>
              <w:t>Total equity-based compensation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32.7</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and Geographic Data</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As of December 31, 2018, there were no significant long-lived assets held by entities outside of the United States.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553"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Note 10 - Segment and Geographic Data (continued)</w:t>
      </w:r>
    </w:p>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by geographical region is determined by location of the Company’s customers. Revenue from customers outside of the United States was approximately 7% of total revenue for the year ended December 31, 2018. Revenue by geographic region is as follows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9"/>
              </w:rPr>
              <w:t>Year Ended December</w:t>
            </w:r>
          </w:p>
        </w:tc>
      </w:tr>
      <w:tr>
        <w:trPr>
          <w:trHeight w:val="192"/>
        </w:trPr>
        <w:tc>
          <w:tcPr>
            <w:tcW w:w="9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31,</w:t>
            </w:r>
          </w:p>
        </w:tc>
      </w:tr>
      <w:tr>
        <w:trPr>
          <w:trHeight w:val="250"/>
        </w:trPr>
        <w:tc>
          <w:tcPr>
            <w:tcW w:w="98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9.4</w:t>
            </w: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144.3</w:t>
            </w:r>
          </w:p>
        </w:tc>
      </w:tr>
      <w:tr>
        <w:trPr>
          <w:trHeight w:val="27"/>
        </w:trPr>
        <w:tc>
          <w:tcPr>
            <w:tcW w:w="9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 Provision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 from income taxes for the period ended December 31, 2018 consists of the following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98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8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provision</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Federal</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37"/>
        </w:trPr>
        <w:tc>
          <w:tcPr>
            <w:tcW w:w="9820" w:type="dxa"/>
            <w:vAlign w:val="bottom"/>
          </w:tcPr>
          <w:p>
            <w:pPr>
              <w:spacing w:after="0"/>
              <w:rPr>
                <w:sz w:val="20"/>
                <w:szCs w:val="20"/>
                <w:color w:val="auto"/>
              </w:rPr>
            </w:pP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98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tax provision</w:t>
            </w:r>
          </w:p>
        </w:tc>
        <w:tc>
          <w:tcPr>
            <w:tcW w:w="160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State</w:t>
            </w: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Expense (benefit) from income taxes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comprised of nontaxable partnerships and a C corporation subsidiary. RKSI Acquisition Corporation (RKSI), a C corporation, acquired on September 25, 2017, was subject to income tax.</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federal tax statutory rate was 21% for the year ended December 31, 2018. Differences between the statutory rate and the effective tax rate arise as a result of nondeductible expenses.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October 1, 2018 the Company’s C corporation subsidiary executed a nontaxable contribution of all operations including its deferred tax items, in exchange for a noncontrolling interest in a newly formed subsidiary, DiscoverOrg Data LLC. DiscoverOrg Data LLC, is treated as a partnership for U.S. federal and most applicable state and local income tax purposes. As a partnership, DiscoverOrg Data LLC is not directly subject to U.S. federal and certain state and local income taxes. Any taxable income or loss generated by DiscoverOrg Data LLC is passed through to and included in the taxable income or loss of its partners, including the Company’s C corporation subsidiary following the Business Combination.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553"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Note 11 - Income Tax Provision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2018 the effective income tax rate differs from the federal statutory income tax rate as explained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97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7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324"/>
        </w:trPr>
        <w:tc>
          <w:tcPr>
            <w:tcW w:w="97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income taxes, net of federal benefit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Nontaxable partnerships</w:t>
            </w:r>
          </w:p>
        </w:tc>
        <w:tc>
          <w:tcPr>
            <w:tcW w:w="17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97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970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9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tax benefit of operating loss carryforwards. Deferred tax assets and liabilities are measured using enacted tax rates that are expected to apply to taxable income for the years in which those tax assets and liabilities are expected to be recovered or settled. As of December 31, 2018, net deferred tax liability in the accompanying balance sheet included the following components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right"/>
              <w:ind w:right="15"/>
              <w:spacing w:after="0"/>
              <w:rPr>
                <w:sz w:val="20"/>
                <w:szCs w:val="20"/>
                <w:color w:val="auto"/>
              </w:rPr>
            </w:pPr>
            <w:r>
              <w:rPr>
                <w:rFonts w:ascii="Arial" w:cs="Arial" w:eastAsia="Arial" w:hAnsi="Arial"/>
                <w:sz w:val="14"/>
                <w:szCs w:val="14"/>
                <w:b w:val="1"/>
                <w:bCs w:val="1"/>
                <w:color w:val="auto"/>
                <w:w w:val="99"/>
              </w:rPr>
              <w:t>Year Ended December</w:t>
            </w:r>
          </w:p>
        </w:tc>
      </w:tr>
      <w:tr>
        <w:trPr>
          <w:trHeight w:val="192"/>
        </w:trPr>
        <w:tc>
          <w:tcPr>
            <w:tcW w:w="9820" w:type="dxa"/>
            <w:vAlign w:val="bottom"/>
          </w:tcPr>
          <w:p>
            <w:pPr>
              <w:spacing w:after="0"/>
              <w:rPr>
                <w:sz w:val="16"/>
                <w:szCs w:val="16"/>
                <w:color w:val="auto"/>
              </w:rPr>
            </w:pPr>
          </w:p>
        </w:tc>
        <w:tc>
          <w:tcPr>
            <w:tcW w:w="16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31,</w:t>
            </w:r>
          </w:p>
        </w:tc>
      </w:tr>
      <w:tr>
        <w:trPr>
          <w:trHeight w:val="250"/>
        </w:trPr>
        <w:tc>
          <w:tcPr>
            <w:tcW w:w="98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1.3</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carryforward</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r>
      <w:tr>
        <w:trPr>
          <w:trHeight w:val="237"/>
        </w:trPr>
        <w:tc>
          <w:tcPr>
            <w:tcW w:w="982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98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60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DiscoverOrg Data LLC</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r>
      <w:tr>
        <w:trPr>
          <w:trHeight w:val="237"/>
        </w:trPr>
        <w:tc>
          <w:tcPr>
            <w:tcW w:w="982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12.4</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98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Less valuation allowance</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liability</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r>
      <w:tr>
        <w:trPr>
          <w:trHeight w:val="20"/>
        </w:trPr>
        <w:tc>
          <w:tcPr>
            <w:tcW w:w="98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Deferred tax assets are recognized to the extent management believes, based on available evidence, that it is more likely than not that they will be realized. Due to the purchase accounting surrounding the acquisition, and based on the Company's historical performance and future projections, any deferred tax assets will be offset by deferred tax liabilities or realized in the normal course of operations, and the Company has determined that it will utilize the interest expense carryforward and thus no valuation allowance is necessary at December 31, 2018.</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At December 31, 2018, the Company’s C corporation subsidiary had an available federal net operating loss carryforward of approximately $4.2 million. These carryforwards will begin to expire in 2035 unless utilized in earlier tax years. Of this net operating loss carryforward, $4.2 million is subject to annual limitations due to a change in ownership of the C corporation subsidiary as defined in the Internal Revenue Code. The Company’s C corporation subsidiary also had various state net operating loss carryforwards totaling $5.5 million. Unless utilized, the state carryforwards begin to expire in 2025.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554"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Note 11 - Income Tax Provision (continued)</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interest and penalties accrued for the years ended December 31, 2018. The Company has assessed its tax positions taken and concluded there are no significant uncertain tax positions. The Company has no unrecognized tax benefits at December 31, 2018 that, if recognized, would affect the annual effective tax rate.</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files returns with the Internal Revenue Service and multiple state jurisdictions, which are subject to examination by the taxing authorities for years 2014 and later. Should the Company’s C corporation subsidiary utilize any of its U.S. or state loss carryforwards, their carryforward losses, which date back to 2013, would be subject to examination.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evaluated subsequent events through November 25, 2019, which is the date the consolidated financial statements were available to be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Zoom Information, Inc.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the Company, through a newly formed wholly owned subsidiary, Zebra Acquisition Corporation, acquired 100% of the stock of Zoom Information, Inc. (“Pre-Acquisition ZI”) for $760.1 million consisting of cash, purchase consideration liabilities, and deferred consideration. Pre-Acquisition ZI is a leading provider of company and contact information to sales and marketing professionals. Pre-Acquisition ZI serves over 8,000 customers and has operations in the U.S., Israel, and Russia.</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conjunction with the acquisition, DiscoverOrg raised $965 million of first lien debt (including a $100 million undrawn revolving credit facility), $370 million of second lien debt, and issued $207 million of Series A Preferred equity interests. In addition to funding the purchase of Pre-Acquisition ZI, the additional proceeds were using to repay the Antares First Lien Term Loan, the Goldman Second Lien Term Loan, and the Subordinated Loan.</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3.25% to 3.50% for Base Rate loans (depending on the Company’s leverage) or 4.25% or 4.50% for Libor Based Loans, depending on the Company’s leverage. Any outstanding borrowings under the revolving credit facility must be repaid by February 1, 2024. The first lien borrowings are to be repaid quarterly in the amount of $2.2 million with the final payment due on February 1, 2026. Under certain circumstances, the Company will owe a prepayment penalty of 1.00%, if we repay the loans before August 1, 2019.</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second lien debt has a variable interest rate whereby the Company can elect to use a Base Rate or the London Interbank Offer Rate (“LIBOR”) plus an applicable rate. The applicable rate is 7.50% for Base Rate loans or 8.50% for Libor Based Loans. The second lien borrowings are to be on February 1, 2027. Under certain conditions, the Company will owe a prepayment penalty 2.00% or 1.00%, if we repay the loans before February 1, 2020 or February 1, 2021, respectively.</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preferred equity has preference with respect to cash flows generated by DiscoverOrg and will receive proceeds from future distributions on a preferential basis for the value of the preferred plus an annual rate of 15%.</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incurred approximately $2.7 million of transactions costs related to this acquisition. The acquisition qualifies as a business combination and will be accounted for as such. The company incurred $28.4 million related to securing the first and second lien term loans, which will be accounted for as a debt discount. The company also incurred $0.6 million in transaction costs associated with issuing the new Preferred Series A units, which were issued at a 3% discount, which transaction costs will be deducted from the proceeds received from the units.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preliminary fair values of the assets acquired and liabilities assumed, as of the date of acquisition included Cash, cash equivalents, and restricted cash of $12.1 million, other net current assets and liabilities of $26.7 million, property and equipment of $6.3 million, lease right-of-use assets of $28.5 million, lease liabilities of $(29.8) million, deferred tax liabilities of $(67.7) million, unearned revenue of $(35.6) million, intangible assets of $322.0 million and goodwill of $497.6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553"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Note 12 - Subsequent Events (continued)</w:t>
      </w:r>
    </w:p>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initial accounting for the Pre-Acquisition ZI business combination is incomplete at this time and the fair values of assets acquired and liabilities assumed may be subject to change as additional information is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9, 2019, the Company, through a newly formed wholly owned subsidiary, DiscoverOrg Acquisition (Komiko), LLC, acquired substantially all the assets of Komiko, LTD. (“Komiko”). Total consideration for the purchase includes $8.3 million in cash and a contingent earnout payable in cash for up to $4 million computed on total annual recurring revenue from Komiko related products as of December 31, 2020. Komiko utilizes machine learning and data science to better automate the CRM process.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acquisition qualifies as a business combination and will be accounted for as such. As a result of the limited access to Komiko information required to prepare the initial accounting, together with the limited time since the acquisition date, the initial accounting for the business combination is incomplete at this time. As a result, we are unable to provide the amounts recognized as of the Acquisition date for the major classes of assets acquired and liabilities assumed, pre-acquisition contingencies, and goodwill.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554" w:right="239" w:bottom="1440" w:gutter="0" w:footer="0" w:header="0"/>
        </w:sectPr>
      </w:pPr>
    </w:p>
    <w:bookmarkStart w:id="210" w:name="page211"/>
    <w:bookmarkEnd w:id="210"/>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9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24"/>
                <w:szCs w:val="24"/>
                <w:color w:val="auto"/>
              </w:rPr>
            </w:pPr>
          </w:p>
        </w:tc>
        <w:tc>
          <w:tcPr>
            <w:tcW w:w="1240" w:type="dxa"/>
            <w:vAlign w:val="bottom"/>
          </w:tcPr>
          <w:p>
            <w:pPr>
              <w:jc w:val="right"/>
              <w:ind w:right="291"/>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8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Related party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8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8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8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445.7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costs,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1,506.2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591.0</w:t>
            </w:r>
          </w:p>
        </w:tc>
      </w:tr>
      <w:tr>
        <w:trPr>
          <w:trHeight w:val="176"/>
        </w:trPr>
        <w:tc>
          <w:tcPr>
            <w:tcW w:w="8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120" w:type="dxa"/>
            <w:vAlign w:val="bottom"/>
          </w:tcPr>
          <w:p>
            <w:pPr>
              <w:ind w:left="2820"/>
              <w:spacing w:after="0"/>
              <w:rPr>
                <w:sz w:val="20"/>
                <w:szCs w:val="20"/>
                <w:color w:val="auto"/>
              </w:rPr>
            </w:pPr>
            <w:r>
              <w:rPr>
                <w:rFonts w:ascii="Arial" w:cs="Arial" w:eastAsia="Arial" w:hAnsi="Arial"/>
                <w:sz w:val="18"/>
                <w:szCs w:val="18"/>
                <w:b w:val="1"/>
                <w:bCs w:val="1"/>
                <w:color w:val="auto"/>
              </w:rPr>
              <w:t>Liabilities and Members' Deficit</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Unearned revenue, current portion</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Related party payable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183"/>
        </w:trPr>
        <w:tc>
          <w:tcPr>
            <w:tcW w:w="8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revenue,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8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8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8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Members' equity (deficit)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8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color w:val="auto"/>
              </w:rPr>
              <w:t>Total liabilities and members' deficit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1,506.2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591.0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13" w:right="239" w:bottom="892"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F- 28</w:t>
      </w:r>
    </w:p>
    <w:p>
      <w:pPr>
        <w:sectPr>
          <w:pgSz w:w="11900" w:h="16838" w:orient="portrait"/>
          <w:cols w:equalWidth="0" w:num="1">
            <w:col w:w="11420"/>
          </w:cols>
          <w:pgMar w:left="240" w:top="513" w:right="239" w:bottom="892" w:gutter="0" w:footer="0" w:header="0"/>
          <w:type w:val="continuous"/>
        </w:sectPr>
      </w:pPr>
    </w:p>
    <w:bookmarkStart w:id="211" w:name="page212"/>
    <w:bookmarkEnd w:id="211"/>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tcBorders>
              <w:bottom w:val="single" w:sz="8" w:color="auto"/>
            </w:tcBorders>
            <w:gridSpan w:val="9"/>
          </w:tcPr>
          <w:p>
            <w:pPr>
              <w:jc w:val="right"/>
              <w:ind w:right="47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4"/>
              </w:rPr>
              <w:t>(unaudited)</w:t>
            </w:r>
          </w:p>
        </w:tc>
        <w:tc>
          <w:tcPr>
            <w:tcW w:w="6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140" w:type="dxa"/>
            <w:vAlign w:val="bottom"/>
            <w:tcBorders>
              <w:bottom w:val="single" w:sz="8" w:color="CCEEFF"/>
            </w:tcBorders>
            <w:gridSpan w:val="3"/>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2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Cost of service </w:t>
            </w:r>
            <w:r>
              <w:rPr>
                <w:rFonts w:ascii="Arial" w:cs="Arial" w:eastAsia="Arial" w:hAnsi="Arial"/>
                <w:sz w:val="25"/>
                <w:szCs w:val="25"/>
                <w:color w:val="auto"/>
                <w:vertAlign w:val="superscript"/>
              </w:rPr>
              <w:t>(1)</w:t>
            </w:r>
          </w:p>
        </w:tc>
        <w:tc>
          <w:tcPr>
            <w:tcW w:w="2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acquired technology</w:t>
            </w:r>
          </w:p>
        </w:tc>
        <w:tc>
          <w:tcPr>
            <w:tcW w:w="2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2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0"/>
        </w:trPr>
        <w:tc>
          <w:tcPr>
            <w:tcW w:w="492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(1)</w:t>
            </w:r>
          </w:p>
        </w:tc>
        <w:tc>
          <w:tcPr>
            <w:tcW w:w="2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9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2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2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and transaction related expenses</w:t>
            </w:r>
          </w:p>
        </w:tc>
        <w:tc>
          <w:tcPr>
            <w:tcW w:w="2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Loss on debt extinguishment</w:t>
            </w:r>
          </w:p>
        </w:tc>
        <w:tc>
          <w:tcPr>
            <w:tcW w:w="2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Benefit from income taxes</w:t>
            </w:r>
          </w:p>
        </w:tc>
        <w:tc>
          <w:tcPr>
            <w:tcW w:w="2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140" w:type="dxa"/>
            <w:vAlign w:val="bottom"/>
            <w:tcBorders>
              <w:bottom w:val="single" w:sz="8" w:color="CCEEFF"/>
            </w:tcBorders>
            <w:gridSpan w:val="3"/>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Pro forma:</w:t>
            </w:r>
          </w:p>
        </w:tc>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per share information (unaudited)</w:t>
            </w:r>
          </w:p>
        </w:tc>
        <w:tc>
          <w:tcPr>
            <w:tcW w:w="2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Provision for income taxes</w:t>
            </w:r>
          </w:p>
        </w:tc>
        <w:tc>
          <w:tcPr>
            <w:tcW w:w="2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2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280"/>
              <w:spacing w:after="0"/>
              <w:rPr>
                <w:sz w:val="20"/>
                <w:szCs w:val="20"/>
                <w:color w:val="auto"/>
              </w:rPr>
            </w:pPr>
            <w:r>
              <w:rPr>
                <w:rFonts w:ascii="Arial" w:cs="Arial" w:eastAsia="Arial" w:hAnsi="Arial"/>
                <w:sz w:val="18"/>
                <w:szCs w:val="18"/>
                <w:color w:val="auto"/>
              </w:rPr>
              <w:t>Basic and diluted net loss per share</w:t>
            </w:r>
          </w:p>
        </w:tc>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gridSpan w:val="2"/>
            <w:vMerge w:val="continue"/>
          </w:tcPr>
          <w:p>
            <w:pPr>
              <w:spacing w:after="0"/>
              <w:rPr>
                <w:sz w:val="20"/>
                <w:szCs w:val="20"/>
                <w:color w:val="auto"/>
              </w:rPr>
            </w:pPr>
          </w:p>
        </w:tc>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Weighted average shares outstanding - basic and diluted</w:t>
            </w:r>
          </w:p>
        </w:tc>
        <w:tc>
          <w:tcPr>
            <w:tcW w:w="2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920" w:type="dxa"/>
            <w:vAlign w:val="bottom"/>
            <w:gridSpan w:val="2"/>
          </w:tcPr>
          <w:p>
            <w:pPr>
              <w:spacing w:after="0"/>
              <w:rPr>
                <w:sz w:val="20"/>
                <w:szCs w:val="20"/>
                <w:color w:val="auto"/>
              </w:rPr>
            </w:pPr>
            <w:r>
              <w:rPr>
                <w:rFonts w:ascii="Arial" w:cs="Arial" w:eastAsia="Arial" w:hAnsi="Arial"/>
                <w:sz w:val="14"/>
                <w:szCs w:val="14"/>
                <w:color w:val="auto"/>
              </w:rPr>
              <w:t>________________</w:t>
            </w:r>
          </w:p>
        </w:tc>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9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3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12.8</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140" w:type="dxa"/>
            <w:vAlign w:val="bottom"/>
            <w:gridSpan w:val="3"/>
          </w:tcPr>
          <w:p>
            <w:pPr>
              <w:jc w:val="right"/>
              <w:ind w:right="3088"/>
              <w:spacing w:after="0"/>
              <w:rPr>
                <w:sz w:val="20"/>
                <w:szCs w:val="20"/>
                <w:color w:val="auto"/>
              </w:rPr>
            </w:pPr>
            <w:r>
              <w:rPr>
                <w:rFonts w:ascii="Arial" w:cs="Arial" w:eastAsia="Arial" w:hAnsi="Arial"/>
                <w:sz w:val="18"/>
                <w:szCs w:val="18"/>
                <w:color w:val="auto"/>
              </w:rPr>
              <w:t>F- 29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9" w:right="239" w:bottom="1440" w:gutter="0" w:footer="0" w:header="0"/>
        </w:sectPr>
      </w:pPr>
    </w:p>
    <w:bookmarkStart w:id="212" w:name="page213"/>
    <w:bookmarkEnd w:id="212"/>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98"/>
        </w:trPr>
        <w:tc>
          <w:tcPr>
            <w:tcW w:w="4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24"/>
                <w:szCs w:val="24"/>
                <w:color w:val="auto"/>
              </w:rPr>
            </w:pPr>
          </w:p>
        </w:tc>
      </w:tr>
      <w:tr>
        <w:trPr>
          <w:trHeight w:val="264"/>
        </w:trPr>
        <w:tc>
          <w:tcPr>
            <w:tcW w:w="4620" w:type="dxa"/>
            <w:vAlign w:val="bottom"/>
          </w:tcPr>
          <w:p>
            <w:pPr>
              <w:spacing w:after="0"/>
              <w:rPr>
                <w:sz w:val="22"/>
                <w:szCs w:val="22"/>
                <w:color w:val="auto"/>
              </w:rPr>
            </w:pPr>
          </w:p>
        </w:tc>
        <w:tc>
          <w:tcPr>
            <w:tcW w:w="45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22"/>
                <w:szCs w:val="22"/>
                <w:color w:val="auto"/>
              </w:rPr>
            </w:pPr>
          </w:p>
        </w:tc>
        <w:tc>
          <w:tcPr>
            <w:tcW w:w="1140" w:type="dxa"/>
            <w:vAlign w:val="bottom"/>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2"/>
                <w:szCs w:val="22"/>
                <w:color w:val="auto"/>
              </w:rPr>
            </w:pPr>
          </w:p>
        </w:tc>
      </w:tr>
      <w:tr>
        <w:trPr>
          <w:trHeight w:val="250"/>
        </w:trPr>
        <w:tc>
          <w:tcPr>
            <w:tcW w:w="46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2"/>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520" w:type="dxa"/>
            <w:vAlign w:val="bottom"/>
            <w:tcBorders>
              <w:top w:val="single" w:sz="8" w:color="auto"/>
            </w:tcBorders>
          </w:tcPr>
          <w:p>
            <w:pPr>
              <w:spacing w:after="0"/>
              <w:rPr>
                <w:sz w:val="21"/>
                <w:szCs w:val="2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5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14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unrealized loss on interest rate swaps</w:t>
            </w:r>
          </w:p>
        </w:tc>
        <w:tc>
          <w:tcPr>
            <w:tcW w:w="3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Total other comprehensive loss</w:t>
            </w:r>
          </w:p>
        </w:tc>
        <w:tc>
          <w:tcPr>
            <w:tcW w:w="3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45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14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(28.3)</w:t>
            </w:r>
          </w:p>
        </w:tc>
      </w:tr>
      <w:tr>
        <w:trPr>
          <w:trHeight w:val="594"/>
        </w:trPr>
        <w:tc>
          <w:tcPr>
            <w:tcW w:w="4620" w:type="dxa"/>
            <w:vAlign w:val="bottom"/>
          </w:tcPr>
          <w:p>
            <w:pPr>
              <w:spacing w:after="0"/>
              <w:rPr>
                <w:sz w:val="24"/>
                <w:szCs w:val="24"/>
                <w:color w:val="auto"/>
              </w:rPr>
            </w:pPr>
          </w:p>
        </w:tc>
        <w:tc>
          <w:tcPr>
            <w:tcW w:w="4520" w:type="dxa"/>
            <w:vAlign w:val="bottom"/>
            <w:gridSpan w:val="2"/>
          </w:tcPr>
          <w:p>
            <w:pPr>
              <w:jc w:val="right"/>
              <w:ind w:right="3168"/>
              <w:spacing w:after="0"/>
              <w:rPr>
                <w:sz w:val="20"/>
                <w:szCs w:val="20"/>
                <w:color w:val="auto"/>
              </w:rPr>
            </w:pPr>
            <w:r>
              <w:rPr>
                <w:rFonts w:ascii="Arial" w:cs="Arial" w:eastAsia="Arial" w:hAnsi="Arial"/>
                <w:sz w:val="18"/>
                <w:szCs w:val="18"/>
                <w:color w:val="auto"/>
              </w:rPr>
              <w:t>F- 30</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500" w:right="239" w:bottom="1440" w:gutter="0" w:footer="0" w:header="0"/>
        </w:sectPr>
      </w:pPr>
    </w:p>
    <w:bookmarkStart w:id="213" w:name="page214"/>
    <w:bookmarkEnd w:id="213"/>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98"/>
        </w:trPr>
        <w:tc>
          <w:tcPr>
            <w:tcW w:w="50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Members' Deficit</w:t>
            </w:r>
          </w:p>
        </w:tc>
      </w:tr>
      <w:tr>
        <w:trPr>
          <w:trHeight w:val="250"/>
        </w:trPr>
        <w:tc>
          <w:tcPr>
            <w:tcW w:w="50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52"/>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5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Member distributions</w:t>
            </w:r>
          </w:p>
        </w:tc>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4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50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5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318"/>
        </w:trPr>
        <w:tc>
          <w:tcPr>
            <w:tcW w:w="50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5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Member distributions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unit issuance</w:t>
            </w:r>
          </w:p>
        </w:tc>
        <w:tc>
          <w:tcPr>
            <w:tcW w:w="5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Cash paid for unit repurchases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Forward unit repurchases classified as equity</w:t>
            </w:r>
          </w:p>
        </w:tc>
        <w:tc>
          <w:tcPr>
            <w:tcW w:w="5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Impact of adoption of new accounting standard (ASC 842)</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5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4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48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50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81"/>
        </w:trPr>
        <w:tc>
          <w:tcPr>
            <w:tcW w:w="5020" w:type="dxa"/>
            <w:vAlign w:val="bottom"/>
          </w:tcPr>
          <w:p>
            <w:pPr>
              <w:spacing w:after="0"/>
              <w:rPr>
                <w:sz w:val="24"/>
                <w:szCs w:val="24"/>
                <w:color w:val="auto"/>
              </w:rPr>
            </w:pPr>
          </w:p>
        </w:tc>
        <w:tc>
          <w:tcPr>
            <w:tcW w:w="5000" w:type="dxa"/>
            <w:vAlign w:val="bottom"/>
            <w:gridSpan w:val="2"/>
          </w:tcPr>
          <w:p>
            <w:pPr>
              <w:jc w:val="right"/>
              <w:ind w:right="4030"/>
              <w:spacing w:after="0"/>
              <w:rPr>
                <w:sz w:val="20"/>
                <w:szCs w:val="20"/>
                <w:color w:val="auto"/>
              </w:rPr>
            </w:pPr>
            <w:r>
              <w:rPr>
                <w:rFonts w:ascii="Arial" w:cs="Arial" w:eastAsia="Arial" w:hAnsi="Arial"/>
                <w:sz w:val="18"/>
                <w:szCs w:val="18"/>
                <w:color w:val="auto"/>
              </w:rPr>
              <w:t>F- 31</w:t>
            </w:r>
          </w:p>
        </w:tc>
        <w:tc>
          <w:tcPr>
            <w:tcW w:w="1400" w:type="dxa"/>
            <w:vAlign w:val="bottom"/>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214" w:name="page215"/>
    <w:bookmarkEnd w:id="214"/>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98"/>
        </w:trPr>
        <w:tc>
          <w:tcPr>
            <w:tcW w:w="8120" w:type="dxa"/>
            <w:vAlign w:val="bottom"/>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0"/>
        </w:trPr>
        <w:tc>
          <w:tcPr>
            <w:tcW w:w="8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2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debt discounts and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Amortization of deferred commissions costs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early on extinguishment of debt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Loss on derivative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Equity-based compensation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Paid-in-kind (PIK) accrued interest</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Provision for bad debt expense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Deferred costs and other assets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Related party receivable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Unearned revenue</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9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32.0</w:t>
            </w:r>
          </w:p>
        </w:tc>
      </w:tr>
      <w:tr>
        <w:trPr>
          <w:trHeight w:val="156"/>
        </w:trPr>
        <w:tc>
          <w:tcPr>
            <w:tcW w:w="8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 and 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Software development expenditures</w:t>
            </w:r>
          </w:p>
        </w:tc>
        <w:tc>
          <w:tcPr>
            <w:tcW w:w="9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156"/>
        </w:trPr>
        <w:tc>
          <w:tcPr>
            <w:tcW w:w="8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long-term debt</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1,220.8</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67.3</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debt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Repurchase outstanding equity / member units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equity offering, net of transaction costs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Payments of deferred consideration</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727.9</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156"/>
        </w:trPr>
        <w:tc>
          <w:tcPr>
            <w:tcW w:w="8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cast at end of year</w:t>
            </w: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r>
      <w:tr>
        <w:trPr>
          <w:trHeight w:val="149"/>
        </w:trPr>
        <w:tc>
          <w:tcPr>
            <w:tcW w:w="8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 paid in cash:</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162"/>
        </w:trPr>
        <w:tc>
          <w:tcPr>
            <w:tcW w:w="8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Deferred variable consideration from acquisition of a business</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ectPr>
          <w:pgSz w:w="11900" w:h="16838" w:orient="portrait"/>
          <w:cols w:equalWidth="0" w:num="1">
            <w:col w:w="11420"/>
          </w:cols>
          <w:pgMar w:left="240" w:top="500" w:right="239" w:bottom="798"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F- 32</w:t>
      </w:r>
    </w:p>
    <w:p>
      <w:pPr>
        <w:sectPr>
          <w:pgSz w:w="11900" w:h="16838" w:orient="portrait"/>
          <w:cols w:equalWidth="0" w:num="1">
            <w:col w:w="11420"/>
          </w:cols>
          <w:pgMar w:left="240" w:top="500" w:right="239" w:bottom="798" w:gutter="0" w:footer="0" w:header="0"/>
          <w:type w:val="continuous"/>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DiscoverOrg Holdings, LLC (together with its subsidiaries, “DiscoverOrg” or the “Company”) provides a go-to-market intelligence platform for sales and marketing teams. Our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headquarters are located in Vancouver, WA and we operate in seven offices throughout the US, one office in Russia and one office in Israel.</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began operations in 2007 through a predecessor entity then called DiscoverOrg LLC and were incorporated in Delaware in 2014 as a limited liability company. The Company is comprised of two limited liability companies that are treated as partnerships for tax purposes, 10 limited liability companies that are single member entities and disregarded for tax purposes, two corporations, and two foreign entities.</w:t>
      </w:r>
    </w:p>
    <w:p>
      <w:pPr>
        <w:spacing w:after="0" w:line="123" w:lineRule="exact"/>
        <w:rPr>
          <w:sz w:val="20"/>
          <w:szCs w:val="20"/>
          <w:color w:val="auto"/>
        </w:rPr>
      </w:pPr>
    </w:p>
    <w:p>
      <w:pPr>
        <w:ind w:right="540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all majority-owned subsidiaries. The unaudited condensed consolidated financial statements of the Company have been prepared in accordance with U.S. generally accepted accounting principles ("GAAP") for interim financial information and pursuant to the rules and regulations of the Securities and Exchange Commission. Accordingly, these interim financial statements do not include all of the information and footnotes required by GAAP for complete financial statements. All intercompany transactions and balances have been eliminated in consolidation.</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condensed consolidated balance sheet as of December 31, 2016 has been derived from the audited financial statements at that date but does not include all of the disclosures required by GAAP. In the opinion of the Company's management, the financial statements reflect all adjustments, consisting only of a normal recurring nature, necessary to present fairly the Company's financial position at September 30, 2019 and December 31, 2018, the results of its operations for the nine months ended September 30, 2019 and 2018, its comprehensive loss for the nine months ended September 30, 2019 and 2018, its changes in members' deficit for the nine months ended September 30, 2019 and 2018, and its cash flows for the nine months ended September 30, 2019 and 2018.</w:t>
      </w:r>
    </w:p>
    <w:p>
      <w:pPr>
        <w:spacing w:after="0" w:line="1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condensed consolidated financial statements as of September 30, 2019 and December 31, 2018 and for the nine months ended September 30, 2019 and 2018 are unaudited. Certain notes and other information have been condensed or omitted from the interim financial statements presented in this report. Therefore, these interim condensed consolidated financial statements should be read in conjunction with the consolidated financial statements for the year ended December 31, 2018 and related notes thereto included elsewhere in this prospectus. The results for the nine months ended September 30, 2019 and 2018 are not necessarily indicative of the operating results to be expected for the full fiscal year or any future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351"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or records that can be accessed. Our subscriptions contracts typically have a term of 1 to 3 years and are non-cancellable. We typically bill for services quarterly or annually in advance of delivery.</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 effective January 1, 2018, using the full retrospective method of adoption as if the adoption occurred on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2017. As such, the consolidated financial statements present revenue in accordance with Topic 606 for all the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Topic 606. The Company estimates these amounts based on historical experience and reduces revenue recognized.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measure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that are supported by little or no market activity, including our own assumptions in determining fair value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554"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and accounts receivable. Our cash accounts are maintained at various high credit quality financial institutions and may exceed federally insured limits. We have not experienced any losses in such accounts.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client accounted for 10% or more of our revenue or accounts receivable for the year ended December 31,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The Company also has an outstanding receivable from a predecessor entity that is a current member of $0.2 million as of December 31, 2018. The Company does not have significant bad debt experience with customers, and therefore the allowance for doubtful accounts is immaterial.</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sales commissions earned by our sales force are considered incremental and recoverable costs of obtaining a contract with a customer. These sales commissions for initial contracts are capitalized and included in deferred costs and other assets. Deferred sales commissions are amortized on a straight-line basis over the estimated period of benefit from the customer relationship that we have determined to be three years. We determined the period of benefit by taking into consideration our customer contracts, our technology, and other factors. Amortization expense is included in Sales and marketing expense on the Consolidated statement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commissions are not capitalized as they do not represent incremental costs of obtaining a contract. Such commissions are expensed as incurred.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20"/>
          </w:cols>
          <w:pgMar w:left="240" w:top="554"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expenses advertising costs as incurred in accordance with ASC 720-35, Other Expenses - Advertising Cost.” Advertising expenses of $6.9 million and $1.9 million for the nine months ended September 30, 2019 and September 30, 2018, respectively, are included in sales and marketing on the Consolidated statement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 Related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553"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5). Acquired intangible assets are amortized on a straight-line basis over the estimated period over which we expect to realize economic value related to the intangible asset. The amortization periods range from 2 years to 15 years.</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Indefinite 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an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 was recorded for the nine months ended September 30, 2019 or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we determine that there has been a substantial modification of the related debt. If we determine that there has not been a substantial modification of the related debt, any previously capitalized debt issuance costs are amortized as interest expense over the term of the new debt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DiscoverOrg is comprised of two limited liability companies that are treated as partnerships for tax purposes, 10 limited liability companies that are single member entities and disregarded for tax purposes, two U.S. corporations and two foreign entities.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DiscoverOrg is responsible for making payments directly to the relevant tax authority.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F- 37</w:t>
      </w:r>
    </w:p>
    <w:p>
      <w:pPr>
        <w:sectPr>
          <w:pgSz w:w="11900" w:h="16838" w:orient="portrait"/>
          <w:cols w:equalWidth="0" w:num="1">
            <w:col w:w="11420"/>
          </w:cols>
          <w:pgMar w:left="240" w:top="554"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on January 1, 2019, the Company measured the fair value of stock-based awards granted to non-employees in accordance with ASC 505-50-25, “Equity Based Payments to Non-Employees,” which required the measurement and recognition of compensation expense for all equity-based payment awards made to non-employees based on 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553"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and International Accounting Standards Board (“IASB”) jointly issued a new revenue recognition standard,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606, that is designed to improve financial reporting by creating a common recognition guidance for GAAP. Subsequently, the FASB and IASB issued several amendments, which, along with the initial issuance, are collectively referred to herein as ASC 606. This guidance provides a framework for addressing revenue issues, improves comparability of revenue recognition practices across industries, provides useful information to users of financial statements through expanded disclosure requirements, and simplifies the presentation of financial statements. The core principle of the guidance is that an entity should recognize revenue to depict the transfer of promised services to customers in an amount that reflects the consideration to which the entity expects to be entitled in exchange for those services.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 2018, DiscoverOrg adopted ASC 606, using the full retrospective method. Results for all reporting periods have been adjusted to reflect the impact of ASC 606. In adopting the guidance, we applied the guidance to all customer contracts and used several available practical expedients, including ignoring the impact of contracts that began and were completed within a single annual reporting period and reflecting the aggregate effect of modifications to contracts that occurred prior to the earliest annual reporting period, as well as ongoing practical expedients including assessing contracts with similar terms and conditions on a “portfolio” basis.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 xml:space="preserve"> (“ASU 2017- 04”). The new standard simplifies how an entity measures goodwill impairment by removing the second step of the two-step quantitative goodwill impairment test. An entity will no longer perform a hypothetical purchase price allocation to measure goodwill impairment. Instead, impairment will be measured at the amount by which the carrying value exceeds the fair value of a reporting unit; however, the loss recognized should not exceed the total amount of goodwill allocated to that reporting unit. An entity still has the option to perform a qualitative assessment of whether it is more-likely-than-not that a reporting unit’s fair value is less than its carrying amount. ASU 2017-04 requires prospective adoption and is effective for the annual or any interim goodwill impairment tests in fiscal years beginning after December 15, 2019, with early adoption permitted. The Company adopted ASU 2017-04 effective January 1, 2018. The adoption of this standard did not impact the consolidated financial statements.</w:t>
      </w:r>
    </w:p>
    <w:p>
      <w:pPr>
        <w:spacing w:after="0" w:line="1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The Company adopted Topic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property leases, the Company will not separate lease components from nonlease components. The Company will not elect the hindsight practical expedient permitted under the transition guidance within the new lease standard. The Company recognized a right-of-use asset of $9.2 million and a lease liability of $12.7 million upon adoption of this new guidance, largely pertaining to our headquarter office lease.</w:t>
      </w:r>
    </w:p>
    <w:p>
      <w:pPr>
        <w:spacing w:after="0" w:line="11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This update expands the scope of Topic 718, “Compensation - Stock Compensation,” to include equity-based awards granted to non-employees in 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553"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at the adoption date fair value as a substitute for grant date fair value. There was no impact to the consolidated financial statements upon adoption.</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(“ASU 2018-15”) 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Update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comprised the following service offerings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intelligence tools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Email verification service</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103.5</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554" w:right="239" w:bottom="1440" w:gutter="0" w:footer="0" w:header="0"/>
        </w:sectPr>
      </w:pPr>
    </w:p>
    <w:bookmarkStart w:id="223" w:name="page224"/>
    <w:bookmarkEnd w:id="22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Of the total revenue recognized in the nine months ended September 30, 2019 and 2018, $37.8 million and $32.8 million was included in the unearned revenue balance as of December 31, 2018 and 2017, respectively. Revenue recognized from performance obligations satisfied (or partially satisfied) in previous periods were not material.</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by geography is determined based on the domicile of the DiscoverOrg contracting entity. All customer contracts are with our U.S. entities, therefore 100% of our revenue is designated as U.S. revenue. Due to the SaaS-based nature of our service, it is possible that some of our customers use the service outside of the U.S. We estimate that less than 10% of our customers are located outside of the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and December 31, 2018, the Company had contract assets of $0.4 million and $1.1 million, which are recorded as current assets within Prepaid expenses and other current assets in the consolidated balance sheets. As of September 30, 2019 and December 31, 2018, the Company had unearned revenue of $129.2 million and $48.2 million, respectively.</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Current</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Noncurrent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 of September 30, 2019</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218.3</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59.2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277.5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ZI</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date fair value of the consideration paid by the Company for Pre-Acquisition ZI was $760.1 million, including cash acquired of $10.9 million, and was comprised of the following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2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Liability for equity award settlement</w:t>
            </w:r>
          </w:p>
        </w:tc>
        <w:tc>
          <w:tcPr>
            <w:tcW w:w="27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76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Portion of replacement equity awards attributable to pre-acquisition service</w:t>
            </w:r>
          </w:p>
        </w:tc>
        <w:tc>
          <w:tcPr>
            <w:tcW w:w="2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purchase consideration liabilities</w:t>
            </w:r>
          </w:p>
        </w:tc>
        <w:tc>
          <w:tcPr>
            <w:tcW w:w="27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76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w:t>
            </w:r>
          </w:p>
        </w:tc>
        <w:tc>
          <w:tcPr>
            <w:tcW w:w="2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Total purchase consideration</w:t>
            </w: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760.1</w:t>
            </w:r>
          </w:p>
        </w:tc>
      </w:tr>
    </w:tbl>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purchase agreement, the Company will pay deferred consideration of $25.0 million and $10.0 million on the 1st and 2nd anniversary of the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40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0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6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4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0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6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51"/>
        </w:trPr>
        <w:tc>
          <w:tcPr>
            <w:tcW w:w="648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554" w:right="239" w:bottom="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322.0</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w:t>
            </w:r>
          </w:p>
        </w:tc>
      </w:tr>
      <w:tr>
        <w:trPr>
          <w:trHeight w:val="243"/>
        </w:trPr>
        <w:tc>
          <w:tcPr>
            <w:tcW w:w="9820" w:type="dxa"/>
            <w:vAlign w:val="bottom"/>
          </w:tcPr>
          <w:p>
            <w:pPr>
              <w:ind w:left="50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497.6</w:t>
            </w: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consideration</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w:t>
            </w:r>
          </w:p>
        </w:tc>
      </w:tr>
      <w:tr>
        <w:trPr>
          <w:trHeight w:val="237"/>
        </w:trPr>
        <w:tc>
          <w:tcPr>
            <w:tcW w:w="9820" w:type="dxa"/>
            <w:vAlign w:val="bottom"/>
          </w:tcPr>
          <w:p>
            <w:pPr>
              <w:ind w:left="500"/>
              <w:spacing w:after="0"/>
              <w:rPr>
                <w:sz w:val="20"/>
                <w:szCs w:val="20"/>
                <w:color w:val="auto"/>
              </w:rPr>
            </w:pPr>
            <w:r>
              <w:rPr>
                <w:rFonts w:ascii="Arial" w:cs="Arial" w:eastAsia="Arial" w:hAnsi="Arial"/>
                <w:sz w:val="18"/>
                <w:szCs w:val="18"/>
                <w:color w:val="auto"/>
              </w:rPr>
              <w:t>Deferred consideration</w:t>
            </w: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acquired</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716.0</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 The initial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420"/>
          </w:cols>
          <w:pgMar w:left="240" w:top="140"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for the Pre-Acquisition ZI business combination is incomplete at this time and the fair values of assets acquired and liabilities assumed may be subject to change as additional information is received.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acquired unearned revenue was $35.6 million which differs from the unearned revenue recorded by Pre-Acquisition ZI immediately prior to the acquisition of $68.3 million. The acquired unearned revenue, net of the $32.7 million fair value adjustment, will be recognized as revenue ratably over a period of approximately one year, which represents the period the related contracted services will be provided.</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agreed with the sellers of Pre-Acquisition ZI to put a Cash Vesting Payment Program in place for employees that held unvested options as of the acquisition date, after giving effect to the acquisition and any vesting that resulted from the acquisition. Under the Cash Vesting Payment Program, we agreed to make payments to employees in the amount of the value that they would have received, had their options been vested at the time of the acquisition. Payments will be made to employees that continue their employment with us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acquisition date, the potential value of future payments under the Cash Vesting Payment Program was $23.1 million and would be paid to employees through 2022, assuming continued employment for each employee.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 portfolio</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15.0 years</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amounts of Pre-Acquisition ZI’s revenue and earnings included in our consolidated results of operations for the nine months ended September 30,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revenue and earnings of the combined entity had the acquisition date been January 1, 2018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0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85"/>
              </w:rPr>
              <w:t>Revenue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99"/>
              <w:spacing w:after="0"/>
              <w:rPr>
                <w:sz w:val="20"/>
                <w:szCs w:val="20"/>
                <w:color w:val="auto"/>
              </w:rPr>
            </w:pPr>
            <w:r>
              <w:rPr>
                <w:rFonts w:ascii="Arial" w:cs="Arial" w:eastAsia="Arial" w:hAnsi="Arial"/>
                <w:sz w:val="14"/>
                <w:szCs w:val="14"/>
                <w:b w:val="1"/>
                <w:bCs w:val="1"/>
                <w:color w:val="auto"/>
              </w:rPr>
              <w:t>Loss Before Income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pro forma from January 1, 2019 to September 30, 2019</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Supplemental pro forma from January 1, 2018 to September 30, 2018</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139.7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621"/>
        </w:trPr>
        <w:tc>
          <w:tcPr>
            <w:tcW w:w="9180" w:type="dxa"/>
            <w:vAlign w:val="bottom"/>
            <w:gridSpan w:val="2"/>
          </w:tcPr>
          <w:p>
            <w:pPr>
              <w:ind w:left="5520"/>
              <w:spacing w:after="0"/>
              <w:rPr>
                <w:sz w:val="20"/>
                <w:szCs w:val="20"/>
                <w:color w:val="auto"/>
              </w:rPr>
            </w:pPr>
            <w:r>
              <w:rPr>
                <w:rFonts w:ascii="Arial" w:cs="Arial" w:eastAsia="Arial" w:hAnsi="Arial"/>
                <w:sz w:val="18"/>
                <w:szCs w:val="18"/>
                <w:color w:val="auto"/>
              </w:rPr>
              <w:t>F- 42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information above is adjusted for the amortization of unearned revenue fair value adjustments, acquired tangible and intangible assets, interest expense, and $9.2 million of transaction costs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NeverBounce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Contingent Earnout Payments</w:t>
            </w: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8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Consideration</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9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the contingent earnout payments was determined based on management’s estimate of probability-weighted future payments. The total amount of potential contingent payments could be $2.0 million. As of September 30, 2019, $0.4 million had been paid against the contingent earnout payments and the remaining potential future contingent payments could be $1.6 million if all performance criteria are met.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Brand portfolio</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&amp; unearned revenue</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identifiable net assets acquired</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Total consideration, net of cash acquired</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excess of purchase consideration over the fair value of the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The following table sets forth the components of identifiable intangible assets acquired and the estimated useful lives as of the date of acquisition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 portfolio</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8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7"/>
        </w:trPr>
        <w:tc>
          <w:tcPr>
            <w:tcW w:w="8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Developed technology represents the fair value of the NeverBounce technology. Customer relationships represent the fair values of the underlying relationships with NeverBounce customers. The goodwill balance is primarily attributed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553"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assembled workforce and the expanded market opportunities when integrating NeverBounce’s technology with DiscoverOrg’s technology. The goodwill balance is expected to be deductible for U.S.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240" w:type="dxa"/>
            <w:vAlign w:val="bottom"/>
          </w:tcPr>
          <w:p>
            <w:pPr>
              <w:jc w:val="right"/>
              <w:ind w:right="294"/>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8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Internal use developed software</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was $1.6 million and $0.7 million for the nine months ended September 30, 2019 and September 30,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 September 30, 2019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Net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238.7</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Brand portfolio</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intangible assets subject to amortization</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Pre-Acquisition ZI brand portfolio</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expense was $32.5 million and $10.9 million for the nine months ended September 30, 2019 and September 30, 2018,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changes to the Company’s goodwill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5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445.7</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Acquisition</w:t>
            </w:r>
          </w:p>
        </w:tc>
        <w:tc>
          <w:tcPr>
            <w:tcW w:w="65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497.6</w:t>
            </w:r>
          </w:p>
        </w:tc>
      </w:tr>
      <w:tr>
        <w:trPr>
          <w:trHeight w:val="27"/>
        </w:trPr>
        <w:tc>
          <w:tcPr>
            <w:tcW w:w="39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5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r>
      <w:tr>
        <w:trPr>
          <w:trHeight w:val="20"/>
        </w:trPr>
        <w:tc>
          <w:tcPr>
            <w:tcW w:w="39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1"/>
        </w:trPr>
        <w:tc>
          <w:tcPr>
            <w:tcW w:w="3900" w:type="dxa"/>
            <w:vAlign w:val="bottom"/>
          </w:tcPr>
          <w:p>
            <w:pPr>
              <w:spacing w:after="0"/>
              <w:rPr>
                <w:sz w:val="24"/>
                <w:szCs w:val="24"/>
                <w:color w:val="auto"/>
              </w:rPr>
            </w:pPr>
          </w:p>
        </w:tc>
        <w:tc>
          <w:tcPr>
            <w:tcW w:w="6520" w:type="dxa"/>
            <w:vAlign w:val="bottom"/>
            <w:gridSpan w:val="2"/>
          </w:tcPr>
          <w:p>
            <w:pPr>
              <w:jc w:val="right"/>
              <w:ind w:right="4430"/>
              <w:spacing w:after="0"/>
              <w:rPr>
                <w:sz w:val="20"/>
                <w:szCs w:val="20"/>
                <w:color w:val="auto"/>
              </w:rPr>
            </w:pPr>
            <w:r>
              <w:rPr>
                <w:rFonts w:ascii="Arial" w:cs="Arial" w:eastAsia="Arial" w:hAnsi="Arial"/>
                <w:sz w:val="18"/>
                <w:szCs w:val="18"/>
                <w:color w:val="auto"/>
              </w:rPr>
              <w:t>F- 44</w:t>
            </w: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54" w:right="239" w:bottom="1440" w:gutter="0" w:footer="0" w:header="0"/>
        </w:sectPr>
      </w:pPr>
    </w:p>
    <w:bookmarkStart w:id="228" w:name="page229"/>
    <w:bookmarkEnd w:id="228"/>
    <w:p>
      <w:pPr>
        <w:ind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nine months ended September 30, 2019 or September 31, 2018.</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F- 45</w:t>
      </w:r>
    </w:p>
    <w:p>
      <w:pPr>
        <w:sectPr>
          <w:pgSz w:w="11900" w:h="16838" w:orient="portrait"/>
          <w:cols w:equalWidth="0" w:num="1">
            <w:col w:w="11420"/>
          </w:cols>
          <w:pgMar w:left="240" w:top="342"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the acquisition of Pre-Acquisition ZI on February 1, 2019, DiscoverOrg raised $965 million of first lien debt (including a $100 million undrawn revolving credit facility), $370 million of second lien of second lien debt, and issued $207 million of Series A Preferred equity interests. In addition to funding the purchase of Pre-Acquisition ZI, the proceeds were using to repay the Antares First Lien Term Loan, the Goldman Second Lien Term Loan, and the Subordinated Loan described below.</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Any outstanding borrowings under the revolving credit facility must be repaid by February 1, 2024. The first lien borrowings are to be repaid quarterly in the amount of $2.2 million with the final payment due on February 1, 2026. Under certain circumstances, the Company will owe a prepayment penalty of 1%, if we repay the loans before August 1, 2019.</w:t>
      </w:r>
    </w:p>
    <w:p>
      <w:pPr>
        <w:spacing w:after="0" w:line="11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second lien debt has a variable interest rate whereby the Company can elect to use a Base Rate or LIBOR plus an applicable rate. The applicable rate is 7.5% for Base Rate loans or 8.5% for LIBOR Based Loans. The second lien borrowings must be repaid on February 1, 2027. Under certain conditions, the Company will owe a prepayment penalty 2% or 1%, if we repay the loans before February 1, 2020 or February 1, 2021, respectively.</w:t>
      </w:r>
    </w:p>
    <w:p>
      <w:pPr>
        <w:spacing w:after="0" w:line="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preferred equity has preference with respect to cash flows generated by DiscoverOrg and will receive proceeds from future distributions on a preferential basis for the value of the preferred plus an annual rate of 15%.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the carrying values of the Company’s borrowings were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12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2019 Elected Interest Rate</w:t>
            </w:r>
          </w:p>
        </w:tc>
        <w:tc>
          <w:tcPr>
            <w:tcW w:w="100" w:type="dxa"/>
            <w:vAlign w:val="bottom"/>
            <w:vMerge w:val="restart"/>
          </w:tcPr>
          <w:p>
            <w:pPr>
              <w:spacing w:after="0"/>
              <w:rPr>
                <w:sz w:val="14"/>
                <w:szCs w:val="14"/>
                <w:color w:val="auto"/>
              </w:rPr>
            </w:pPr>
          </w:p>
        </w:tc>
        <w:tc>
          <w:tcPr>
            <w:tcW w:w="14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September 30, 2019</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Lien Term Loan</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1, 2019</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1, 2026</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First Lien Revolver</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1, 2019</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1,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Second Lien Term Loan</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1, 2019</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1, 2027</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+ 8.5%</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 Carrying Value of Debt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 Long Term Debt</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1,195.6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principal payments for all borrowings as of September 30, 2019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Contractual Maturity</w:t>
            </w:r>
          </w:p>
        </w:tc>
        <w:tc>
          <w:tcPr>
            <w:tcW w:w="100" w:type="dxa"/>
            <w:vAlign w:val="bottom"/>
            <w:vMerge w:val="restart"/>
          </w:tcPr>
          <w:p>
            <w:pPr>
              <w:spacing w:after="0"/>
              <w:rPr>
                <w:sz w:val="14"/>
                <w:szCs w:val="14"/>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Discounts and Issuance</w:t>
            </w:r>
          </w:p>
        </w:tc>
        <w:tc>
          <w:tcPr>
            <w:tcW w:w="260" w:type="dxa"/>
            <w:vAlign w:val="bottom"/>
          </w:tcPr>
          <w:p>
            <w:pPr>
              <w:spacing w:after="0"/>
              <w:rPr>
                <w:sz w:val="14"/>
                <w:szCs w:val="14"/>
                <w:color w:val="auto"/>
              </w:rPr>
            </w:pPr>
          </w:p>
        </w:tc>
        <w:tc>
          <w:tcPr>
            <w:tcW w:w="13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w:t>
            </w:r>
          </w:p>
        </w:tc>
        <w:tc>
          <w:tcPr>
            <w:tcW w:w="1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920" w:type="dxa"/>
            <w:vAlign w:val="bottom"/>
          </w:tcPr>
          <w:p>
            <w:pPr>
              <w:ind w:left="460"/>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2021</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920" w:type="dxa"/>
            <w:vAlign w:val="bottom"/>
          </w:tcPr>
          <w:p>
            <w:pPr>
              <w:ind w:left="46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2023</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920" w:type="dxa"/>
            <w:vAlign w:val="bottom"/>
          </w:tcPr>
          <w:p>
            <w:pPr>
              <w:ind w:left="460"/>
              <w:spacing w:after="0"/>
              <w:rPr>
                <w:sz w:val="20"/>
                <w:szCs w:val="20"/>
                <w:color w:val="auto"/>
              </w:rPr>
            </w:pPr>
            <w:r>
              <w:rPr>
                <w:rFonts w:ascii="Arial" w:cs="Arial" w:eastAsia="Arial" w:hAnsi="Arial"/>
                <w:sz w:val="18"/>
                <w:szCs w:val="18"/>
                <w:color w:val="auto"/>
              </w:rPr>
              <w:t>Thereafter</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1,193.9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F- 46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 2019, the borrowings under the first lien and second lien term loans described above were used to purchase Pre-Acquisition ZI and repay the existing financing arrangements described below. As of September 30, 2018, the carrying values of the Company’s borrowings were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12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2018 Elected Interest Rate</w:t>
            </w:r>
          </w:p>
        </w:tc>
        <w:tc>
          <w:tcPr>
            <w:tcW w:w="100" w:type="dxa"/>
            <w:vAlign w:val="bottom"/>
            <w:vMerge w:val="restart"/>
          </w:tcPr>
          <w:p>
            <w:pPr>
              <w:spacing w:after="0"/>
              <w:rPr>
                <w:sz w:val="14"/>
                <w:szCs w:val="14"/>
                <w:color w:val="auto"/>
              </w:rPr>
            </w:pPr>
          </w:p>
        </w:tc>
        <w:tc>
          <w:tcPr>
            <w:tcW w:w="14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Antares First Lien Term Loan</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2017</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August 2023</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Goldman Second Lien Term Loan</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2016</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+ 8.5%</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Subordinated Term Loan</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September 2017</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2024</w:t>
            </w: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LIBOR + 12.5%</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 Carrying Value of Debt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 Long Term Debt</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Antares First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our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requires the Company to make certain payments on the outstanding loan balances if it has generated excess cash flows as defined by the credit agreement, beginning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Second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our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Loan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F- 47</w:t>
      </w:r>
    </w:p>
    <w:p>
      <w:pPr>
        <w:sectPr>
          <w:pgSz w:w="11900" w:h="16838" w:orient="portrait"/>
          <w:cols w:equalWidth="0" w:num="1">
            <w:col w:w="11420"/>
          </w:cols>
          <w:pgMar w:left="240" w:top="554"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changes in interest rates, primarily relating to changes in interest rates as a result of our term loans, which have variable interest rates. Consequently, from time to time, we may use interest rate swaps or other financial instruments to manage our exposure to interest rate movements. We do not enter into derivative transactions for speculative or trading purposes.</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2019, we entered into two separate interest rate swap agreements effectively converting $350 million of floating rate debt under our first lien credit facility to fixed rate obligations. In April 2019, we also entered into a $500 million interest rate cap. These agreements have been designated and qualify as cash flow hedging instruments and, as such, changes in the fair value are recorded in accumulated other comprehensive income (loss) on our consolidated balance sheets to the extent the agreements are effective hedges.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2019,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 Rate Derivatives</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Instruments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Aggregate</w:t>
            </w:r>
          </w:p>
        </w:tc>
        <w:tc>
          <w:tcPr>
            <w:tcW w:w="18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8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 contract</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One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5"/>
              </w:rPr>
              <w:t>April 30, 2024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Two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21"/>
                <w:szCs w:val="21"/>
                <w:color w:val="auto"/>
              </w:rPr>
            </w:pPr>
          </w:p>
        </w:tc>
        <w:tc>
          <w:tcPr>
            <w:tcW w:w="1820" w:type="dxa"/>
            <w:vAlign w:val="bottom"/>
          </w:tcPr>
          <w:p>
            <w:pPr>
              <w:ind w:left="740"/>
              <w:spacing w:after="0"/>
              <w:rPr>
                <w:sz w:val="20"/>
                <w:szCs w:val="20"/>
                <w:color w:val="auto"/>
              </w:rPr>
            </w:pPr>
            <w:r>
              <w:rPr>
                <w:rFonts w:ascii="Arial" w:cs="Arial" w:eastAsia="Arial" w:hAnsi="Arial"/>
                <w:sz w:val="18"/>
                <w:szCs w:val="18"/>
                <w:color w:val="auto"/>
                <w:w w:val="95"/>
              </w:rPr>
              <w:t>April 29, 2022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Sheets for derivatives as of September 30, 2019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5"/>
              </w:rPr>
              <w:t>Unrealized Gains (Losses)</w:t>
            </w:r>
          </w:p>
        </w:tc>
      </w:tr>
      <w:tr>
        <w:trPr>
          <w:trHeight w:val="149"/>
        </w:trPr>
        <w:tc>
          <w:tcPr>
            <w:tcW w:w="9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Recognized in Other</w:t>
            </w:r>
          </w:p>
        </w:tc>
      </w:tr>
      <w:tr>
        <w:trPr>
          <w:trHeight w:val="192"/>
        </w:trPr>
        <w:tc>
          <w:tcPr>
            <w:tcW w:w="9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Comprehensive Income</w:t>
            </w:r>
          </w:p>
        </w:tc>
      </w:tr>
      <w:tr>
        <w:trPr>
          <w:trHeight w:val="250"/>
        </w:trPr>
        <w:tc>
          <w:tcPr>
            <w:tcW w:w="9480" w:type="dxa"/>
            <w:vAlign w:val="bottom"/>
            <w:tcBorders>
              <w:bottom w:val="single" w:sz="8" w:color="auto"/>
            </w:tcBorders>
          </w:tcPr>
          <w:p>
            <w:pPr>
              <w:ind w:left="440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September 30, 2019</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9"/>
              <w:spacing w:after="0"/>
              <w:rPr>
                <w:sz w:val="20"/>
                <w:szCs w:val="20"/>
                <w:color w:val="auto"/>
              </w:rPr>
            </w:pPr>
            <w:r>
              <w:rPr>
                <w:rFonts w:ascii="Arial" w:cs="Arial" w:eastAsia="Arial" w:hAnsi="Arial"/>
                <w:sz w:val="18"/>
                <w:szCs w:val="18"/>
                <w:color w:val="auto"/>
              </w:rPr>
              <w:t>2.4</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w:t>
            </w:r>
          </w:p>
        </w:tc>
      </w:tr>
      <w:tr>
        <w:trPr>
          <w:trHeight w:val="25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7.1</w:t>
            </w: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period that the hedged item affects earnings, such as when interest payments are made on the Company’s variable-rate debt, we reclassify the related gain or loss on the interest rate swap cash flow hedges to interest expense. Any ineffectiveness in our hedging relationships would be recognized immediately in as interest expense.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Sales and use tax </w:t>
      </w:r>
      <w:r>
        <w:rPr>
          <w:rFonts w:ascii="Arial" w:cs="Arial" w:eastAsia="Arial" w:hAnsi="Arial"/>
          <w:sz w:val="18"/>
          <w:szCs w:val="18"/>
          <w:color w:val="auto"/>
        </w:rPr>
        <w:t>- The Company has conducted an assessment of sales and use tax exposure in states where the Company has established nexus.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this assessment, the Company has recorded a liability for taxes owed and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F- 48</w:t>
      </w:r>
    </w:p>
    <w:p>
      <w:pPr>
        <w:sectPr>
          <w:pgSz w:w="11900" w:h="16838" w:orient="portrait"/>
          <w:cols w:equalWidth="0" w:num="1">
            <w:col w:w="11420"/>
          </w:cols>
          <w:pgMar w:left="240" w:top="337"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Note 9 - Commitments and Contingencies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penalties and interest in the amount of $1.5 million and $1.0 million at September 30, 2019 and September 30, 2018, respectively. This liability is included in Accrued expenses and other current liabilities.</w:t>
      </w:r>
    </w:p>
    <w:p>
      <w:pPr>
        <w:spacing w:after="0" w:line="11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Contingent earnout payments </w:t>
      </w:r>
      <w:r>
        <w:rPr>
          <w:rFonts w:ascii="Arial" w:cs="Arial" w:eastAsia="Arial" w:hAnsi="Arial"/>
          <w:sz w:val="18"/>
          <w:szCs w:val="18"/>
          <w:color w:val="auto"/>
        </w:rPr>
        <w:t>- The Company is contingently committed to making additional payments of up to $1.6 million as part of our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NeverBounce. Refer to Note 4 - Business Combinations.</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Deferred acquisition related payments - </w:t>
      </w:r>
      <w:r>
        <w:rPr>
          <w:rFonts w:ascii="Arial" w:cs="Arial" w:eastAsia="Arial" w:hAnsi="Arial"/>
          <w:sz w:val="18"/>
          <w:szCs w:val="18"/>
          <w:color w:val="auto"/>
        </w:rPr>
        <w:t>In accordance with the purchase agreement, the Company will pay deferred consideration of $25.0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$10.0 million on the 1st and 2nd anniversary of the acquisition, respectively. Refer to Note 4 - Business Combinations.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Adoption of Accounting Standards Codification ("ASC") Topic 842, "Leases." </w:t>
      </w:r>
      <w:r>
        <w:rPr>
          <w:rFonts w:ascii="Arial" w:cs="Arial" w:eastAsia="Arial" w:hAnsi="Arial"/>
          <w:sz w:val="17"/>
          <w:szCs w:val="17"/>
          <w:color w:val="auto"/>
        </w:rPr>
        <w:t>The Company adopted Topic 842 on January 1, 2019, using the modified</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as we have elected the practical expedient to group lease and non-lease components for all real estate leases.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has subleases of former corporate offices. Subleases have remaining lease terms of 1 year to 4 years. Sublease income, which is recorded in other (income) expense, net, was immaterial for the nine ended September 30, 2019 and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additional details related to leases recorded on our balance sheet as of September 30, 2019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Leases</w:t>
            </w:r>
          </w:p>
        </w:tc>
        <w:tc>
          <w:tcPr>
            <w:tcW w:w="120" w:type="dxa"/>
            <w:vAlign w:val="bottom"/>
            <w:vMerge w:val="restart"/>
          </w:tcPr>
          <w:p>
            <w:pPr>
              <w:spacing w:after="0"/>
              <w:rPr>
                <w:sz w:val="14"/>
                <w:szCs w:val="14"/>
                <w:color w:val="auto"/>
              </w:rPr>
            </w:pPr>
          </w:p>
        </w:tc>
        <w:tc>
          <w:tcPr>
            <w:tcW w:w="240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37"/>
              <w:spacing w:after="0"/>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5"/>
              </w:rPr>
              <w:t>30, 2019 (Unaudited)</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 net</w:t>
            </w:r>
          </w:p>
        </w:tc>
        <w:tc>
          <w:tcPr>
            <w:tcW w:w="2500" w:type="dxa"/>
            <w:vAlign w:val="bottom"/>
            <w:gridSpan w:val="2"/>
          </w:tcPr>
          <w:p>
            <w:pPr>
              <w:jc w:val="right"/>
              <w:ind w:right="880"/>
              <w:spacing w:after="0"/>
              <w:rPr>
                <w:sz w:val="20"/>
                <w:szCs w:val="20"/>
                <w:color w:val="auto"/>
              </w:rPr>
            </w:pPr>
            <w:r>
              <w:rPr>
                <w:rFonts w:ascii="Arial" w:cs="Arial" w:eastAsia="Arial" w:hAnsi="Arial"/>
                <w:sz w:val="18"/>
                <w:szCs w:val="18"/>
                <w:color w:val="auto"/>
                <w:w w:val="86"/>
              </w:rPr>
              <w:t>Operating lease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250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6"/>
              </w:rPr>
              <w:t>Operating lease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500" w:type="dxa"/>
            <w:vAlign w:val="bottom"/>
            <w:gridSpan w:val="2"/>
          </w:tcPr>
          <w:p>
            <w:pPr>
              <w:jc w:val="right"/>
              <w:ind w:right="880"/>
              <w:spacing w:after="0"/>
              <w:rPr>
                <w:sz w:val="20"/>
                <w:szCs w:val="20"/>
                <w:color w:val="auto"/>
              </w:rPr>
            </w:pPr>
            <w:r>
              <w:rPr>
                <w:rFonts w:ascii="Arial" w:cs="Arial" w:eastAsia="Arial" w:hAnsi="Arial"/>
                <w:sz w:val="18"/>
                <w:szCs w:val="18"/>
                <w:color w:val="auto"/>
                <w:w w:val="86"/>
              </w:rPr>
              <w:t>Operating lease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$4.6 million and $1.4 million for the nine months ended September 30, 2019 and September 30, 2018,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F- 49</w:t>
      </w:r>
    </w:p>
    <w:p>
      <w:pPr>
        <w:sectPr>
          <w:pgSz w:w="11900" w:h="16838" w:orient="portrait"/>
          <w:cols w:equalWidth="0" w:num="1">
            <w:col w:w="11420"/>
          </w:cols>
          <w:pgMar w:left="240" w:top="553"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Note 10 - Leases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 (in millions)</w:t>
            </w:r>
          </w:p>
        </w:tc>
        <w:tc>
          <w:tcPr>
            <w:tcW w:w="10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18"/>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9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gridSpan w:val="4"/>
          </w:tcPr>
          <w:p>
            <w:pPr>
              <w:ind w:left="40"/>
              <w:spacing w:after="0"/>
              <w:rPr>
                <w:sz w:val="20"/>
                <w:szCs w:val="20"/>
                <w:color w:val="auto"/>
              </w:rPr>
            </w:pPr>
            <w:r>
              <w:rPr>
                <w:rFonts w:ascii="Arial" w:cs="Arial" w:eastAsia="Arial" w:hAnsi="Arial"/>
                <w:sz w:val="18"/>
                <w:szCs w:val="18"/>
                <w:color w:val="auto"/>
              </w:rPr>
              <w:t>From Zoom Information, Inc. acquisition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4"/>
        </w:trPr>
        <w:tc>
          <w:tcPr>
            <w:tcW w:w="9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58"/>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92"/>
        </w:trPr>
        <w:tc>
          <w:tcPr>
            <w:tcW w:w="96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24"/>
        </w:trPr>
        <w:tc>
          <w:tcPr>
            <w:tcW w:w="96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on the condensed consolidated balance sheets as of September 30, 2019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(excluded nine months ended September 30,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less effects of discounting</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1"/>
        </w:trPr>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Reported as of September 30, 2019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57"/>
        </w:trPr>
        <w:tc>
          <w:tcPr>
            <w:tcW w:w="9820" w:type="dxa"/>
            <w:vAlign w:val="bottom"/>
            <w:gridSpan w:val="2"/>
          </w:tcPr>
          <w:p>
            <w:pPr>
              <w:ind w:left="28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40.9</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 As of September 30, 2019, the present value of the operating lease liabilities that had not yet commenced was $2.3 million. Expense associated with short term leases and variable lease costs were immaterial for the 9 months ended September 30, 2019. The expense related to short-term leases reasonably reflects our short-term lease commitments.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F- 50</w:t>
      </w:r>
    </w:p>
    <w:p>
      <w:pPr>
        <w:sectPr>
          <w:pgSz w:w="11900" w:h="16838" w:orient="portrait"/>
          <w:cols w:equalWidth="0" w:num="1">
            <w:col w:w="11420"/>
          </w:cols>
          <w:pgMar w:left="240" w:top="554"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Note 11 - Members’ Deficit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Members’ Deficit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Class P units were reserved for use in equity incentive programs for employees, directors, and service providers.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2019, we entered into the Fourth Amended and Restated Limited Liability Company Agreement (the “LLC Agreement”). The LLC Agreement further established an additional class of membership units, Series A Preferred Units, and the rights and economics related to the Series A Preferred Units, Preferred Units, Common Units, and Class P Units. Series A Preferred Units of $207.0 million were issued for $200.2 million in February 2019.</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Class P units were subsequently granted to employees and directors directly in DiscoverOrg Holdings, LLC and through DiscoverOrg Management Holdings, LLC, which was granted units and subsequently granted units to employees. See Note 12 Equity-Based Compensation for additional detail with respect to granted units.</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ratably to all units, with Class P Units participating in distributions once other units have achieved a specified Return Threshold.</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2019, there were 207.0 million in Series A Preferred Units outstanding, 383.8 million Preferred Units outstanding, 976.3 million Common Units outstanding, and 59.9 million Class P Units outstanding. As of December 31, 2018, there were 383.8 million Preferred Units outstanding, 983.9 million Common Units outstanding, and 22.9 million Class P Units outstanding. Prior to the Carlyle Investment, the Company operated under the Amended and Restated Limited Liability Company Agreement (the “Prior LLC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Equity-Based Compensation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Class P Incentive Units </w:t>
      </w:r>
      <w:r>
        <w:rPr>
          <w:rFonts w:ascii="Arial" w:cs="Arial" w:eastAsia="Arial" w:hAnsi="Arial"/>
          <w:sz w:val="17"/>
          <w:szCs w:val="17"/>
          <w:color w:val="auto"/>
        </w:rPr>
        <w:t>- Class P units under the Company’s current LLC Agreement and the Class C units under the Company’s Prior LLC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converted to Common Units (collectively with Management Holdings Class P Units described below, the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Incentive Units to employees of the Company. Through this newly formed upper tier entity, Class P Units are issued by Management Holdings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These Class P Incentive Units are subject to a time-based vesting condition. The service vesting condition is generally over four years with 50% vesting on the two year anniversary of the grant date of the award and the remainder vesting monthly thereafter. The fair value of each grant was estimated on the date of grant using the Black-Scholes option pricing model with the following assumption ranges and fair value per unit: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5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480" w:type="dxa"/>
            <w:vAlign w:val="bottom"/>
          </w:tcPr>
          <w:p>
            <w:pPr>
              <w:spacing w:after="0"/>
              <w:rPr>
                <w:sz w:val="22"/>
                <w:szCs w:val="22"/>
                <w:color w:val="auto"/>
              </w:rPr>
            </w:pPr>
          </w:p>
        </w:tc>
        <w:tc>
          <w:tcPr>
            <w:tcW w:w="6540" w:type="dxa"/>
            <w:vAlign w:val="bottom"/>
            <w:gridSpan w:val="3"/>
          </w:tcPr>
          <w:p>
            <w:pPr>
              <w:ind w:left="5120"/>
              <w:spacing w:after="0"/>
              <w:rPr>
                <w:sz w:val="20"/>
                <w:szCs w:val="20"/>
                <w:color w:val="auto"/>
              </w:rPr>
            </w:pPr>
            <w:r>
              <w:rPr>
                <w:rFonts w:ascii="Arial" w:cs="Arial" w:eastAsia="Arial" w:hAnsi="Arial"/>
                <w:sz w:val="14"/>
                <w:szCs w:val="14"/>
                <w:b w:val="1"/>
                <w:bCs w:val="1"/>
                <w:color w:val="auto"/>
              </w:rPr>
              <w:t>2019</w:t>
            </w:r>
          </w:p>
        </w:tc>
        <w:tc>
          <w:tcPr>
            <w:tcW w:w="14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2018</w:t>
            </w:r>
          </w:p>
        </w:tc>
      </w:tr>
      <w:tr>
        <w:trPr>
          <w:trHeight w:val="250"/>
        </w:trPr>
        <w:tc>
          <w:tcPr>
            <w:tcW w:w="348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ind w:left="600"/>
              <w:spacing w:after="0"/>
              <w:rPr>
                <w:sz w:val="20"/>
                <w:szCs w:val="20"/>
                <w:color w:val="auto"/>
              </w:rPr>
            </w:pPr>
            <w:r>
              <w:rPr>
                <w:rFonts w:ascii="Arial" w:cs="Arial" w:eastAsia="Arial" w:hAnsi="Arial"/>
                <w:sz w:val="14"/>
                <w:szCs w:val="14"/>
                <w:b w:val="1"/>
                <w:bCs w:val="1"/>
                <w:color w:val="auto"/>
                <w:w w:val="92"/>
              </w:rPr>
              <w:t>(Unaudited)</w:t>
            </w:r>
          </w:p>
        </w:tc>
        <w:tc>
          <w:tcPr>
            <w:tcW w:w="5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5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5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- 46%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- 41%</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4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1"/>
                <w:szCs w:val="11"/>
                <w:color w:val="auto"/>
              </w:rPr>
              <w:t>(A)</w:t>
            </w: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color w:val="auto"/>
                <w:w w:val="84"/>
              </w:rPr>
              <w:t>4 years</w:t>
            </w:r>
          </w:p>
        </w:tc>
      </w:tr>
      <w:tr>
        <w:trPr>
          <w:trHeight w:val="27"/>
        </w:trPr>
        <w:tc>
          <w:tcPr>
            <w:tcW w:w="34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5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- 2.49%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2.49%</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- 2.82%</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Fair Value per Unit</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340" w:type="dxa"/>
            <w:vAlign w:val="bottom"/>
          </w:tcPr>
          <w:p>
            <w:pPr>
              <w:ind w:left="40"/>
              <w:spacing w:after="0"/>
              <w:rPr>
                <w:sz w:val="20"/>
                <w:szCs w:val="20"/>
                <w:color w:val="auto"/>
              </w:rPr>
            </w:pPr>
            <w:r>
              <w:rPr>
                <w:rFonts w:ascii="Arial" w:cs="Arial" w:eastAsia="Arial" w:hAnsi="Arial"/>
                <w:sz w:val="18"/>
                <w:szCs w:val="18"/>
                <w:color w:val="auto"/>
              </w:rPr>
              <w:t>- $3.00</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900" w:type="dxa"/>
            <w:vAlign w:val="bottom"/>
          </w:tcPr>
          <w:p>
            <w:pPr>
              <w:ind w:left="20"/>
              <w:spacing w:after="0"/>
              <w:rPr>
                <w:sz w:val="20"/>
                <w:szCs w:val="20"/>
                <w:color w:val="auto"/>
              </w:rPr>
            </w:pPr>
            <w:r>
              <w:rPr>
                <w:rFonts w:ascii="Arial" w:cs="Arial" w:eastAsia="Arial" w:hAnsi="Arial"/>
                <w:sz w:val="18"/>
                <w:szCs w:val="18"/>
                <w:color w:val="auto"/>
              </w:rPr>
              <w:t>- $1.30</w:t>
            </w:r>
          </w:p>
        </w:tc>
      </w:tr>
      <w:tr>
        <w:trPr>
          <w:trHeight w:val="459"/>
        </w:trPr>
        <w:tc>
          <w:tcPr>
            <w:tcW w:w="3480" w:type="dxa"/>
            <w:vAlign w:val="bottom"/>
          </w:tcPr>
          <w:p>
            <w:pPr>
              <w:spacing w:after="0"/>
              <w:rPr>
                <w:sz w:val="24"/>
                <w:szCs w:val="24"/>
                <w:color w:val="auto"/>
              </w:rPr>
            </w:pPr>
          </w:p>
        </w:tc>
        <w:tc>
          <w:tcPr>
            <w:tcW w:w="5200" w:type="dxa"/>
            <w:vAlign w:val="bottom"/>
            <w:gridSpan w:val="2"/>
          </w:tcPr>
          <w:p>
            <w:pPr>
              <w:jc w:val="right"/>
              <w:ind w:right="2708"/>
              <w:spacing w:after="0"/>
              <w:rPr>
                <w:sz w:val="20"/>
                <w:szCs w:val="20"/>
                <w:color w:val="auto"/>
              </w:rPr>
            </w:pPr>
            <w:r>
              <w:rPr>
                <w:rFonts w:ascii="Arial" w:cs="Arial" w:eastAsia="Arial" w:hAnsi="Arial"/>
                <w:sz w:val="18"/>
                <w:szCs w:val="18"/>
                <w:color w:val="auto"/>
              </w:rPr>
              <w:t>F- 51</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Note 12 - Equity-Based Compensation (continued)</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76" w:lineRule="auto"/>
        <w:tabs>
          <w:tab w:leader="none" w:pos="34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During the period, 1 - 4 years were used as an estimated time until a liquidation event and 11% - 25% of marketability discount was used for common units, depending on an IPO or non-IPO scenarios. As of June 30, 2019, a 20% weight was applied to an IPO scenario, respectively.</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 As of September 30, 2019, the amount of unamortized equity-based compensation related to the Incentive Units is $49.8 million.</w:t>
      </w:r>
    </w:p>
    <w:p>
      <w:pPr>
        <w:spacing w:after="0" w:line="129"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b w:val="1"/>
          <w:bCs w:val="1"/>
          <w:color w:val="auto"/>
        </w:rPr>
        <w:t xml:space="preserve">HSKB Incentive Units </w:t>
      </w:r>
      <w:r>
        <w:rPr>
          <w:rFonts w:ascii="Arial" w:cs="Arial" w:eastAsia="Arial" w:hAnsi="Arial"/>
          <w:sz w:val="16"/>
          <w:szCs w:val="16"/>
          <w:color w:val="auto"/>
        </w:rPr>
        <w:t>- The founders of the Company previously contributed membership units into an upper tier entity that they control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 profits interests to employees of the Company (“HSKB Grants”). These awards are recorded in accordance with the measurement and recognition criteria of ASC 718 for awards made to non-employees. All HSKB Grants have been issued with a performance vesting condition wherein the awards vest upon the cumulative change of more than 90% of the membership interests in the Company. The Company will recognize compensation cost under these awards in the same manner as if the Company had paid cash in lieu of awarding the HSKB Grants per the requirements of ASC 718. As of December 31, 2018, the date the company adopted ASC 2018-07, the amount of unrecognized equity-based compensation related to the HSKB Grants is $77.6 million.</w:t>
      </w:r>
    </w:p>
    <w:p>
      <w:pPr>
        <w:spacing w:after="0" w:line="10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2018, in connection with the Carlyle Investment described above, holders of HSKB Grants received a cash distribution subject to certain time-vesting conditions. HSKB allocated an additional $31.3 million to be paid over three years from 2019 to 2021 if the holder of the HSKB grant is employed by the Company as of the payment date. The Company recognizes compensation cost associated with this commitment as it is earned over time. As of September 30, 2019 and September 30, 2018, the Company recognized $7.1 and $7.9 million as compensation cost in the Consolidated statement of operations, respectively, with an offset to Members’ Deficit. In March 2019, HSKB distributed $11.9 million against this commitment.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Carlyle Investment transaction, accelerated vesting was triggered on all unvested units and they were converted to new Common and Preferred units. The Company recognized $0.3 million compensation expense in connection with this accelerated vesting event. On March 12, 2018, 82,735 unvested Class C units held by employees were converted into 7.0 million Common units subject to time-vesting conditions, of which 5.2 million were fully vested upon conversion and 1.8 million were unvested.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Common Units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Class P Units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Weighted Avg Grant</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1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6"/>
              </w:rPr>
              <w:t>Weighted Avg Grant</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Date Fair Value/Unit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Date Fair Value/Unit</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at December 31, 2018</w:t>
            </w:r>
          </w:p>
        </w:tc>
        <w:tc>
          <w:tcPr>
            <w:tcW w:w="27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1,766,722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22,865,875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43,564,376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(475,468)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(375,980)</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(5,162,355)</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units at September 30, 2019</w:t>
            </w:r>
          </w:p>
        </w:tc>
        <w:tc>
          <w:tcPr>
            <w:tcW w:w="27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915,274</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61,267,896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220" w:type="dxa"/>
            <w:vAlign w:val="bottom"/>
          </w:tcPr>
          <w:p>
            <w:pPr>
              <w:spacing w:after="0"/>
              <w:rPr>
                <w:sz w:val="24"/>
                <w:szCs w:val="24"/>
                <w:color w:val="auto"/>
              </w:rPr>
            </w:pPr>
          </w:p>
        </w:tc>
        <w:tc>
          <w:tcPr>
            <w:tcW w:w="2900" w:type="dxa"/>
            <w:vAlign w:val="bottom"/>
            <w:gridSpan w:val="3"/>
          </w:tcPr>
          <w:p>
            <w:pPr>
              <w:ind w:left="1300"/>
              <w:spacing w:after="0"/>
              <w:rPr>
                <w:sz w:val="20"/>
                <w:szCs w:val="20"/>
                <w:color w:val="auto"/>
              </w:rPr>
            </w:pPr>
            <w:r>
              <w:rPr>
                <w:rFonts w:ascii="Arial" w:cs="Arial" w:eastAsia="Arial" w:hAnsi="Arial"/>
                <w:sz w:val="18"/>
                <w:szCs w:val="18"/>
                <w:color w:val="auto"/>
              </w:rPr>
              <w:t>F- 52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4"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t>Note 12 - Equity-Based Compensation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equity-based compensation expense related to employee incentive unit awards (in millions):</w:t>
      </w:r>
    </w:p>
    <w:p>
      <w:pPr>
        <w:spacing w:after="0" w:line="32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and Operating expenses include equity-based compensation expenses as follows:</w:t>
            </w: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Cost of service</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color w:val="auto"/>
              </w:rPr>
              <w:t>Total equity-based compensation expense</w:t>
            </w:r>
          </w:p>
        </w:tc>
        <w:tc>
          <w:tcPr>
            <w:tcW w:w="10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 Provision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$1.0 million of income tax expense for the three months ended September 30, 2019 and $5.8 million for the nine months ended September 30, 2019. The Company’s estimated annual effective tax rate for the nine months ended September 30, 2019 was 7.8%. The Company’s estimated annual effective tax rate is less than the statutory rate of 21% primarily because the Company is not liable for income taxes on the portion of earnings that are attributable to partnerships.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months ended September 30, 2019 the company acquired 100% of the stock of Pre-Acquisition ZI, a C corporation, on February 1, 2019 through a newly formed wholly owned subsidiary, Zebra Acquisition Corporation. On March 16, 2019 Zebra Acquisition Corporation executed a nontaxable contribution of all operations including its deferred tax items in exchange for a noncontrolling interest in the partnership DiscoverOrg Data LLC. Any taxable income or loss generated by DiscoverOrg Data LLC is passed through to and included in the taxable income or loss of its partners, including the Company’s C corporation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evaluated subsequent events through November 25, 2019, which is the date the consolidated financial statements were available to be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9, 2019, the Company, through a newly formed wholly owned subsidiary, DiscoverOrg Acquisition (Komiko), LLC, acquired substantially all the assets of Komiko, LTD. (“Komiko”). Total consideration for the purchase includes $8.3 million in cash plus a contingent earnout payable in cash for up to $4 million computed on total annual recurring revenue from Komiko related products as of December 31, 2020. Komiko utilizes machine learning and data science to better automate the CRM process.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acquisition qualifies as a business combination and will be accounted for as such. As a result of the limited access to Komiko information required to prepare the initial accounting, together with the limited time since the acquisition date, the initial accounting for the business combination is incomplete at this time. As a result, we are unable to provide the amounts recognized as of the Acquisition date for the major classes of assets acquired and liabilities assumed, pre-acquisition contingencies, and goodwill.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F- 53</w:t>
      </w:r>
    </w:p>
    <w:p>
      <w:pPr>
        <w:sectPr>
          <w:pgSz w:w="11900" w:h="16838" w:orient="portrait"/>
          <w:cols w:equalWidth="0" w:num="1">
            <w:col w:w="11420"/>
          </w:cols>
          <w:pgMar w:left="240" w:top="553" w:right="239" w:bottom="1440" w:gutter="0" w:footer="0" w:header="0"/>
        </w:sectPr>
      </w:pPr>
    </w:p>
    <w:bookmarkStart w:id="237" w:name="page238"/>
    <w:bookmarkEnd w:id="237"/>
    <w:p>
      <w:pPr>
        <w:jc w:val="center"/>
        <w:ind w:right="-39"/>
        <w:spacing w:after="0"/>
        <w:rPr>
          <w:sz w:val="20"/>
          <w:szCs w:val="20"/>
          <w:color w:val="auto"/>
        </w:rPr>
      </w:pPr>
      <w:r>
        <w:rPr>
          <w:rFonts w:ascii="Arial" w:cs="Arial" w:eastAsia="Arial" w:hAnsi="Arial"/>
          <w:sz w:val="18"/>
          <w:szCs w:val="18"/>
          <w:b w:val="1"/>
          <w:bCs w:val="1"/>
          <w:color w:val="auto"/>
        </w:rPr>
        <w:t>Independent Auditor's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Information,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3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7"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646555" cy="454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65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F- 54</w:t>
      </w:r>
    </w:p>
    <w:p>
      <w:pPr>
        <w:sectPr>
          <w:pgSz w:w="11900" w:h="16838" w:orient="portrait"/>
          <w:cols w:equalWidth="0" w:num="1">
            <w:col w:w="11380"/>
          </w:cols>
          <w:pgMar w:left="240" w:top="365" w:right="27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2019 and December 31, 2018</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10,873,046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9,691,793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21,614,693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28,204,910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1,017,936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5,152,429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6,986,862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commissions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3,585,122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42,243,226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45,901,501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5,725,173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944,516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55,187,215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168,916,468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168,916,468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1,410,408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1,408,765</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273,482,490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273,175,627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2,250,947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4,151,226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6,975,959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65,782,029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64,832,159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1,431,000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1,431,000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72,482,356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75,490,065</w:t>
            </w:r>
          </w:p>
        </w:tc>
        <w:tc>
          <w:tcPr>
            <w:tcW w:w="0" w:type="dxa"/>
            <w:vAlign w:val="bottom"/>
          </w:tcPr>
          <w:p>
            <w:pPr>
              <w:spacing w:after="0"/>
              <w:rPr>
                <w:sz w:val="1"/>
                <w:szCs w:val="1"/>
                <w:color w:val="auto"/>
              </w:rPr>
            </w:pPr>
          </w:p>
        </w:tc>
      </w:tr>
      <w:tr>
        <w:trPr>
          <w:trHeight w:val="162"/>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2,702,845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9,469,299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8,921,988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132,389,234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132,323,669</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216,822,692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219,438,567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500"/>
              <w:spacing w:after="0"/>
              <w:rPr>
                <w:sz w:val="20"/>
                <w:szCs w:val="20"/>
                <w:color w:val="auto"/>
              </w:rPr>
            </w:pPr>
            <w:r>
              <w:rPr>
                <w:rFonts w:ascii="Arial" w:cs="Arial" w:eastAsia="Arial" w:hAnsi="Arial"/>
                <w:sz w:val="18"/>
                <w:szCs w:val="18"/>
                <w:color w:val="auto"/>
                <w:w w:val="91"/>
              </w:rPr>
              <w:t>Series 1 convertible preferred stock: $0.02 par value; 80,000,000 shares designated; 53,944,487 shares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660"/>
              <w:spacing w:after="0"/>
              <w:rPr>
                <w:sz w:val="20"/>
                <w:szCs w:val="20"/>
                <w:color w:val="auto"/>
              </w:rPr>
            </w:pPr>
            <w:r>
              <w:rPr>
                <w:rFonts w:ascii="Arial" w:cs="Arial" w:eastAsia="Arial" w:hAnsi="Arial"/>
                <w:sz w:val="18"/>
                <w:szCs w:val="18"/>
                <w:color w:val="auto"/>
                <w:w w:val="91"/>
              </w:rPr>
              <w:t>issued and outstanding at January 31, 2019 and December 31, 2018, respectively (liquidation value of</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660"/>
              <w:spacing w:after="0"/>
              <w:rPr>
                <w:sz w:val="20"/>
                <w:szCs w:val="20"/>
                <w:color w:val="auto"/>
              </w:rPr>
            </w:pPr>
            <w:r>
              <w:rPr>
                <w:rFonts w:ascii="Arial" w:cs="Arial" w:eastAsia="Arial" w:hAnsi="Arial"/>
                <w:sz w:val="18"/>
                <w:szCs w:val="18"/>
                <w:color w:val="auto"/>
              </w:rPr>
              <w:t>$90,074,418 as of January 31, 2019)</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1,078,890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1,078,890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Series A: $0.02 par value; 37,763,000 shares designated; 7,319,897 shares issued and outstanding at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January 31, 2019 and December 31, 2018,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146,398</w:t>
            </w:r>
          </w:p>
        </w:tc>
        <w:tc>
          <w:tcPr>
            <w:tcW w:w="0" w:type="dxa"/>
            <w:vAlign w:val="bottom"/>
          </w:tcPr>
          <w:p>
            <w:pPr>
              <w:spacing w:after="0"/>
              <w:rPr>
                <w:sz w:val="1"/>
                <w:szCs w:val="1"/>
                <w:color w:val="auto"/>
              </w:rPr>
            </w:pPr>
          </w:p>
        </w:tc>
      </w:tr>
      <w:tr>
        <w:trPr>
          <w:trHeight w:val="229"/>
        </w:trPr>
        <w:tc>
          <w:tcPr>
            <w:tcW w:w="8120" w:type="dxa"/>
            <w:vAlign w:val="bottom"/>
          </w:tcPr>
          <w:p>
            <w:pPr>
              <w:ind w:left="500"/>
              <w:spacing w:after="0"/>
              <w:rPr>
                <w:sz w:val="20"/>
                <w:szCs w:val="20"/>
                <w:color w:val="auto"/>
              </w:rPr>
            </w:pPr>
            <w:r>
              <w:rPr>
                <w:rFonts w:ascii="Arial" w:cs="Arial" w:eastAsia="Arial" w:hAnsi="Arial"/>
                <w:sz w:val="18"/>
                <w:szCs w:val="18"/>
                <w:color w:val="auto"/>
                <w:w w:val="89"/>
              </w:rPr>
              <w:t>Series B: $0.01 par value; 54,959,650 shares designated; 175,840 and 162,240 issued and outstanding at</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660"/>
              <w:spacing w:after="0"/>
              <w:rPr>
                <w:sz w:val="20"/>
                <w:szCs w:val="20"/>
                <w:color w:val="auto"/>
              </w:rPr>
            </w:pPr>
            <w:r>
              <w:rPr>
                <w:rFonts w:ascii="Arial" w:cs="Arial" w:eastAsia="Arial" w:hAnsi="Arial"/>
                <w:sz w:val="18"/>
                <w:szCs w:val="18"/>
                <w:color w:val="auto"/>
              </w:rPr>
              <w:t>January 31, 2019 and December 31, 2018, respectively</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paid-in-capital</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78,907,423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78,854,320</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(23,474,671)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(26,344,170)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56,659,798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53,737,060</w:t>
            </w:r>
          </w:p>
        </w:tc>
        <w:tc>
          <w:tcPr>
            <w:tcW w:w="0" w:type="dxa"/>
            <w:vAlign w:val="bottom"/>
          </w:tcPr>
          <w:p>
            <w:pPr>
              <w:spacing w:after="0"/>
              <w:rPr>
                <w:sz w:val="1"/>
                <w:szCs w:val="1"/>
                <w:color w:val="auto"/>
              </w:rPr>
            </w:pPr>
          </w:p>
        </w:tc>
      </w:tr>
      <w:tr>
        <w:trPr>
          <w:trHeight w:val="25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273,482,490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273,175,627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520"/>
              <w:spacing w:after="0"/>
              <w:rPr>
                <w:sz w:val="20"/>
                <w:szCs w:val="20"/>
                <w:color w:val="auto"/>
              </w:rPr>
            </w:pPr>
            <w:r>
              <w:rPr>
                <w:rFonts w:ascii="Arial" w:cs="Arial" w:eastAsia="Arial" w:hAnsi="Arial"/>
                <w:sz w:val="18"/>
                <w:szCs w:val="18"/>
                <w:i w:val="1"/>
                <w:iCs w:val="1"/>
                <w:color w:val="auto"/>
              </w:rPr>
              <w:t>See notes to financial statements.</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8120" w:type="dxa"/>
            <w:vAlign w:val="bottom"/>
          </w:tcPr>
          <w:p>
            <w:pPr>
              <w:ind w:left="5520"/>
              <w:spacing w:after="0"/>
              <w:rPr>
                <w:sz w:val="20"/>
                <w:szCs w:val="20"/>
                <w:color w:val="auto"/>
              </w:rPr>
            </w:pPr>
            <w:r>
              <w:rPr>
                <w:rFonts w:ascii="Arial" w:cs="Arial" w:eastAsia="Arial" w:hAnsi="Arial"/>
                <w:sz w:val="18"/>
                <w:szCs w:val="18"/>
                <w:color w:val="auto"/>
              </w:rPr>
              <w:t>F- 55</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9,693,329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72,467,948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9,076,689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3,338,127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40,259,914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13,093,595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1,584,180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16,307,450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2,660,523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Loss on share redemption obligation</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14,087,015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72,943</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8,042,952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95,558,129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1,650,377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(23,090,181)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54,066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(9,348,733)</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645,059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(32,384,848)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(4,912,625)</w:t>
            </w: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781,287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(27,472,223)</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F- 56</w:t>
      </w:r>
    </w:p>
    <w:p>
      <w:pPr>
        <w:sectPr>
          <w:pgSz w:w="11900" w:h="16838" w:orient="portrait"/>
          <w:cols w:equalWidth="0" w:num="1">
            <w:col w:w="11420"/>
          </w:cols>
          <w:pgMar w:left="240" w:top="337"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60" w:type="dxa"/>
            <w:vAlign w:val="bottom"/>
          </w:tcPr>
          <w:p>
            <w:pPr>
              <w:spacing w:after="0"/>
              <w:rPr>
                <w:sz w:val="22"/>
                <w:szCs w:val="22"/>
                <w:color w:val="auto"/>
              </w:rPr>
            </w:pPr>
          </w:p>
        </w:tc>
        <w:tc>
          <w:tcPr>
            <w:tcW w:w="2020" w:type="dxa"/>
            <w:vAlign w:val="bottom"/>
            <w:tcBorders>
              <w:right w:val="single" w:sz="8" w:color="auto"/>
            </w:tcBorders>
            <w:gridSpan w:val="4"/>
            <w:vMerge w:val="restart"/>
          </w:tcPr>
          <w:p>
            <w:pPr>
              <w:ind w:left="720"/>
              <w:spacing w:after="0"/>
              <w:rPr>
                <w:sz w:val="20"/>
                <w:szCs w:val="20"/>
                <w:color w:val="auto"/>
              </w:rPr>
            </w:pPr>
            <w:r>
              <w:rPr>
                <w:rFonts w:ascii="Arial" w:cs="Arial" w:eastAsia="Arial" w:hAnsi="Arial"/>
                <w:sz w:val="14"/>
                <w:szCs w:val="14"/>
                <w:b w:val="1"/>
                <w:bCs w:val="1"/>
                <w:color w:val="auto"/>
              </w:rPr>
              <w:t>Series 1</w:t>
            </w: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160" w:type="dxa"/>
            <w:vAlign w:val="bottom"/>
          </w:tcPr>
          <w:p>
            <w:pPr>
              <w:spacing w:after="0"/>
              <w:rPr>
                <w:sz w:val="6"/>
                <w:szCs w:val="6"/>
                <w:color w:val="auto"/>
              </w:rPr>
            </w:pPr>
          </w:p>
        </w:tc>
        <w:tc>
          <w:tcPr>
            <w:tcW w:w="2020" w:type="dxa"/>
            <w:vAlign w:val="bottom"/>
            <w:tcBorders>
              <w:right w:val="single" w:sz="8" w:color="auto"/>
            </w:tcBorders>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Retained</w:t>
            </w: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Convertible Preferred Stock</w:t>
            </w:r>
          </w:p>
        </w:tc>
        <w:tc>
          <w:tcPr>
            <w:tcW w:w="120" w:type="dxa"/>
            <w:vAlign w:val="bottom"/>
            <w:tcBorders>
              <w:right w:val="single" w:sz="8" w:color="auto"/>
            </w:tcBorders>
            <w:vMerge w:val="restart"/>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4"/>
            <w:vMerge w:val="restart"/>
          </w:tcPr>
          <w:p>
            <w:pPr>
              <w:jc w:val="right"/>
              <w:ind w:right="621"/>
              <w:spacing w:after="0"/>
              <w:rPr>
                <w:sz w:val="20"/>
                <w:szCs w:val="20"/>
                <w:color w:val="auto"/>
              </w:rPr>
            </w:pPr>
            <w:r>
              <w:rPr>
                <w:rFonts w:ascii="Arial" w:cs="Arial" w:eastAsia="Arial" w:hAnsi="Arial"/>
                <w:sz w:val="14"/>
                <w:szCs w:val="14"/>
                <w:b w:val="1"/>
                <w:bCs w:val="1"/>
                <w:color w:val="auto"/>
              </w:rPr>
              <w:t>Series A</w:t>
            </w:r>
          </w:p>
        </w:tc>
        <w:tc>
          <w:tcPr>
            <w:tcW w:w="100" w:type="dxa"/>
            <w:vAlign w:val="bottom"/>
            <w:vMerge w:val="restart"/>
          </w:tcPr>
          <w:p>
            <w:pPr>
              <w:spacing w:after="0"/>
              <w:rPr>
                <w:sz w:val="5"/>
                <w:szCs w:val="5"/>
                <w:color w:val="auto"/>
              </w:rPr>
            </w:pPr>
          </w:p>
        </w:tc>
        <w:tc>
          <w:tcPr>
            <w:tcW w:w="19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160" w:type="dxa"/>
            <w:vAlign w:val="bottom"/>
          </w:tcPr>
          <w:p>
            <w:pPr>
              <w:spacing w:after="0"/>
              <w:rPr>
                <w:sz w:val="10"/>
                <w:szCs w:val="10"/>
                <w:color w:val="auto"/>
              </w:rPr>
            </w:pPr>
          </w:p>
        </w:tc>
        <w:tc>
          <w:tcPr>
            <w:tcW w:w="1900" w:type="dxa"/>
            <w:vAlign w:val="bottom"/>
            <w:tcBorders>
              <w:bottom w:val="single" w:sz="8" w:color="auto"/>
            </w:tcBorders>
            <w:gridSpan w:val="3"/>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4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Earnings</w:t>
            </w: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0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020" w:type="dxa"/>
            <w:vAlign w:val="bottom"/>
            <w:tcBorders>
              <w:right w:val="single" w:sz="8" w:color="auto"/>
            </w:tcBorders>
            <w:gridSpan w:val="2"/>
          </w:tcPr>
          <w:p>
            <w:pPr>
              <w:ind w:left="160"/>
              <w:spacing w:after="0" w:line="153" w:lineRule="exact"/>
              <w:rPr>
                <w:sz w:val="20"/>
                <w:szCs w:val="20"/>
                <w:color w:val="auto"/>
              </w:rPr>
            </w:pPr>
            <w:r>
              <w:rPr>
                <w:rFonts w:ascii="Arial" w:cs="Arial" w:eastAsia="Arial" w:hAnsi="Arial"/>
                <w:sz w:val="14"/>
                <w:szCs w:val="14"/>
                <w:b w:val="1"/>
                <w:bCs w:val="1"/>
                <w:color w:val="auto"/>
              </w:rPr>
              <w:t>$0.02 Par</w:t>
            </w:r>
          </w:p>
        </w:tc>
        <w:tc>
          <w:tcPr>
            <w:tcW w:w="10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$0.02 Par</w:t>
            </w: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$0.01 Par</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(Accumulated</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Balance at December 31, 2017</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7"/>
              </w:rPr>
              <w:t>53,944,487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$ 1,078,890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7,319,897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146,398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$78,193,658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8"/>
              </w:rPr>
              <w:t>$  1,128,053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$80,546,999</w:t>
            </w:r>
          </w:p>
        </w:tc>
        <w:tc>
          <w:tcPr>
            <w:tcW w:w="0" w:type="dxa"/>
            <w:vAlign w:val="bottom"/>
          </w:tcPr>
          <w:p>
            <w:pPr>
              <w:spacing w:after="0"/>
              <w:rPr>
                <w:sz w:val="1"/>
                <w:szCs w:val="1"/>
                <w:color w:val="auto"/>
              </w:rPr>
            </w:pPr>
          </w:p>
        </w:tc>
      </w:tr>
      <w:tr>
        <w:trPr>
          <w:trHeight w:val="237"/>
        </w:trPr>
        <w:tc>
          <w:tcPr>
            <w:tcW w:w="216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162,240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92,477</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94,099</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6"/>
              </w:rPr>
              <w:t>Stock-based compensation</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568,185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568,185</w:t>
            </w:r>
          </w:p>
        </w:tc>
        <w:tc>
          <w:tcPr>
            <w:tcW w:w="0" w:type="dxa"/>
            <w:vAlign w:val="bottom"/>
          </w:tcPr>
          <w:p>
            <w:pPr>
              <w:spacing w:after="0"/>
              <w:rPr>
                <w:sz w:val="1"/>
                <w:szCs w:val="1"/>
                <w:color w:val="auto"/>
              </w:rPr>
            </w:pPr>
          </w:p>
        </w:tc>
      </w:tr>
      <w:tr>
        <w:trPr>
          <w:trHeight w:val="237"/>
        </w:trPr>
        <w:tc>
          <w:tcPr>
            <w:tcW w:w="2160" w:type="dxa"/>
            <w:vAlign w:val="bottom"/>
          </w:tcPr>
          <w:p>
            <w:pPr>
              <w:ind w:left="28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(27,472,223)</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4"/>
              </w:rPr>
              <w:t>(27,472,223)</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Balance at December 31, 2018</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7"/>
              </w:rPr>
              <w:t>53,944,487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1,078,890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7,319,897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146,398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162,240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78,854,320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(26,344,170)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53,737,060</w:t>
            </w:r>
          </w:p>
        </w:tc>
        <w:tc>
          <w:tcPr>
            <w:tcW w:w="0" w:type="dxa"/>
            <w:vAlign w:val="bottom"/>
          </w:tcPr>
          <w:p>
            <w:pPr>
              <w:spacing w:after="0"/>
              <w:rPr>
                <w:sz w:val="1"/>
                <w:szCs w:val="1"/>
                <w:color w:val="auto"/>
              </w:rPr>
            </w:pPr>
          </w:p>
        </w:tc>
      </w:tr>
      <w:tr>
        <w:trPr>
          <w:trHeight w:val="220"/>
        </w:trPr>
        <w:tc>
          <w:tcPr>
            <w:tcW w:w="2160" w:type="dxa"/>
            <w:vAlign w:val="bottom"/>
          </w:tcPr>
          <w:p>
            <w:pPr>
              <w:ind w:left="280"/>
              <w:spacing w:after="0"/>
              <w:rPr>
                <w:sz w:val="20"/>
                <w:szCs w:val="20"/>
                <w:color w:val="auto"/>
              </w:rPr>
            </w:pPr>
            <w:r>
              <w:rPr>
                <w:rFonts w:ascii="Arial" w:cs="Arial" w:eastAsia="Arial" w:hAnsi="Arial"/>
                <w:sz w:val="16"/>
                <w:szCs w:val="16"/>
                <w:color w:val="auto"/>
                <w:w w:val="95"/>
              </w:rPr>
              <w:t>Cumulative impact from the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440"/>
              <w:spacing w:after="0"/>
              <w:rPr>
                <w:sz w:val="20"/>
                <w:szCs w:val="20"/>
                <w:color w:val="auto"/>
              </w:rPr>
            </w:pPr>
            <w:r>
              <w:rPr>
                <w:rFonts w:ascii="Arial" w:cs="Arial" w:eastAsia="Arial" w:hAnsi="Arial"/>
                <w:sz w:val="16"/>
                <w:szCs w:val="16"/>
                <w:color w:val="auto"/>
              </w:rPr>
              <w:t>adoption of ASU</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440"/>
              <w:spacing w:after="0"/>
              <w:rPr>
                <w:sz w:val="20"/>
                <w:szCs w:val="20"/>
                <w:color w:val="auto"/>
              </w:rPr>
            </w:pPr>
            <w:r>
              <w:rPr>
                <w:rFonts w:ascii="Arial" w:cs="Arial" w:eastAsia="Arial" w:hAnsi="Arial"/>
                <w:sz w:val="16"/>
                <w:szCs w:val="16"/>
                <w:color w:val="auto"/>
              </w:rPr>
              <w:t>No. 2014-19 (Note 3)</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2,088,212</w:t>
            </w:r>
          </w:p>
        </w:tc>
        <w:tc>
          <w:tcPr>
            <w:tcW w:w="12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2,088,212</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7,888</w:t>
            </w:r>
          </w:p>
        </w:tc>
        <w:tc>
          <w:tcPr>
            <w:tcW w:w="0" w:type="dxa"/>
            <w:vAlign w:val="bottom"/>
          </w:tcPr>
          <w:p>
            <w:pPr>
              <w:spacing w:after="0"/>
              <w:rPr>
                <w:sz w:val="1"/>
                <w:szCs w:val="1"/>
                <w:color w:val="auto"/>
              </w:rPr>
            </w:pPr>
          </w:p>
        </w:tc>
      </w:tr>
      <w:tr>
        <w:trPr>
          <w:trHeight w:val="237"/>
        </w:trPr>
        <w:tc>
          <w:tcPr>
            <w:tcW w:w="2160" w:type="dxa"/>
            <w:vAlign w:val="bottom"/>
          </w:tcPr>
          <w:p>
            <w:pPr>
              <w:ind w:left="280"/>
              <w:spacing w:after="0"/>
              <w:rPr>
                <w:sz w:val="20"/>
                <w:szCs w:val="20"/>
                <w:color w:val="auto"/>
              </w:rPr>
            </w:pPr>
            <w:r>
              <w:rPr>
                <w:rFonts w:ascii="Arial" w:cs="Arial" w:eastAsia="Arial" w:hAnsi="Arial"/>
                <w:sz w:val="16"/>
                <w:szCs w:val="16"/>
                <w:color w:val="auto"/>
                <w:w w:val="96"/>
              </w:rPr>
              <w:t>Stock-based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45,351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781,287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781,287</w:t>
            </w:r>
          </w:p>
        </w:tc>
        <w:tc>
          <w:tcPr>
            <w:tcW w:w="0" w:type="dxa"/>
            <w:vAlign w:val="bottom"/>
          </w:tcPr>
          <w:p>
            <w:pPr>
              <w:spacing w:after="0"/>
              <w:rPr>
                <w:sz w:val="1"/>
                <w:szCs w:val="1"/>
                <w:color w:val="auto"/>
              </w:rPr>
            </w:pPr>
          </w:p>
        </w:tc>
      </w:tr>
      <w:tr>
        <w:trPr>
          <w:trHeight w:val="244"/>
        </w:trPr>
        <w:tc>
          <w:tcPr>
            <w:tcW w:w="2160" w:type="dxa"/>
            <w:vAlign w:val="bottom"/>
          </w:tcPr>
          <w:p>
            <w:pPr>
              <w:ind w:left="40"/>
              <w:spacing w:after="0"/>
              <w:rPr>
                <w:sz w:val="20"/>
                <w:szCs w:val="20"/>
                <w:color w:val="auto"/>
              </w:rPr>
            </w:pPr>
            <w:r>
              <w:rPr>
                <w:rFonts w:ascii="Arial" w:cs="Arial" w:eastAsia="Arial" w:hAnsi="Arial"/>
                <w:sz w:val="16"/>
                <w:szCs w:val="16"/>
                <w:b w:val="1"/>
                <w:bCs w:val="1"/>
                <w:color w:val="auto"/>
                <w:w w:val="98"/>
              </w:rPr>
              <w:t>Balance at January 31, 2019</w:t>
            </w: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7"/>
              </w:rPr>
              <w:t>53,944,487</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2"/>
              </w:rPr>
              <w:t>$ 1,078,890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7,319,897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146,398</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175,840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1,758</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2"/>
              </w:rPr>
              <w:t>$78,907,423</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$(23,474,671)</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2"/>
              </w:rPr>
              <w:t>$56,659,798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F- 57</w:t>
      </w:r>
    </w:p>
    <w:p>
      <w:pPr>
        <w:sectPr>
          <w:pgSz w:w="11900" w:h="16838" w:orient="portrait"/>
          <w:cols w:equalWidth="0" w:num="1">
            <w:col w:w="11420"/>
          </w:cols>
          <w:pgMar w:left="240" w:top="337"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781,287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(27,472,223)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45,351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568,185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10,116,527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537,814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14,087,015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on sale of property and equipment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(5,329,772)</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(15,771,980)</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Income tax receivable</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(1,017,936)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(2,946,204)</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Capitalized commissions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(1,211,167)</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(1,132,846)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228,383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3,707,293</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292,916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44,858,243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6,063,242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20,281,235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(4,889,877)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(762,615)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(55,999,015)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Acquisitions, net of cash acquired (Note 4)</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(14,675,796)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(4,889,877)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(71,307,426)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63,100,000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(6,082,750)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(1,576,079)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94,099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55,535,270</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b w:val="1"/>
                <w:bCs w:val="1"/>
                <w:color w:val="auto"/>
              </w:rPr>
              <w:t>Increase in cash and cash equivalents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1,181,253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4,509,079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9,691,793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5,182,714</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10,873,046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9,691,793</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Supplemental disclosure of noncash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8,738,030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2,286,699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520"/>
              <w:spacing w:after="0"/>
              <w:rPr>
                <w:sz w:val="20"/>
                <w:szCs w:val="20"/>
                <w:color w:val="auto"/>
              </w:rPr>
            </w:pPr>
            <w:r>
              <w:rPr>
                <w:rFonts w:ascii="Arial" w:cs="Arial" w:eastAsia="Arial" w:hAnsi="Arial"/>
                <w:sz w:val="18"/>
                <w:szCs w:val="18"/>
                <w:i w:val="1"/>
                <w:iCs w:val="1"/>
                <w:color w:val="auto"/>
              </w:rPr>
              <w:t>See notes to financial statements.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5520"/>
              <w:spacing w:after="0"/>
              <w:rPr>
                <w:sz w:val="20"/>
                <w:szCs w:val="20"/>
                <w:color w:val="auto"/>
              </w:rPr>
            </w:pPr>
            <w:r>
              <w:rPr>
                <w:rFonts w:ascii="Arial" w:cs="Arial" w:eastAsia="Arial" w:hAnsi="Arial"/>
                <w:sz w:val="18"/>
                <w:szCs w:val="18"/>
                <w:color w:val="auto"/>
              </w:rPr>
              <w:t>F- 58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financial statements have been prepared in accordance with accounting standards set by the Financial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Board (FASB).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8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consolidated financial statements include the accounts of Zoom Information, Inc. and its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Datanyze, Inc., Datanyze Rus, LLC and Zoom Information Israel Ltd. All significant intercompany accounts and transactions have been eliminated upon consolidation.</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13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The Company’s foreign operations include contractual obligations denominated in foreign currencies, as well as financial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denominated in foreign currencies. The Company is subject to exposure should exchange rates fluctuate. The Company’s consolidated financial statements are presented in United States Dollars.</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such highly liquid investments with original maturities of three months or less when purchased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cash and cash equivalents.</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Bank deposit accounts in the United States are insured by the Federal Deposit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134"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The Company accounts for trade receivables at original invoiced amounts less any allowance for doubtful accounts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of future collection. The Company provides an allowance for doubtful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F- 59</w:t>
      </w:r>
    </w:p>
    <w:p>
      <w:pPr>
        <w:sectPr>
          <w:pgSz w:w="11900" w:h="16838" w:orient="portrait"/>
          <w:cols w:equalWidth="0" w:num="1">
            <w:col w:w="11420"/>
          </w:cols>
          <w:pgMar w:left="240" w:top="351"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based upon past loss experience, known and inherent risks in the accounts, adverse situations that may affect 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123"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recorded at cost and depreciated using the straight-line method over the estimated useful lives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4720" w:type="dxa"/>
            <w:vAlign w:val="bottom"/>
            <w:shd w:val="clear" w:color="auto" w:fill="CCEEFF"/>
          </w:tcPr>
          <w:p>
            <w:pPr>
              <w:ind w:left="4180"/>
              <w:spacing w:after="0"/>
              <w:rPr>
                <w:sz w:val="20"/>
                <w:szCs w:val="20"/>
                <w:color w:val="auto"/>
              </w:rPr>
            </w:pPr>
            <w:r>
              <w:rPr>
                <w:rFonts w:ascii="Arial" w:cs="Arial" w:eastAsia="Arial" w:hAnsi="Arial"/>
                <w:sz w:val="18"/>
                <w:szCs w:val="18"/>
                <w:color w:val="auto"/>
                <w:w w:val="88"/>
              </w:rPr>
              <w:t>3 years</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720" w:type="dxa"/>
            <w:vAlign w:val="bottom"/>
          </w:tcPr>
          <w:p>
            <w:pPr>
              <w:ind w:left="4180"/>
              <w:spacing w:after="0"/>
              <w:rPr>
                <w:sz w:val="20"/>
                <w:szCs w:val="20"/>
                <w:color w:val="auto"/>
              </w:rPr>
            </w:pPr>
            <w:r>
              <w:rPr>
                <w:rFonts w:ascii="Arial" w:cs="Arial" w:eastAsia="Arial" w:hAnsi="Arial"/>
                <w:sz w:val="18"/>
                <w:szCs w:val="18"/>
                <w:color w:val="auto"/>
                <w:w w:val="88"/>
              </w:rPr>
              <w:t>3 years</w:t>
            </w:r>
          </w:p>
        </w:tc>
      </w:tr>
      <w:tr>
        <w:trPr>
          <w:trHeight w:val="27"/>
        </w:trPr>
        <w:tc>
          <w:tcPr>
            <w:tcW w:w="670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43"/>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720" w:type="dxa"/>
            <w:vAlign w:val="bottom"/>
            <w:shd w:val="clear" w:color="auto" w:fill="CCEEFF"/>
          </w:tcPr>
          <w:p>
            <w:pPr>
              <w:ind w:left="4180"/>
              <w:spacing w:after="0"/>
              <w:rPr>
                <w:sz w:val="20"/>
                <w:szCs w:val="20"/>
                <w:color w:val="auto"/>
              </w:rPr>
            </w:pPr>
            <w:r>
              <w:rPr>
                <w:rFonts w:ascii="Arial" w:cs="Arial" w:eastAsia="Arial" w:hAnsi="Arial"/>
                <w:sz w:val="18"/>
                <w:szCs w:val="18"/>
                <w:color w:val="auto"/>
                <w:w w:val="88"/>
              </w:rPr>
              <w:t>5 years</w:t>
            </w:r>
          </w:p>
        </w:tc>
      </w:tr>
      <w:tr>
        <w:trPr>
          <w:trHeight w:val="27"/>
        </w:trPr>
        <w:tc>
          <w:tcPr>
            <w:tcW w:w="670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 accounts for business combinations pursuant to FASB ASC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(ASC 805).</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accordance with FASB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2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Debt financing costs: </w:t>
      </w:r>
      <w:r>
        <w:rPr>
          <w:rFonts w:ascii="Arial" w:cs="Arial" w:eastAsia="Arial" w:hAnsi="Arial"/>
          <w:sz w:val="18"/>
          <w:szCs w:val="18"/>
          <w:color w:val="auto"/>
        </w:rPr>
        <w:t>Costs incurred related to the financing of long-term debt are netted against the debt and amortized over the remaining life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debt offering. Costs associated with the terms loan are amortized using the straight-line method. Amortization expense is recorded as a component of interest expense.</w:t>
      </w:r>
    </w:p>
    <w:p>
      <w:pPr>
        <w:spacing w:after="0" w:line="12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include property and equipment, definite lived intangible assets and capitalized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2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Revenue recognition (FASB ASC 605): </w:t>
      </w:r>
      <w:r>
        <w:rPr>
          <w:rFonts w:ascii="Arial" w:cs="Arial" w:eastAsia="Arial" w:hAnsi="Arial"/>
          <w:sz w:val="18"/>
          <w:szCs w:val="18"/>
          <w:color w:val="auto"/>
        </w:rPr>
        <w:t>The Company derives revenue by providing software as a service (SaaS) to the customer in which the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the rights to the software license itself but can use the hosted software for the contracted term. As a result, the Company recognizes revenue from these arrangements in accordance with FASB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during the year ended December 31, 2018. In accordance with the guidance, the Company accounts for its customer arrangements as service contracts.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recognized only when persuasive evidence of an arrangement exists, the fee is fixed or determinable, the product or service has been delivered, and collectability of the resulting receivable is probable.</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 agreements with defined terms. The Company’s subscription agreements also generally provide an annual level of</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F- 60</w:t>
      </w:r>
    </w:p>
    <w:p>
      <w:pPr>
        <w:sectPr>
          <w:pgSz w:w="11900" w:h="16838" w:orient="portrait"/>
          <w:cols w:equalWidth="0" w:num="1">
            <w:col w:w="11420"/>
          </w:cols>
          <w:pgMar w:left="240" w:top="553" w:right="2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usage for the ability to generate lists and data append services. These contracts also provide the rate at which the 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2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Revenue recognition (FASB ASC 606): </w:t>
      </w:r>
      <w:r>
        <w:rPr>
          <w:rFonts w:ascii="Arial" w:cs="Arial" w:eastAsia="Arial" w:hAnsi="Arial"/>
          <w:sz w:val="17"/>
          <w:szCs w:val="17"/>
          <w:color w:val="auto"/>
        </w:rPr>
        <w:t>During the period from January 1, 2019 through January 31, 2019, the Company adopted ASU 2014-09,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(ASC 606). The Company adopted ASC 606 on January 1, 2019 utilizing the modified retrospective method</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requires the 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27"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Recognize revenue when (or as) each performance obligation is satisfied.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12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Contract costs: </w:t>
      </w:r>
      <w:r>
        <w:rPr>
          <w:rFonts w:ascii="Arial" w:cs="Arial" w:eastAsia="Arial" w:hAnsi="Arial"/>
          <w:sz w:val="18"/>
          <w:szCs w:val="18"/>
          <w:color w:val="auto"/>
        </w:rPr>
        <w:t>During the period from January 1, 2019 through January 31, 2019, the Company adopted FASB ASC 340-40 -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Other Assets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Deferred Costs—Contracts with Customers </w:t>
      </w:r>
      <w:r>
        <w:rPr>
          <w:rFonts w:ascii="Arial" w:cs="Arial" w:eastAsia="Arial" w:hAnsi="Arial"/>
          <w:sz w:val="18"/>
          <w:szCs w:val="18"/>
          <w:color w:val="auto"/>
        </w:rPr>
        <w:t>as part of the ASU 2014-09. Sales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F- 61</w:t>
      </w:r>
    </w:p>
    <w:p>
      <w:pPr>
        <w:sectPr>
          <w:pgSz w:w="11900" w:h="16838" w:orient="portrait"/>
          <w:cols w:equalWidth="0" w:num="1">
            <w:col w:w="11420"/>
          </w:cols>
          <w:pgMar w:left="240" w:top="554"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commissions paid to sales personnel are considered incremental and recoverable costs of obtaining a contract with a 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applies a practical expedient to expense costs as incurred for costs to obtain a contract when the amortization period is one year or less.</w:t>
      </w:r>
    </w:p>
    <w:p>
      <w:pPr>
        <w:spacing w:after="0" w:line="19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Costs related to advertising are expensed as incurred. Advertising costs include tradeshows, promotional items,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and direct marketing. For the period from January 1, 2019 through January 31, 2019 and the year ended December 31, 2018, total advertising expenses were $164,759 and $2,771,005, respectively.</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Research and development costs and software development costs: </w:t>
      </w:r>
      <w:r>
        <w:rPr>
          <w:rFonts w:ascii="Arial" w:cs="Arial" w:eastAsia="Arial" w:hAnsi="Arial"/>
          <w:sz w:val="16"/>
          <w:szCs w:val="16"/>
          <w:color w:val="auto"/>
        </w:rPr>
        <w:t>Research and development costs are expensed as incurred except for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The Company accounts for equity-based employee compensation arrangements in accordance with ASC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The Company records stock-based compensation expense based on the estimated fair value of the equity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Black-Scholes option pricing model to determine the weighted-average fair value of options granted. In accordance with ASC 718, the Company recognizes the compensation cost of stock-based awards on a straight-line basis over the requisite service period.</w:t>
      </w:r>
    </w:p>
    <w:p>
      <w:pPr>
        <w:spacing w:after="0" w:line="12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Redeemable stock: </w:t>
      </w:r>
      <w:r>
        <w:rPr>
          <w:rFonts w:ascii="Arial" w:cs="Arial" w:eastAsia="Arial" w:hAnsi="Arial"/>
          <w:sz w:val="17"/>
          <w:szCs w:val="17"/>
          <w:color w:val="auto"/>
        </w:rPr>
        <w:t>On August 11, 2017, the Company entered into a Securities Purchase Agreement (the Agreement) with GHP Zoom Investor LLC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(Parent 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Mandatorily Redeemable Equity Securities are recognized as a liability and measured at fair value on the date of issuance. 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 December 31, 2018, the Company recorded a loss of $14,087,015 upon purchase of Mandatorily Redeemable Equity Securities.</w:t>
      </w:r>
    </w:p>
    <w:p>
      <w:pPr>
        <w:spacing w:after="0" w:line="1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utilizes the asset and liability method of accounting for income taxes. Under this method, deferred tax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are determined based upon differences between financial reporting and tax basis of assets and liabilities and for net operating loss carryforwards, measured using the enacted tax rates and laws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F- 62</w:t>
      </w:r>
    </w:p>
    <w:p>
      <w:pPr>
        <w:sectPr>
          <w:pgSz w:w="11900" w:h="16838" w:orient="portrait"/>
          <w:cols w:equalWidth="0" w:num="1">
            <w:col w:w="11420"/>
          </w:cols>
          <w:pgMar w:left="240" w:top="553"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will be in effect when differences are expected to reverse. Valuation allowances are provided, if based upon the weight of available evidence, it is more likely than not that some or all of the deferred tax assets will not be realized.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several aspects of the accounting for equity-based payment awards, including: (a)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guidance in this ASU supersedes the leasing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 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F- 63</w:t>
      </w:r>
    </w:p>
    <w:p>
      <w:pPr>
        <w:sectPr>
          <w:pgSz w:w="11900" w:h="16838" w:orient="portrait"/>
          <w:cols w:equalWidth="0" w:num="1">
            <w:col w:w="11420"/>
          </w:cols>
          <w:pgMar w:left="240" w:top="553"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early adoption permitted, and should be applied prospectively from the date of adoption. The Company did not evaluate the impact of adopting the guidance due to the sale of the Company as disclosed within Note 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impact of adopting ASC 606 and ASC 340-40 during the period from January 1, 2019 through January 31, 2019 on the consolidated statement of operations is outlined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Under ASC 605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Impact of ASC 606</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9,693,329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9,791,329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8,042,952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8,347,737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(304,785)</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1,650,377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1,443,592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206,785</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645,059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438,274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206,785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619,994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(756,222)</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781,287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963,007</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Company’s revenue is recognized over time based on the contractual term of the SaaS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deferred revenue during the period from January 1, 2019 through January 31, 2019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as of January 1,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67,535,004</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ASC 606 adjustments</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435,912</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9,986,245</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Revenue recognized</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(9,693,329)</w:t>
            </w: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January 31, 2019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68,263,832</w:t>
            </w:r>
          </w:p>
        </w:tc>
      </w:tr>
      <w:tr>
        <w:trPr>
          <w:trHeight w:val="20"/>
        </w:trPr>
        <w:tc>
          <w:tcPr>
            <w:tcW w:w="9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Yonatan Institute- </w:t>
      </w:r>
      <w:r>
        <w:rPr>
          <w:rFonts w:ascii="Arial" w:cs="Arial" w:eastAsia="Arial" w:hAnsi="Arial"/>
          <w:sz w:val="16"/>
          <w:szCs w:val="16"/>
          <w:color w:val="auto"/>
        </w:rPr>
        <w:t>On August 27, 2018, the Company acquired 100% of Yonatan Institute for Research Ltd. (Yonatan Institute), an affiliate not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 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F- 64</w:t>
      </w:r>
    </w:p>
    <w:p>
      <w:pPr>
        <w:sectPr>
          <w:pgSz w:w="11900" w:h="16838" w:orient="portrait"/>
          <w:cols w:equalWidth="0" w:num="1">
            <w:col w:w="11420"/>
          </w:cols>
          <w:pgMar w:left="240" w:top="554"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r>
              <w:rPr>
                <w:rFonts w:ascii="Arial" w:cs="Arial" w:eastAsia="Arial" w:hAnsi="Arial"/>
                <w:sz w:val="18"/>
                <w:szCs w:val="18"/>
                <w:b w:val="1"/>
                <w:bCs w:val="1"/>
                <w:color w:val="auto"/>
              </w:rPr>
              <w:t>Note 4 - Business Combinations (Continued)</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9820" w:type="dxa"/>
            <w:vAlign w:val="bottom"/>
          </w:tcPr>
          <w:p>
            <w:pPr>
              <w:ind w:left="340"/>
              <w:spacing w:after="0"/>
              <w:rPr>
                <w:sz w:val="20"/>
                <w:szCs w:val="20"/>
                <w:color w:val="auto"/>
              </w:rPr>
            </w:pPr>
            <w:r>
              <w:rPr>
                <w:rFonts w:ascii="Arial" w:cs="Arial" w:eastAsia="Arial" w:hAnsi="Arial"/>
                <w:sz w:val="18"/>
                <w:szCs w:val="18"/>
                <w:color w:val="auto"/>
              </w:rPr>
              <w:t>The following summarizes the estimated fair value of assets acquired and liabilities assumed:</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9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501,311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(416,364)</w:t>
            </w:r>
          </w:p>
        </w:tc>
      </w:tr>
      <w:tr>
        <w:trPr>
          <w:trHeight w:val="27"/>
        </w:trPr>
        <w:tc>
          <w:tcPr>
            <w:tcW w:w="9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118,894</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Fair value of assets acquired and liabilities assumed</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203,841</w:t>
            </w:r>
          </w:p>
        </w:tc>
      </w:tr>
      <w:tr>
        <w:trPr>
          <w:trHeight w:val="20"/>
        </w:trPr>
        <w:tc>
          <w:tcPr>
            <w:tcW w:w="9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Datanyze- </w:t>
      </w:r>
      <w:r>
        <w:rPr>
          <w:rFonts w:ascii="Arial" w:cs="Arial" w:eastAsia="Arial" w:hAnsi="Arial"/>
          <w:sz w:val="17"/>
          <w:szCs w:val="17"/>
          <w:color w:val="auto"/>
        </w:rPr>
        <w:t>On September 18, 2018, the Company entered into a share purchase agreement to acquire all of the issued and outstanding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Datanyze, Inc. 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with the assistance of external valuation specialists, allocated the purchase price to its identifiable tangible and intangible assets and liabilities, with the remaining amount classified as goodwill.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estimated fair value of assets acquired and liabilities assumed: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323,070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194,104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13,742,562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assets acquired and liabilities assumed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14,471,955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w:t>
            </w: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ind w:left="340"/>
              <w:spacing w:after="0"/>
              <w:rPr>
                <w:sz w:val="20"/>
                <w:szCs w:val="20"/>
                <w:color w:val="auto"/>
              </w:rPr>
            </w:pPr>
            <w:r>
              <w:rPr>
                <w:rFonts w:ascii="Arial" w:cs="Arial" w:eastAsia="Arial" w:hAnsi="Arial"/>
                <w:sz w:val="18"/>
                <w:szCs w:val="18"/>
                <w:color w:val="auto"/>
                <w:w w:val="99"/>
              </w:rPr>
              <w:t>Property and equipment consists of the following as of January 31, 2019 and December 31, 2018: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1,766,809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1,398,137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1,684,108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169,537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3,069,958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63,324</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6,520,875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1,630,998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(686,482)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5,725,173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944,516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F- 65</w:t>
      </w:r>
    </w:p>
    <w:p>
      <w:pPr>
        <w:sectPr>
          <w:pgSz w:w="11900" w:h="16838" w:orient="portrait"/>
          <w:cols w:equalWidth="0" w:num="1">
            <w:col w:w="11420"/>
          </w:cols>
          <w:pgMar w:left="240" w:top="553"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color w:val="auto"/>
        </w:rPr>
        <w:t>Note 6 - Intangible Assets and Goodwill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January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vMerge w:val="restart"/>
          </w:tcPr>
          <w:p>
            <w:pPr>
              <w:spacing w:after="0"/>
              <w:rPr>
                <w:sz w:val="14"/>
                <w:szCs w:val="1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Gross Carrying Amount</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2-7 years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5,617,585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4-7 years</w:t>
            </w:r>
          </w:p>
        </w:tc>
        <w:tc>
          <w:tcPr>
            <w:tcW w:w="4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52,413,000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(10,990,951)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41,422,049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5-9 years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7,954,790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years</w:t>
            </w:r>
          </w:p>
        </w:tc>
        <w:tc>
          <w:tcPr>
            <w:tcW w:w="4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192,791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69,126,000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(13,938,785)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55,187,215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December 31,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vMerge w:val="restart"/>
          </w:tcPr>
          <w:p>
            <w:pPr>
              <w:spacing w:after="0"/>
              <w:rPr>
                <w:sz w:val="14"/>
                <w:szCs w:val="1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Gross Carrying Amount</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2-7 years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5,704,657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4-7 years</w:t>
            </w:r>
          </w:p>
        </w:tc>
        <w:tc>
          <w:tcPr>
            <w:tcW w:w="4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52,413,000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(10,363,148)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42,049,852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5-9 years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(1,328,034)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8,050,966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years</w:t>
            </w:r>
          </w:p>
        </w:tc>
        <w:tc>
          <w:tcPr>
            <w:tcW w:w="4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198,902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69,126,000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(13,121,623)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Based on the current amount of intangible assets subject to amortization, the amortization expense for each of the succeeding years is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8,988,782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2020</w:t>
            </w:r>
          </w:p>
        </w:tc>
        <w:tc>
          <w:tcPr>
            <w:tcW w:w="6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9,795,035</w:t>
            </w:r>
          </w:p>
        </w:tc>
      </w:tr>
      <w:tr>
        <w:trPr>
          <w:trHeight w:val="27"/>
        </w:trPr>
        <w:tc>
          <w:tcPr>
            <w:tcW w:w="31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9,744,647</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2022</w:t>
            </w:r>
          </w:p>
        </w:tc>
        <w:tc>
          <w:tcPr>
            <w:tcW w:w="6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9,662,750</w:t>
            </w:r>
          </w:p>
        </w:tc>
      </w:tr>
      <w:tr>
        <w:trPr>
          <w:trHeight w:val="27"/>
        </w:trPr>
        <w:tc>
          <w:tcPr>
            <w:tcW w:w="31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9,512,618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7,483,383</w:t>
            </w:r>
          </w:p>
        </w:tc>
      </w:tr>
      <w:tr>
        <w:trPr>
          <w:trHeight w:val="27"/>
        </w:trPr>
        <w:tc>
          <w:tcPr>
            <w:tcW w:w="31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spacing w:after="0"/>
              <w:rPr>
                <w:sz w:val="22"/>
                <w:szCs w:val="22"/>
                <w:color w:val="auto"/>
              </w:rPr>
            </w:pPr>
          </w:p>
        </w:tc>
        <w:tc>
          <w:tcPr>
            <w:tcW w:w="6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55,187,215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160" w:type="dxa"/>
            <w:vAlign w:val="bottom"/>
          </w:tcPr>
          <w:p>
            <w:pPr>
              <w:spacing w:after="0"/>
              <w:rPr>
                <w:sz w:val="24"/>
                <w:szCs w:val="24"/>
                <w:color w:val="auto"/>
              </w:rPr>
            </w:pPr>
          </w:p>
        </w:tc>
        <w:tc>
          <w:tcPr>
            <w:tcW w:w="7060" w:type="dxa"/>
            <w:vAlign w:val="bottom"/>
            <w:gridSpan w:val="2"/>
          </w:tcPr>
          <w:p>
            <w:pPr>
              <w:jc w:val="right"/>
              <w:ind w:right="4230"/>
              <w:spacing w:after="0"/>
              <w:rPr>
                <w:sz w:val="20"/>
                <w:szCs w:val="20"/>
                <w:color w:val="auto"/>
              </w:rPr>
            </w:pPr>
            <w:r>
              <w:rPr>
                <w:rFonts w:ascii="Arial" w:cs="Arial" w:eastAsia="Arial" w:hAnsi="Arial"/>
                <w:sz w:val="18"/>
                <w:szCs w:val="18"/>
                <w:color w:val="auto"/>
              </w:rPr>
              <w:t>F- 66</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r>
              <w:rPr>
                <w:rFonts w:ascii="Arial" w:cs="Arial" w:eastAsia="Arial" w:hAnsi="Arial"/>
                <w:sz w:val="18"/>
                <w:szCs w:val="18"/>
                <w:b w:val="1"/>
                <w:bCs w:val="1"/>
                <w:color w:val="auto"/>
              </w:rPr>
              <w:t>Note 6 - Intangible Assets and Goodwill (continued)</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820" w:type="dxa"/>
            <w:vAlign w:val="bottom"/>
          </w:tcPr>
          <w:p>
            <w:pPr>
              <w:ind w:left="340"/>
              <w:spacing w:after="0"/>
              <w:rPr>
                <w:sz w:val="20"/>
                <w:szCs w:val="20"/>
                <w:color w:val="auto"/>
              </w:rPr>
            </w:pPr>
            <w:r>
              <w:rPr>
                <w:rFonts w:ascii="Arial" w:cs="Arial" w:eastAsia="Arial" w:hAnsi="Arial"/>
                <w:sz w:val="18"/>
                <w:szCs w:val="18"/>
                <w:color w:val="auto"/>
                <w:w w:val="97"/>
              </w:rPr>
              <w:t>The changes in intangible assets subject to amortization were as follows as of December 31, 2018 and January 31, 2019:</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63,482,049</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 of Datanyze intangible assets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1,990,000</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(9,467,672)</w:t>
            </w:r>
          </w:p>
        </w:tc>
        <w:tc>
          <w:tcPr>
            <w:tcW w:w="0" w:type="dxa"/>
            <w:vAlign w:val="bottom"/>
          </w:tcPr>
          <w:p>
            <w:pPr>
              <w:spacing w:after="0"/>
              <w:rPr>
                <w:sz w:val="1"/>
                <w:szCs w:val="1"/>
                <w:color w:val="auto"/>
              </w:rPr>
            </w:pP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Balance as of December 31, 2018</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(817,162)</w:t>
            </w:r>
          </w:p>
        </w:tc>
        <w:tc>
          <w:tcPr>
            <w:tcW w:w="0" w:type="dxa"/>
            <w:vAlign w:val="bottom"/>
          </w:tcPr>
          <w:p>
            <w:pPr>
              <w:spacing w:after="0"/>
              <w:rPr>
                <w:sz w:val="1"/>
                <w:szCs w:val="1"/>
                <w:color w:val="auto"/>
              </w:rPr>
            </w:pP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Balance as of January 31, 2019</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55,187,215</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340"/>
              <w:spacing w:after="0"/>
              <w:rPr>
                <w:sz w:val="20"/>
                <w:szCs w:val="20"/>
                <w:color w:val="auto"/>
              </w:rPr>
            </w:pPr>
            <w:r>
              <w:rPr>
                <w:rFonts w:ascii="Arial" w:cs="Arial" w:eastAsia="Arial" w:hAnsi="Arial"/>
                <w:sz w:val="18"/>
                <w:szCs w:val="18"/>
                <w:color w:val="auto"/>
              </w:rPr>
              <w:t>Goodwill consisted of the following as of December 31, 2018 and January 31, 2019:</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155,173,906</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Acquisition of Datanyze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13,742,562</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December 31, 2018 and January 31, 2019</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168,916,468</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$1,085,000 which were recorded as a debt discount.</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Arial" w:cs="Arial" w:eastAsia="Arial" w:hAnsi="Arial"/>
          <w:sz w:val="18"/>
          <w:szCs w:val="18"/>
          <w:i w:val="1"/>
          <w:iCs w:val="1"/>
          <w:color w:val="auto"/>
        </w:rPr>
        <w:t>Liabilities/Extinguishment of Liabilities</w:t>
      </w:r>
      <w:r>
        <w:rPr>
          <w:rFonts w:ascii="Arial" w:cs="Arial" w:eastAsia="Arial" w:hAnsi="Arial"/>
          <w:sz w:val="18"/>
          <w:szCs w:val="18"/>
          <w:color w:val="auto"/>
        </w:rPr>
        <w:t xml:space="preserve"> and FASB ASC 470-50, </w:t>
      </w:r>
      <w:r>
        <w:rPr>
          <w:rFonts w:ascii="Arial" w:cs="Arial" w:eastAsia="Arial" w:hAnsi="Arial"/>
          <w:sz w:val="18"/>
          <w:szCs w:val="18"/>
          <w:i w:val="1"/>
          <w:iCs w:val="1"/>
          <w:color w:val="auto"/>
        </w:rPr>
        <w:t>Debt-Modifications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Extinguishments</w:t>
      </w:r>
      <w:r>
        <w:rPr>
          <w:rFonts w:ascii="Arial" w:cs="Arial" w:eastAsia="Arial" w:hAnsi="Arial"/>
          <w:sz w:val="18"/>
          <w:szCs w:val="18"/>
          <w:color w:val="auto"/>
        </w:rPr>
        <w:t>. As a result of the modification, the Company incurred additional financing costs directly to the lender of $491,923 which were recorded as a</w:t>
      </w:r>
      <w:r>
        <w:rPr>
          <w:rFonts w:ascii="Arial" w:cs="Arial" w:eastAsia="Arial" w:hAnsi="Arial"/>
          <w:sz w:val="18"/>
          <w:szCs w:val="18"/>
          <w:i w:val="1"/>
          <w:iCs w:val="1"/>
          <w:color w:val="auto"/>
        </w:rPr>
        <w:t xml:space="preserve"> </w:t>
      </w:r>
      <w:r>
        <w:rPr>
          <w:rFonts w:ascii="Arial" w:cs="Arial" w:eastAsia="Arial" w:hAnsi="Arial"/>
          <w:sz w:val="18"/>
          <w:szCs w:val="18"/>
          <w:color w:val="auto"/>
        </w:rPr>
        <w:t>debt discount.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F- 67</w:t>
      </w:r>
    </w:p>
    <w:p>
      <w:pPr>
        <w:sectPr>
          <w:pgSz w:w="11900" w:h="16838" w:orient="portrait"/>
          <w:cols w:equalWidth="0" w:num="1">
            <w:col w:w="11420"/>
          </w:cols>
          <w:pgMar w:left="240" w:top="553" w:right="2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color w:val="auto"/>
        </w:rPr>
        <w:t>Note 7 - Long-Term Debt (continued)</w:t>
      </w:r>
    </w:p>
    <w:p>
      <w:pPr>
        <w:spacing w:after="0" w:line="39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contractual principal payment obligations due per the Company’s credit agreements are as follows as of January 31, 2019:</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1,431,000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1,431,000</w:t>
            </w: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1,431,000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132,324,250</w:t>
            </w:r>
          </w:p>
        </w:tc>
      </w:tr>
      <w:tr>
        <w:trPr>
          <w:trHeight w:val="27"/>
        </w:trPr>
        <w:tc>
          <w:tcPr>
            <w:tcW w:w="9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136,617,250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Less: current portion of notes payable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(1,431,000)</w:t>
            </w: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discount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(2,797,016)</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Notes payable, net of current portion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132,389,234</w:t>
            </w: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Preferred Stock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Rights, preferences and privileges of the Series 1 Preferred, Series C Preferred and the Series A Preferred (collectively, the Preferred Stock) are as follows:</w:t>
      </w:r>
    </w:p>
    <w:p>
      <w:pPr>
        <w:spacing w:after="0" w:line="1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Preferred Stock are entitled to such number of votes per share as is equal to the number of shares of common stock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share of such Preferred Stock could be converted.</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The Series 1 Preferred Stock accrues dividends at a rate of 8% of the original issue price, plus previously accrued dividends, compounded</w:t>
      </w:r>
      <w:r>
        <w:rPr>
          <w:rFonts w:ascii="Arial" w:cs="Arial" w:eastAsia="Arial" w:hAnsi="Arial"/>
          <w:sz w:val="18"/>
          <w:szCs w:val="18"/>
          <w:b w:val="1"/>
          <w:bCs w:val="1"/>
          <w:color w:val="auto"/>
        </w:rPr>
        <w:t xml:space="preserve"> </w:t>
      </w:r>
      <w:r>
        <w:rPr>
          <w:rFonts w:ascii="Arial" w:cs="Arial" w:eastAsia="Arial" w:hAnsi="Arial"/>
          <w:sz w:val="18"/>
          <w:szCs w:val="18"/>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2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Conversion: </w:t>
      </w:r>
      <w:r>
        <w:rPr>
          <w:rFonts w:ascii="Arial" w:cs="Arial" w:eastAsia="Arial" w:hAnsi="Arial"/>
          <w:sz w:val="17"/>
          <w:szCs w:val="17"/>
          <w:color w:val="auto"/>
        </w:rPr>
        <w:t>Each outstanding share of Preferred Stock will convert into one share of Series V Common Stock concurrently with the closing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earlier of 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F- 68</w:t>
      </w:r>
    </w:p>
    <w:p>
      <w:pPr>
        <w:sectPr>
          <w:pgSz w:w="11900" w:h="16838" w:orient="portrait"/>
          <w:cols w:equalWidth="0" w:num="1">
            <w:col w:w="11420"/>
          </w:cols>
          <w:pgMar w:left="240" w:top="553" w:right="2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color w:val="auto"/>
        </w:rPr>
        <w:t>Note 9 - Preferred Stock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Liquidation: </w:t>
      </w:r>
      <w:r>
        <w:rPr>
          <w:rFonts w:ascii="Arial" w:cs="Arial" w:eastAsia="Arial" w:hAnsi="Arial"/>
          <w:sz w:val="16"/>
          <w:szCs w:val="16"/>
          <w:color w:val="auto"/>
        </w:rPr>
        <w:t>Upon the liquidation, dissolution, or winding up of the Company holders of shares of Preferred Stock are entitled on a pari passu basis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out of the assets of the Corporation available for distribution 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rights, preferences, and privileges of the Series A Common, Series B Common and Series V Common (collectively the Common Stock) are as follows:</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A Common and Series V Common are entitled to one vote for each share held. The Series B Common is nonvoting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Each outstanding share of Series A Common and Series B Common will automatically convert into one share of Series V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each outstanding share of Series A Common is convertible into Series V Common, at the option of the holder, at any time upon notice to the Company.</w:t>
      </w:r>
    </w:p>
    <w:p>
      <w:pPr>
        <w:spacing w:after="0" w:line="11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Dividends may be declared and paid on the Common Stock if and when determined by the Board of Directors. No such dividends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or paid during the period from January 1, 2019 through January 31, 2019 or the year ended December 31, 2018. Dividends are not cumulative and do not accrue.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Compensation Plan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2017, the Company adopted the 2017 Stock Plan (the Plan). The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Plan. The Board of Directors may at any time, amend, alter, suspend or terminate the Plan.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F- 69</w:t>
      </w:r>
    </w:p>
    <w:p>
      <w:pPr>
        <w:sectPr>
          <w:pgSz w:w="11900" w:h="16838" w:orient="portrait"/>
          <w:cols w:equalWidth="0" w:num="1">
            <w:col w:w="11420"/>
          </w:cols>
          <w:pgMar w:left="240" w:top="554" w:right="2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t>Note 11 - Stock Compensation Plan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options granted to date are exercisable into Class B common stock. The following table summarizes option activity under the Plan for the period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2019 through January 31, 2019 and the year ended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10,967,000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Canceled</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(302,580)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2.26</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10,502,180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Canceled</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0.58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31,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10,484,060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2.27-3.05%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1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5-6.08 years</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Volatility factor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39-41%</w:t>
            </w:r>
          </w:p>
        </w:tc>
      </w:tr>
    </w:tbl>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F- 70</w:t>
      </w:r>
    </w:p>
    <w:p>
      <w:pPr>
        <w:sectPr>
          <w:pgSz w:w="11900" w:h="16838" w:orient="portrait"/>
          <w:cols w:equalWidth="0" w:num="1">
            <w:col w:w="11420"/>
          </w:cols>
          <w:pgMar w:left="240" w:top="553" w:right="2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color w:val="auto"/>
        </w:rPr>
        <w:t>Note 12 - Income Taxes (continued)</w:t>
      </w:r>
    </w:p>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federal and state income tax provision (benefit) for the period from January 1, 2019 through January 31, 2019 and the year ended December 31, 2018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257,276</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257,276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(2,922,971)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244,981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(2,246,930)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(5,169,901)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(4,912,625)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340"/>
              <w:spacing w:after="0"/>
              <w:rPr>
                <w:sz w:val="20"/>
                <w:szCs w:val="20"/>
                <w:color w:val="auto"/>
              </w:rPr>
            </w:pPr>
            <w:r>
              <w:rPr>
                <w:rFonts w:ascii="Arial" w:cs="Arial" w:eastAsia="Arial" w:hAnsi="Arial"/>
                <w:sz w:val="18"/>
                <w:szCs w:val="18"/>
                <w:color w:val="auto"/>
                <w:w w:val="94"/>
              </w:rPr>
              <w:t>Deferred tax assets and liabilities consist of the following at January 31, 2019 and December 31, 2018:</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472,081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Research and development tax credit carryforwards</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2,101,617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1,702,844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(988,311)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temporary differences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(12,690,821)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limitation</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1,037,671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896,713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679,264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784,277</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(9,469,299)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(8,921,988)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F- 71</w:t>
      </w:r>
    </w:p>
    <w:p>
      <w:pPr>
        <w:sectPr>
          <w:pgSz w:w="11900" w:h="16838" w:orient="portrait"/>
          <w:cols w:equalWidth="0" w:num="1">
            <w:col w:w="11420"/>
          </w:cols>
          <w:pgMar w:left="240" w:top="554"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The Company leases office space under a non-cancelable operating lease for its headquarters in Waltham, Massachusetts.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entered into on August 31, 2017 provides for total monthly payments 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 expense, including operating costs, for the period from January 1, 2019 through January 31, 2019 and the year December 31, 2018 totaled $148,093 and $1,372,168,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due under this non-cancelable lease agreement are as follows as of January 31,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1,360,566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3,043,396</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3,186,723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3,186,723</w:t>
            </w:r>
          </w:p>
        </w:tc>
      </w:tr>
      <w:tr>
        <w:trPr>
          <w:trHeight w:val="27"/>
        </w:trPr>
        <w:tc>
          <w:tcPr>
            <w:tcW w:w="9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3,186,723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22,572,621</w:t>
            </w: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36,536,752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become involved in various legal matters arising in the ordinary course of business.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unaware of any matters requiring accrual or disclosure for related losses in the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 2019, 100% of the outstanding shares of the Company was acquired by DiscoverOrg Holdings, LLC.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F- 72</w:t>
      </w:r>
    </w:p>
    <w:p>
      <w:pPr>
        <w:sectPr>
          <w:pgSz w:w="11900" w:h="16838" w:orient="portrait"/>
          <w:cols w:equalWidth="0" w:num="1">
            <w:col w:w="11420"/>
          </w:cols>
          <w:pgMar w:left="240" w:top="337" w:right="239" w:bottom="1440" w:gutter="0" w:footer="0" w:header="0"/>
        </w:sectPr>
      </w:pPr>
    </w:p>
    <w:bookmarkStart w:id="256" w:name="page257"/>
    <w:bookmarkEnd w:id="256"/>
    <w:p>
      <w:pPr>
        <w:ind w:left="5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Shares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ZoomInfo Technologies Inc.</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1245870</wp:posOffset>
            </wp:positionV>
            <wp:extent cx="14319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354330</wp:posOffset>
            </wp:positionV>
            <wp:extent cx="1800860" cy="4629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08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200025</wp:posOffset>
            </wp:positionV>
            <wp:extent cx="14319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5720"/>
        <w:spacing w:after="0"/>
        <w:rPr>
          <w:sz w:val="20"/>
          <w:szCs w:val="20"/>
          <w:color w:val="auto"/>
        </w:rPr>
      </w:pPr>
      <w:r>
        <w:rPr>
          <w:rFonts w:ascii="Arial" w:cs="Arial" w:eastAsia="Arial" w:hAnsi="Arial"/>
          <w:sz w:val="29"/>
          <w:szCs w:val="29"/>
          <w:b w:val="1"/>
          <w:bCs w:val="1"/>
          <w:color w:val="auto"/>
        </w:rPr>
        <w:t>J.P. Morgan</w:t>
      </w:r>
      <w:r>
        <w:rPr>
          <w:rFonts w:ascii="Arial" w:cs="Arial" w:eastAsia="Arial" w:hAnsi="Arial"/>
          <w:sz w:val="29"/>
          <w:szCs w:val="29"/>
          <w:color w:val="auto"/>
          <w:vertAlign w:val="superscript"/>
        </w:rPr>
        <w:t>(1)</w:t>
      </w:r>
    </w:p>
    <w:p>
      <w:pPr>
        <w:spacing w:after="0" w:line="58" w:lineRule="exact"/>
        <w:rPr>
          <w:sz w:val="20"/>
          <w:szCs w:val="20"/>
          <w:color w:val="auto"/>
        </w:rPr>
      </w:pPr>
    </w:p>
    <w:p>
      <w:pPr>
        <w:jc w:val="center"/>
        <w:ind w:left="5720"/>
        <w:spacing w:after="0"/>
        <w:rPr>
          <w:sz w:val="20"/>
          <w:szCs w:val="20"/>
          <w:color w:val="auto"/>
        </w:rPr>
      </w:pPr>
      <w:r>
        <w:rPr>
          <w:rFonts w:ascii="Arial" w:cs="Arial" w:eastAsia="Arial" w:hAnsi="Arial"/>
          <w:sz w:val="29"/>
          <w:szCs w:val="29"/>
          <w:b w:val="1"/>
          <w:bCs w:val="1"/>
          <w:color w:val="auto"/>
        </w:rPr>
        <w:t>Morgan Stanley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In alphabetical order.</w:t>
      </w:r>
    </w:p>
    <w:p>
      <w:pPr>
        <w:spacing w:after="0" w:line="36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Through and including ,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1420"/>
          </w:cols>
          <w:pgMar w:left="240" w:top="1193" w:right="239" w:bottom="1440" w:gutter="0" w:footer="0" w:header="0"/>
        </w:sectPr>
      </w:pPr>
    </w:p>
    <w:bookmarkStart w:id="257" w:name="page258"/>
    <w:bookmarkEnd w:id="257"/>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w:t>
      </w:r>
    </w:p>
    <w:tbl>
      <w:tblPr>
        <w:tblLayout w:type="fixed"/>
        <w:tblInd w:w="0" w:type="dxa"/>
        <w:tblCellMar>
          <w:top w:w="0" w:type="dxa"/>
          <w:left w:w="0" w:type="dxa"/>
          <w:bottom w:w="0" w:type="dxa"/>
          <w:right w:w="0" w:type="dxa"/>
        </w:tblCellMar>
      </w:tblP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w w:val="94"/>
              </w:rPr>
              <w:t>the filing and listing fees payable to the Securities and Exchange Commission, the Financial Industry Regulatory Authority, Inc. and</w:t>
            </w:r>
          </w:p>
        </w:tc>
        <w:tc>
          <w:tcPr>
            <w:tcW w:w="380" w:type="dxa"/>
            <w:vAlign w:val="bottom"/>
          </w:tcPr>
          <w:p>
            <w:pPr>
              <w:spacing w:after="0"/>
              <w:rPr>
                <w:sz w:val="20"/>
                <w:szCs w:val="20"/>
                <w:color w:val="auto"/>
              </w:rPr>
            </w:pPr>
          </w:p>
        </w:tc>
        <w:tc>
          <w:tcPr>
            <w:tcW w:w="1220" w:type="dxa"/>
            <w:vAlign w:val="bottom"/>
          </w:tcPr>
          <w:p>
            <w:pPr>
              <w:jc w:val="right"/>
              <w:ind w:right="850"/>
              <w:spacing w:after="0"/>
              <w:rPr>
                <w:sz w:val="20"/>
                <w:szCs w:val="20"/>
                <w:color w:val="auto"/>
              </w:rPr>
            </w:pPr>
            <w:r>
              <w:rPr>
                <w:rFonts w:ascii="Arial" w:cs="Arial" w:eastAsia="Arial" w:hAnsi="Arial"/>
                <w:sz w:val="18"/>
                <w:szCs w:val="18"/>
                <w:color w:val="auto"/>
              </w:rPr>
              <w:t>.</w:t>
            </w:r>
          </w:p>
        </w:tc>
      </w:tr>
      <w:tr>
        <w:trPr>
          <w:trHeight w:val="283"/>
        </w:trPr>
        <w:tc>
          <w:tcPr>
            <w:tcW w:w="98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Filing Fee—Securities and Exchange Commission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Fee—Financial Industry Regulatory Authority, Inc.</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Listing Fee—</w:t>
            </w:r>
          </w:p>
        </w:tc>
        <w:tc>
          <w:tcPr>
            <w:tcW w:w="8400" w:type="dxa"/>
            <w:vAlign w:val="bottom"/>
            <w:tcBorders>
              <w:bottom w:val="single" w:sz="8" w:color="CCEEFF"/>
            </w:tcBorders>
            <w:shd w:val="clear" w:color="auto" w:fill="CCEEFF"/>
          </w:tcPr>
          <w:p>
            <w:pPr>
              <w:jc w:val="right"/>
              <w:ind w:right="8210"/>
              <w:spacing w:after="0"/>
              <w:rPr>
                <w:sz w:val="20"/>
                <w:szCs w:val="20"/>
                <w:color w:val="auto"/>
              </w:rPr>
            </w:pPr>
            <w:r>
              <w:rPr>
                <w:rFonts w:ascii="Arial" w:cs="Arial" w:eastAsia="Arial" w:hAnsi="Arial"/>
                <w:sz w:val="18"/>
                <w:szCs w:val="18"/>
                <w:color w:val="BFE4FF"/>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Fees of Transfer Agent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Fees and Expenses of Counsel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Fees and Expenses of Accountants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Printing Expenses</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Miscellaneous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4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________________</w:t>
            </w:r>
          </w:p>
        </w:tc>
        <w:tc>
          <w:tcPr>
            <w:tcW w:w="8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bl>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102(b)(7) of the Delaware General Corporation Law, or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for this limitation of liability.</w:t>
      </w:r>
    </w:p>
    <w:p>
      <w:pPr>
        <w:spacing w:after="0" w:line="13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37" w:right="239" w:bottom="1440" w:gutter="0" w:footer="0" w:header="0"/>
        </w:sectPr>
      </w:pPr>
    </w:p>
    <w:bookmarkStart w:id="258" w:name="page259"/>
    <w:bookmarkEnd w:id="258"/>
    <w:p>
      <w:pPr>
        <w:jc w:val="both"/>
        <w:ind w:firstLine="324"/>
        <w:spacing w:after="0" w:line="302" w:lineRule="auto"/>
        <w:rPr>
          <w:sz w:val="20"/>
          <w:szCs w:val="20"/>
          <w:color w:val="auto"/>
        </w:rPr>
      </w:pPr>
      <w:r>
        <w:rPr>
          <w:rFonts w:ascii="Arial" w:cs="Arial" w:eastAsia="Arial" w:hAnsi="Arial"/>
          <w:sz w:val="16"/>
          <w:szCs w:val="16"/>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intend to enter into indemnification agreements with our directors and executive officers.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our directors and officers by the underwriters against certain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14, 2019, the Registrant issued 100 shares of the Registrant’s Class B common stock, par value $0.01 per share, to DiscoverOrg Holdings, LLC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860" w:hanging="528"/>
        <w:spacing w:after="0"/>
        <w:tabs>
          <w:tab w:leader="none" w:pos="860" w:val="left"/>
        </w:tabs>
        <w:numPr>
          <w:ilvl w:val="0"/>
          <w:numId w:val="1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Exhibits. </w:t>
      </w:r>
      <w:r>
        <w:rPr>
          <w:rFonts w:ascii="Arial" w:cs="Arial" w:eastAsia="Arial" w:hAnsi="Arial"/>
          <w:sz w:val="16"/>
          <w:szCs w:val="16"/>
          <w:color w:val="auto"/>
        </w:rPr>
        <w:t>See the Exhibit Index immediately preceding the signature pages hereto, which is incorporated by reference as if fully set forth herein.</w:t>
      </w:r>
    </w:p>
    <w:p>
      <w:pPr>
        <w:sectPr>
          <w:pgSz w:w="11900" w:h="16838" w:orient="portrait"/>
          <w:cols w:equalWidth="0" w:num="1">
            <w:col w:w="11420"/>
          </w:cols>
          <w:pgMar w:left="240" w:top="342" w:right="239" w:bottom="1440" w:gutter="0" w:footer="0" w:header="0"/>
        </w:sectPr>
      </w:pPr>
    </w:p>
    <w:p>
      <w:pPr>
        <w:spacing w:after="0" w:line="194" w:lineRule="exact"/>
        <w:rPr>
          <w:sz w:val="20"/>
          <w:szCs w:val="20"/>
          <w:color w:val="auto"/>
        </w:rPr>
      </w:pPr>
    </w:p>
    <w:p>
      <w:pPr>
        <w:ind w:firstLine="332"/>
        <w:spacing w:after="0" w:line="264" w:lineRule="auto"/>
        <w:tabs>
          <w:tab w:leader="none" w:pos="93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The information required by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Information of DiscoverOrg Holdings, LLC” beginning on page F-section is incorporated herein by reference.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right"/>
        <w:spacing w:after="0" w:line="308" w:lineRule="auto"/>
        <w:rPr>
          <w:sz w:val="20"/>
          <w:szCs w:val="20"/>
          <w:color w:val="auto"/>
        </w:rPr>
      </w:pPr>
      <w:r>
        <w:rPr>
          <w:rFonts w:ascii="Arial" w:cs="Arial" w:eastAsia="Arial" w:hAnsi="Arial"/>
          <w:sz w:val="17"/>
          <w:szCs w:val="17"/>
          <w:color w:val="auto"/>
        </w:rPr>
        <w:t>item is contained under the section “Financial Statements—Schedule I of the prospectus that forms a part of this Registration Statement. That</w:t>
      </w:r>
    </w:p>
    <w:p>
      <w:pPr>
        <w:spacing w:after="0" w:line="381" w:lineRule="exact"/>
        <w:rPr>
          <w:sz w:val="20"/>
          <w:szCs w:val="20"/>
          <w:color w:val="auto"/>
        </w:rPr>
      </w:pPr>
    </w:p>
    <w:p>
      <w:pPr>
        <w:sectPr>
          <w:pgSz w:w="11900" w:h="16838" w:orient="portrait"/>
          <w:cols w:equalWidth="0" w:num="2">
            <w:col w:w="5940" w:space="80"/>
            <w:col w:w="5400"/>
          </w:cols>
          <w:pgMar w:left="240" w:top="342" w:right="239" w:bottom="1440" w:gutter="0" w:footer="0" w:header="0"/>
          <w:type w:val="continuous"/>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20"/>
          </w:cols>
          <w:pgMar w:left="240" w:top="342" w:right="239" w:bottom="1440" w:gutter="0" w:footer="0" w:header="0"/>
          <w:type w:val="continuous"/>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left="660" w:hanging="328"/>
        <w:spacing w:after="0" w:line="308" w:lineRule="auto"/>
        <w:tabs>
          <w:tab w:leader="none" w:pos="6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92"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2"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98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68"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sz w:val="20"/>
          <w:szCs w:val="20"/>
          <w:color w:val="auto"/>
        </w:rPr>
      </w:pPr>
    </w:p>
    <w:p>
      <w:pPr>
        <w:ind w:left="1300" w:hanging="320"/>
        <w:spacing w:after="0"/>
        <w:tabs>
          <w:tab w:leader="none" w:pos="1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337" w:right="239" w:bottom="1440" w:gutter="0" w:footer="0" w:header="0"/>
        </w:sectPr>
      </w:pPr>
    </w:p>
    <w:bookmarkStart w:id="260" w:name="page261"/>
    <w:bookmarkEnd w:id="260"/>
    <w:p>
      <w:pPr>
        <w:ind w:left="320" w:hanging="320"/>
        <w:spacing w:after="0" w:line="277" w:lineRule="auto"/>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320" w:hanging="320"/>
        <w:spacing w:after="0"/>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440"/>
          </w:cols>
          <w:pgMar w:left="1220" w:top="341" w:right="2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561"/>
        </w:trPr>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10380" w:type="dxa"/>
            <w:vAlign w:val="bottom"/>
          </w:tcPr>
          <w:p>
            <w:pPr>
              <w:ind w:left="488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Amended and Restated Bylaws of the Registrant*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Opinion of Simpson Thacher &amp; Bartlett LLP*</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Amended and Restated Limited Liability Company Agreement of ZoomInfo OpCo*</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Tax Receivable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Exchange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Registration Rights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Stockholders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Indemnification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2020 Omnibus Incentive Plan†*</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Employment agreements with named executive officers†*</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Forms of equity award agreements under 2020 Omnibus Incentive Plan†*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Lien Credit Agreement, dated as of February 1, 2019, among DiscoverOrg, LLC, DiscoverOrg Midco, LLC, the guarantors party thereto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from time to time, Morgan Stanley Senior Funding, Inc., as administrative agent, collateral agent and L/C issuer, and the other lenders and L/C</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issuers party thereto*</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First Lien Security Agreement, dated as of February 1, 2019, among DiscoverOrg, LLC, DiscoverOrg Midco, LLC, the grantors party thereto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from time to time and Morgan Stanley Senior Funding, Inc., as 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First Lien Holdings Guaranty, dated as of February 1, 2019, among DiscoverOrg Midco, LLC and Morgan Stanley Senior Funding, Inc.,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First Lien Subsidiary Guaranty, dated as of February 1, 2019, among the guarantors party thereto and Morgan Stanley Senior Funding, Inc.,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First Lien Intercompany Subordination Agreement, dated as of February 1, 2019, among DiscoverOrg, LLC, DiscoverOrg Midco, LLC,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subordinated creditors and obligors party thereto from time to time and Morgan Stanley Senior Funding, Inc., as administrative agent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Second Lien Credit Agreement, dated as of February 1, 2019, among DiscoverOrg, LLC, DiscoverOrg Midco, LLC, the guarantors party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thereto from time to time, Morgan Stanley Senior Funding, Inc., as administrative agent, collateral agent and L/C issuer, and the other lenders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L/C issuers party thereto*</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Second Lien Security Agreement, dated as of February 1, 2019, among DiscoverOrg, LLC, DiscoverOrg Midco, LLC, the grantors party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thereto from time to time and Morgan Stanley Senior Funding, Inc., as 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Lien Holdings Guaranty, dated as of February 1, 2019, among DiscoverOrg Midco, LLC and Morgan Stanley Senior Funding, Inc.,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Lien Subsidiary Guaranty, dated as of February 1, 2019, among the guarantors party thereto and Morgan Stanley Senior Funding, Inc.,</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as 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Second Lien Intercompany Subordination Agreement, dated as of February 1, 2019, among DiscoverOrg, LLC, DiscoverOrg Midco, LLC,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subordinated creditors and obligors party thereto from time to time and Morgan Stanley Senior Funding, Inc., as administrative agent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Lien/Second Lien Intercreditor Agreement, dated as of February 1, 2019, among DiscoverOrg, LLC, DiscoverOrg Midco, LLC, the other</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grantors thereto from time to time, Morgan Stanley Senior Funding, Inc., as senior priority representative, Morgan Stanley Senior Funding,</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 as second priority representative, and additional representatives party thereto from time to time*</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337" w:right="2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10380" w:type="dxa"/>
            <w:vAlign w:val="bottom"/>
          </w:tcPr>
          <w:p>
            <w:pPr>
              <w:ind w:left="488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w w:val="96"/>
              </w:rPr>
              <w:t>21.1</w:t>
            </w:r>
          </w:p>
        </w:tc>
        <w:tc>
          <w:tcPr>
            <w:tcW w:w="120" w:type="dxa"/>
            <w:vAlign w:val="bottom"/>
          </w:tcPr>
          <w:p>
            <w:pPr>
              <w:spacing w:after="0"/>
              <w:rPr>
                <w:sz w:val="21"/>
                <w:szCs w:val="21"/>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920" w:type="dxa"/>
            <w:vAlign w:val="bottom"/>
          </w:tcPr>
          <w:p>
            <w:pPr>
              <w:jc w:val="right"/>
              <w:ind w:right="473"/>
              <w:spacing w:after="0"/>
              <w:rPr>
                <w:sz w:val="20"/>
                <w:szCs w:val="20"/>
                <w:color w:val="auto"/>
              </w:rPr>
            </w:pPr>
            <w:r>
              <w:rPr>
                <w:rFonts w:ascii="Arial" w:cs="Arial" w:eastAsia="Arial" w:hAnsi="Arial"/>
                <w:sz w:val="18"/>
                <w:szCs w:val="18"/>
                <w:color w:val="auto"/>
                <w:w w:val="96"/>
              </w:rPr>
              <w:t>23.1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920" w:type="dxa"/>
            <w:vAlign w:val="bottom"/>
          </w:tcPr>
          <w:p>
            <w:pPr>
              <w:jc w:val="right"/>
              <w:ind w:right="473"/>
              <w:spacing w:after="0"/>
              <w:rPr>
                <w:sz w:val="20"/>
                <w:szCs w:val="20"/>
                <w:color w:val="auto"/>
              </w:rPr>
            </w:pPr>
            <w:r>
              <w:rPr>
                <w:rFonts w:ascii="Arial" w:cs="Arial" w:eastAsia="Arial" w:hAnsi="Arial"/>
                <w:sz w:val="18"/>
                <w:szCs w:val="18"/>
                <w:color w:val="auto"/>
                <w:w w:val="96"/>
              </w:rPr>
              <w:t>23.2</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RSM US LLP*</w:t>
            </w:r>
          </w:p>
        </w:tc>
      </w:tr>
      <w:tr>
        <w:trPr>
          <w:trHeight w:val="270"/>
        </w:trPr>
        <w:tc>
          <w:tcPr>
            <w:tcW w:w="920" w:type="dxa"/>
            <w:vAlign w:val="bottom"/>
          </w:tcPr>
          <w:p>
            <w:pPr>
              <w:jc w:val="right"/>
              <w:ind w:right="473"/>
              <w:spacing w:after="0"/>
              <w:rPr>
                <w:sz w:val="20"/>
                <w:szCs w:val="20"/>
                <w:color w:val="auto"/>
              </w:rPr>
            </w:pPr>
            <w:r>
              <w:rPr>
                <w:rFonts w:ascii="Arial" w:cs="Arial" w:eastAsia="Arial" w:hAnsi="Arial"/>
                <w:sz w:val="18"/>
                <w:szCs w:val="18"/>
                <w:color w:val="auto"/>
                <w:w w:val="96"/>
              </w:rPr>
              <w:t>23.3</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Simpson Thacher &amp; Bartlett LLP (included as part of Exhibit 5.1)*</w:t>
            </w:r>
          </w:p>
        </w:tc>
      </w:tr>
      <w:tr>
        <w:trPr>
          <w:trHeight w:val="270"/>
        </w:trPr>
        <w:tc>
          <w:tcPr>
            <w:tcW w:w="920" w:type="dxa"/>
            <w:vAlign w:val="bottom"/>
          </w:tcPr>
          <w:p>
            <w:pPr>
              <w:jc w:val="right"/>
              <w:ind w:right="473"/>
              <w:spacing w:after="0"/>
              <w:rPr>
                <w:sz w:val="20"/>
                <w:szCs w:val="20"/>
                <w:color w:val="auto"/>
              </w:rPr>
            </w:pPr>
            <w:r>
              <w:rPr>
                <w:rFonts w:ascii="Arial" w:cs="Arial" w:eastAsia="Arial" w:hAnsi="Arial"/>
                <w:sz w:val="18"/>
                <w:szCs w:val="18"/>
                <w:color w:val="auto"/>
                <w:w w:val="96"/>
              </w:rPr>
              <w:t>24.1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Power of Attorney (included in signature pages of this Registration Statement)*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563"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w w:val="93"/>
              </w:rPr>
              <w:t>behalf by the undersigned, thereunto duly authorized, in the City of Vancouver, State of Washington, on the</w:t>
            </w:r>
          </w:p>
        </w:tc>
        <w:tc>
          <w:tcPr>
            <w:tcW w:w="1140" w:type="dxa"/>
            <w:vAlign w:val="bottom"/>
          </w:tcPr>
          <w:p>
            <w:pPr>
              <w:ind w:left="240"/>
              <w:spacing w:after="0"/>
              <w:rPr>
                <w:sz w:val="20"/>
                <w:szCs w:val="20"/>
                <w:color w:val="auto"/>
              </w:rPr>
            </w:pPr>
            <w:r>
              <w:rPr>
                <w:rFonts w:ascii="Arial" w:cs="Arial" w:eastAsia="Arial" w:hAnsi="Arial"/>
                <w:sz w:val="18"/>
                <w:szCs w:val="18"/>
                <w:color w:val="auto"/>
              </w:rPr>
              <w:t>day of</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550"/>
              <w:spacing w:after="0"/>
              <w:rPr>
                <w:sz w:val="20"/>
                <w:szCs w:val="20"/>
                <w:color w:val="auto"/>
              </w:rPr>
            </w:pPr>
            <w:r>
              <w:rPr>
                <w:rFonts w:ascii="Arial" w:cs="Arial" w:eastAsia="Arial" w:hAnsi="Arial"/>
                <w:sz w:val="18"/>
                <w:szCs w:val="18"/>
                <w:color w:val="auto"/>
              </w:rPr>
              <w:t>.</w:t>
            </w:r>
          </w:p>
        </w:tc>
      </w:tr>
      <w:tr>
        <w:trPr>
          <w:trHeight w:val="526"/>
        </w:trPr>
        <w:tc>
          <w:tcPr>
            <w:tcW w:w="11420" w:type="dxa"/>
            <w:vAlign w:val="bottom"/>
            <w:gridSpan w:val="5"/>
          </w:tcPr>
          <w:p>
            <w:pPr>
              <w:ind w:left="7020"/>
              <w:spacing w:after="0"/>
              <w:rPr>
                <w:sz w:val="20"/>
                <w:szCs w:val="20"/>
                <w:color w:val="auto"/>
              </w:rPr>
            </w:pPr>
            <w:r>
              <w:rPr>
                <w:rFonts w:ascii="Arial" w:cs="Arial" w:eastAsia="Arial" w:hAnsi="Arial"/>
                <w:sz w:val="18"/>
                <w:szCs w:val="18"/>
                <w:color w:val="auto"/>
              </w:rPr>
              <w:t>ZOOMINFO TECHNOLOGIES INC.</w:t>
            </w:r>
          </w:p>
        </w:tc>
      </w:tr>
      <w:tr>
        <w:trPr>
          <w:trHeight w:val="540"/>
        </w:trPr>
        <w:tc>
          <w:tcPr>
            <w:tcW w:w="8000" w:type="dxa"/>
            <w:vAlign w:val="bottom"/>
            <w:gridSpan w:val="2"/>
          </w:tcPr>
          <w:p>
            <w:pPr>
              <w:ind w:left="7020"/>
              <w:spacing w:after="0"/>
              <w:rPr>
                <w:sz w:val="20"/>
                <w:szCs w:val="20"/>
                <w:color w:val="auto"/>
              </w:rPr>
            </w:pPr>
            <w:r>
              <w:rPr>
                <w:rFonts w:ascii="Arial" w:cs="Arial" w:eastAsia="Arial" w:hAnsi="Arial"/>
                <w:sz w:val="18"/>
                <w:szCs w:val="18"/>
                <w:color w:val="auto"/>
              </w:rPr>
              <w:t>By:</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
        </w:trPr>
        <w:tc>
          <w:tcPr>
            <w:tcW w:w="75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2"/>
        </w:trPr>
        <w:tc>
          <w:tcPr>
            <w:tcW w:w="754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1"/>
              </w:rPr>
              <w:t>Name: Henry Schuck</w:t>
            </w: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754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Title:</w:t>
            </w:r>
          </w:p>
        </w:tc>
        <w:tc>
          <w:tcPr>
            <w:tcW w:w="3420" w:type="dxa"/>
            <w:vAlign w:val="bottom"/>
            <w:gridSpan w:val="3"/>
          </w:tcPr>
          <w:p>
            <w:pPr>
              <w:jc w:val="right"/>
              <w:ind w:right="1530"/>
              <w:spacing w:after="0"/>
              <w:rPr>
                <w:sz w:val="20"/>
                <w:szCs w:val="20"/>
                <w:color w:val="auto"/>
              </w:rPr>
            </w:pPr>
            <w:r>
              <w:rPr>
                <w:rFonts w:ascii="Arial" w:cs="Arial" w:eastAsia="Arial" w:hAnsi="Arial"/>
                <w:sz w:val="18"/>
                <w:szCs w:val="18"/>
                <w:color w:val="auto"/>
                <w:w w:val="97"/>
              </w:rPr>
              <w:t>Chief Executive Officer</w:t>
            </w: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Henry Schuck, Cameron Hyzer and Anthony Stark,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and Power of Attorney have been signed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w w:val="96"/>
              </w:rPr>
              <w:t>following persons in the capacities indicated on the</w:t>
            </w:r>
          </w:p>
        </w:tc>
        <w:tc>
          <w:tcPr>
            <w:tcW w:w="980" w:type="dxa"/>
            <w:vAlign w:val="bottom"/>
          </w:tcPr>
          <w:p>
            <w:pPr>
              <w:ind w:left="260"/>
              <w:spacing w:after="0"/>
              <w:rPr>
                <w:sz w:val="20"/>
                <w:szCs w:val="20"/>
                <w:color w:val="auto"/>
              </w:rPr>
            </w:pPr>
            <w:r>
              <w:rPr>
                <w:rFonts w:ascii="Arial" w:cs="Arial" w:eastAsia="Arial" w:hAnsi="Arial"/>
                <w:sz w:val="18"/>
                <w:szCs w:val="18"/>
                <w:color w:val="auto"/>
              </w:rPr>
              <w:t>day of</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592"/>
              <w:spacing w:after="0"/>
              <w:rPr>
                <w:sz w:val="20"/>
                <w:szCs w:val="20"/>
                <w:color w:val="auto"/>
              </w:rPr>
            </w:pPr>
            <w:r>
              <w:rPr>
                <w:rFonts w:ascii="Arial" w:cs="Arial" w:eastAsia="Arial" w:hAnsi="Arial"/>
                <w:sz w:val="18"/>
                <w:szCs w:val="18"/>
                <w:color w:val="auto"/>
              </w:rPr>
              <w:t>.</w:t>
            </w:r>
          </w:p>
        </w:tc>
      </w:tr>
      <w:tr>
        <w:trPr>
          <w:trHeight w:val="547"/>
        </w:trPr>
        <w:tc>
          <w:tcPr>
            <w:tcW w:w="3940" w:type="dxa"/>
            <w:vAlign w:val="bottom"/>
            <w:tcBorders>
              <w:bottom w:val="single" w:sz="8" w:color="auto"/>
            </w:tcBorders>
          </w:tcPr>
          <w:p>
            <w:pPr>
              <w:jc w:val="center"/>
              <w:ind w:left="894"/>
              <w:spacing w:after="0"/>
              <w:rPr>
                <w:sz w:val="20"/>
                <w:szCs w:val="20"/>
                <w:color w:val="auto"/>
              </w:rPr>
            </w:pPr>
            <w:r>
              <w:rPr>
                <w:rFonts w:ascii="Arial" w:cs="Arial" w:eastAsia="Arial" w:hAnsi="Arial"/>
                <w:sz w:val="14"/>
                <w:szCs w:val="14"/>
                <w:b w:val="1"/>
                <w:bCs w:val="1"/>
                <w:color w:val="auto"/>
                <w:w w:val="92"/>
              </w:rPr>
              <w:t>Signature</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Title</w:t>
            </w:r>
          </w:p>
        </w:tc>
      </w:tr>
      <w:tr>
        <w:trPr>
          <w:trHeight w:val="391"/>
        </w:trPr>
        <w:tc>
          <w:tcPr>
            <w:tcW w:w="3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40" w:type="dxa"/>
            <w:vAlign w:val="bottom"/>
          </w:tcPr>
          <w:p>
            <w:pPr>
              <w:jc w:val="center"/>
              <w:ind w:right="272"/>
              <w:spacing w:after="0"/>
              <w:rPr>
                <w:sz w:val="20"/>
                <w:szCs w:val="20"/>
                <w:color w:val="auto"/>
              </w:rPr>
            </w:pPr>
            <w:r>
              <w:rPr>
                <w:rFonts w:ascii="Arial" w:cs="Arial" w:eastAsia="Arial" w:hAnsi="Arial"/>
                <w:sz w:val="18"/>
                <w:szCs w:val="18"/>
                <w:color w:val="auto"/>
                <w:w w:val="92"/>
              </w:rPr>
              <w:t>Chief Executive Officer and Chairman of the Board of Directors</w:t>
            </w:r>
          </w:p>
        </w:tc>
      </w:tr>
      <w:tr>
        <w:trPr>
          <w:trHeight w:val="237"/>
        </w:trPr>
        <w:tc>
          <w:tcPr>
            <w:tcW w:w="3940" w:type="dxa"/>
            <w:vAlign w:val="bottom"/>
          </w:tcPr>
          <w:p>
            <w:pPr>
              <w:jc w:val="center"/>
              <w:ind w:left="914"/>
              <w:spacing w:after="0"/>
              <w:rPr>
                <w:sz w:val="20"/>
                <w:szCs w:val="20"/>
                <w:color w:val="auto"/>
              </w:rPr>
            </w:pPr>
            <w:r>
              <w:rPr>
                <w:rFonts w:ascii="Arial" w:cs="Arial" w:eastAsia="Arial" w:hAnsi="Arial"/>
                <w:sz w:val="18"/>
                <w:szCs w:val="18"/>
                <w:color w:val="auto"/>
                <w:w w:val="91"/>
              </w:rPr>
              <w:t>Henry Schuck</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40" w:type="dxa"/>
            <w:vAlign w:val="bottom"/>
          </w:tcPr>
          <w:p>
            <w:pPr>
              <w:jc w:val="center"/>
              <w:ind w:right="252"/>
              <w:spacing w:after="0"/>
              <w:rPr>
                <w:sz w:val="20"/>
                <w:szCs w:val="20"/>
                <w:color w:val="auto"/>
              </w:rPr>
            </w:pPr>
            <w:r>
              <w:rPr>
                <w:rFonts w:ascii="Arial" w:cs="Arial" w:eastAsia="Arial" w:hAnsi="Arial"/>
                <w:sz w:val="18"/>
                <w:szCs w:val="18"/>
                <w:color w:val="auto"/>
                <w:w w:val="94"/>
              </w:rPr>
              <w:t>(principal executive officer)</w:t>
            </w:r>
          </w:p>
        </w:tc>
      </w:tr>
      <w:tr>
        <w:trPr>
          <w:trHeight w:val="419"/>
        </w:trPr>
        <w:tc>
          <w:tcPr>
            <w:tcW w:w="3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40" w:type="dxa"/>
            <w:vAlign w:val="bottom"/>
          </w:tcPr>
          <w:p>
            <w:pPr>
              <w:jc w:val="center"/>
              <w:ind w:right="272"/>
              <w:spacing w:after="0"/>
              <w:rPr>
                <w:sz w:val="20"/>
                <w:szCs w:val="20"/>
                <w:color w:val="auto"/>
              </w:rPr>
            </w:pPr>
            <w:r>
              <w:rPr>
                <w:rFonts w:ascii="Arial" w:cs="Arial" w:eastAsia="Arial" w:hAnsi="Arial"/>
                <w:sz w:val="18"/>
                <w:szCs w:val="18"/>
                <w:color w:val="auto"/>
                <w:w w:val="94"/>
              </w:rPr>
              <w:t>Chief Financial Officer</w:t>
            </w:r>
          </w:p>
        </w:tc>
      </w:tr>
      <w:tr>
        <w:trPr>
          <w:trHeight w:val="237"/>
        </w:trPr>
        <w:tc>
          <w:tcPr>
            <w:tcW w:w="3940" w:type="dxa"/>
            <w:vAlign w:val="bottom"/>
          </w:tcPr>
          <w:p>
            <w:pPr>
              <w:jc w:val="center"/>
              <w:ind w:left="914"/>
              <w:spacing w:after="0"/>
              <w:rPr>
                <w:sz w:val="20"/>
                <w:szCs w:val="20"/>
                <w:color w:val="auto"/>
              </w:rPr>
            </w:pPr>
            <w:r>
              <w:rPr>
                <w:rFonts w:ascii="Arial" w:cs="Arial" w:eastAsia="Arial" w:hAnsi="Arial"/>
                <w:sz w:val="18"/>
                <w:szCs w:val="18"/>
                <w:color w:val="auto"/>
                <w:w w:val="90"/>
              </w:rPr>
              <w:t>Cameron Hyzer</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40" w:type="dxa"/>
            <w:vAlign w:val="bottom"/>
          </w:tcPr>
          <w:p>
            <w:pPr>
              <w:jc w:val="center"/>
              <w:ind w:right="272"/>
              <w:spacing w:after="0"/>
              <w:rPr>
                <w:sz w:val="20"/>
                <w:szCs w:val="20"/>
                <w:color w:val="auto"/>
              </w:rPr>
            </w:pPr>
            <w:r>
              <w:rPr>
                <w:rFonts w:ascii="Arial" w:cs="Arial" w:eastAsia="Arial" w:hAnsi="Arial"/>
                <w:sz w:val="18"/>
                <w:szCs w:val="18"/>
                <w:color w:val="auto"/>
                <w:w w:val="96"/>
              </w:rPr>
              <w:t>(principal financial officer)</w:t>
            </w:r>
          </w:p>
        </w:tc>
      </w:tr>
      <w:tr>
        <w:trPr>
          <w:trHeight w:val="419"/>
        </w:trPr>
        <w:tc>
          <w:tcPr>
            <w:tcW w:w="3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40" w:type="dxa"/>
            <w:vAlign w:val="bottom"/>
          </w:tcPr>
          <w:p>
            <w:pPr>
              <w:jc w:val="center"/>
              <w:ind w:right="252"/>
              <w:spacing w:after="0"/>
              <w:rPr>
                <w:sz w:val="20"/>
                <w:szCs w:val="20"/>
                <w:color w:val="auto"/>
              </w:rPr>
            </w:pPr>
            <w:r>
              <w:rPr>
                <w:rFonts w:ascii="Arial" w:cs="Arial" w:eastAsia="Arial" w:hAnsi="Arial"/>
                <w:sz w:val="18"/>
                <w:szCs w:val="18"/>
                <w:color w:val="auto"/>
                <w:w w:val="92"/>
              </w:rPr>
              <w:t>Vice President of Accounting and Controller</w:t>
            </w:r>
          </w:p>
        </w:tc>
      </w:tr>
      <w:tr>
        <w:trPr>
          <w:trHeight w:val="237"/>
        </w:trPr>
        <w:tc>
          <w:tcPr>
            <w:tcW w:w="3940" w:type="dxa"/>
            <w:vAlign w:val="bottom"/>
          </w:tcPr>
          <w:p>
            <w:pPr>
              <w:jc w:val="center"/>
              <w:ind w:left="914"/>
              <w:spacing w:after="0"/>
              <w:rPr>
                <w:sz w:val="20"/>
                <w:szCs w:val="20"/>
                <w:color w:val="auto"/>
              </w:rPr>
            </w:pPr>
            <w:r>
              <w:rPr>
                <w:rFonts w:ascii="Arial" w:cs="Arial" w:eastAsia="Arial" w:hAnsi="Arial"/>
                <w:sz w:val="18"/>
                <w:szCs w:val="18"/>
                <w:color w:val="auto"/>
                <w:w w:val="93"/>
              </w:rPr>
              <w:t>David Reid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40" w:type="dxa"/>
            <w:vAlign w:val="bottom"/>
          </w:tcPr>
          <w:p>
            <w:pPr>
              <w:jc w:val="center"/>
              <w:ind w:right="272"/>
              <w:spacing w:after="0"/>
              <w:rPr>
                <w:sz w:val="20"/>
                <w:szCs w:val="20"/>
                <w:color w:val="auto"/>
              </w:rPr>
            </w:pPr>
            <w:r>
              <w:rPr>
                <w:rFonts w:ascii="Arial" w:cs="Arial" w:eastAsia="Arial" w:hAnsi="Arial"/>
                <w:sz w:val="18"/>
                <w:szCs w:val="18"/>
                <w:color w:val="auto"/>
                <w:w w:val="94"/>
              </w:rPr>
              <w:t>(principal accounting officer)</w:t>
            </w:r>
          </w:p>
        </w:tc>
      </w:tr>
      <w:tr>
        <w:trPr>
          <w:trHeight w:val="837"/>
        </w:trPr>
        <w:tc>
          <w:tcPr>
            <w:tcW w:w="3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40" w:type="dxa"/>
            <w:vAlign w:val="bottom"/>
          </w:tcPr>
          <w:p>
            <w:pPr>
              <w:jc w:val="center"/>
              <w:ind w:right="5292"/>
              <w:spacing w:after="0"/>
              <w:rPr>
                <w:sz w:val="20"/>
                <w:szCs w:val="20"/>
                <w:color w:val="auto"/>
              </w:rPr>
            </w:pPr>
            <w:r>
              <w:rPr>
                <w:rFonts w:ascii="Arial" w:cs="Arial" w:eastAsia="Arial" w:hAnsi="Arial"/>
                <w:sz w:val="18"/>
                <w:szCs w:val="18"/>
                <w:color w:val="auto"/>
                <w:w w:val="99"/>
              </w:rPr>
              <w:t>II-7</w:t>
            </w:r>
          </w:p>
        </w:tc>
      </w:tr>
    </w:tbl>
    <w:p>
      <w:pPr>
        <w:spacing w:after="0" w:line="1" w:lineRule="exact"/>
        <w:rPr>
          <w:sz w:val="20"/>
          <w:szCs w:val="20"/>
          <w:color w:val="auto"/>
        </w:rPr>
      </w:pPr>
    </w:p>
    <w:sectPr>
      <w:pgSz w:w="11900" w:h="16838" w:orient="portrait"/>
      <w:cols w:equalWidth="0" w:num="1">
        <w:col w:w="11420"/>
      </w:cols>
      <w:pgMar w:left="240" w:top="3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1"/>
    </w:lvl>
  </w:abstractNum>
  <w:abstractNum w:abstractNumId="1">
    <w:nsid w:val="4962813B"/>
    <w:multiLevelType w:val="hybridMultilevel"/>
    <w:lvl w:ilvl="0">
      <w:lvlJc w:val="left"/>
      <w:lvlText w:val="(%1)"/>
      <w:numFmt w:val="decimal"/>
      <w:start w:val="3"/>
    </w:lvl>
  </w:abstractNum>
  <w:abstractNum w:abstractNumId="2">
    <w:nsid w:val="60B6DF70"/>
    <w:multiLevelType w:val="hybridMultilevel"/>
    <w:lvl w:ilvl="0">
      <w:lvlJc w:val="left"/>
      <w:lvlText w:val="(%1)"/>
      <w:numFmt w:val="decimal"/>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1)"/>
      <w:numFmt w:val="decimal"/>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1)"/>
      <w:numFmt w:val="decimal"/>
      <w:start w:val="2"/>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ldblquote"/>
      <w:numFmt w:val="bullet"/>
      <w:start w:val="1"/>
    </w:lvl>
  </w:abstractNum>
  <w:abstractNum w:abstractNumId="18">
    <w:nsid w:val="3222E7CD"/>
    <w:multiLevelType w:val="hybridMultilevel"/>
    <w:lvl w:ilvl="0">
      <w:lvlJc w:val="left"/>
      <w:lvlText w:val="(%1)"/>
      <w:numFmt w:val="decimal"/>
      <w:start w:val="1"/>
    </w:lvl>
  </w:abstractNum>
  <w:abstractNum w:abstractNumId="19">
    <w:nsid w:val="74DE0EE3"/>
    <w:multiLevelType w:val="hybridMultilevel"/>
    <w:lvl w:ilvl="0">
      <w:lvlJc w:val="left"/>
      <w:lvlText w:val="%1"/>
      <w:numFmt w:val="decimal"/>
      <w:start w:val="1"/>
    </w:lvl>
    <w:lvl w:ilvl="1">
      <w:lvlJc w:val="left"/>
      <w:lvlText w:val="(%2)"/>
      <w:numFmt w:val="lowerLetter"/>
      <w:start w:val="1"/>
    </w:lvl>
  </w:abstractNum>
  <w:abstractNum w:abstractNumId="20">
    <w:nsid w:val="68EBC550"/>
    <w:multiLevelType w:val="hybridMultilevel"/>
    <w:lvl w:ilvl="0">
      <w:lvlJc w:val="left"/>
      <w:lvlText w:val="(%1)"/>
      <w:numFmt w:val="decimal"/>
      <w:start w:val="2"/>
    </w:lvl>
    <w:lvl w:ilvl="1">
      <w:lvlJc w:val="left"/>
      <w:lvlText w:val="%2"/>
      <w:numFmt w:val="lowerLetter"/>
      <w:start w:val="1"/>
    </w:lvl>
  </w:abstractNum>
  <w:abstractNum w:abstractNumId="21">
    <w:nsid w:val="2DF6D648"/>
    <w:multiLevelType w:val="hybridMultilevel"/>
    <w:lvl w:ilvl="0">
      <w:lvlJc w:val="left"/>
      <w:lvlText w:val="(%1)"/>
      <w:numFmt w:val="decimal"/>
      <w:start w:val="3"/>
    </w:lvl>
  </w:abstractNum>
  <w:abstractNum w:abstractNumId="22">
    <w:nsid w:val="46B7D447"/>
    <w:multiLevelType w:val="hybridMultilevel"/>
    <w:lvl w:ilvl="0">
      <w:lvlJc w:val="left"/>
      <w:lvlText w:val="%1"/>
      <w:numFmt w:val="decimal"/>
      <w:start w:val="1"/>
    </w:lvl>
    <w:lvl w:ilvl="1">
      <w:lvlJc w:val="left"/>
      <w:lvlText w:val="(%2)"/>
      <w:numFmt w:val="lowerLetter"/>
      <w:start w:val="1"/>
    </w:lvl>
  </w:abstractNum>
  <w:abstractNum w:abstractNumId="23">
    <w:nsid w:val="4A2AC315"/>
    <w:multiLevelType w:val="hybridMultilevel"/>
    <w:lvl w:ilvl="0">
      <w:lvlJc w:val="left"/>
      <w:lvlText w:val="(%1)"/>
      <w:numFmt w:val="decimal"/>
      <w:start w:val="6"/>
    </w:lvl>
    <w:lvl w:ilvl="1">
      <w:lvlJc w:val="left"/>
      <w:lvlText w:val="%2"/>
      <w:numFmt w:val="lowerLetter"/>
      <w:start w:val="1"/>
    </w:lvl>
  </w:abstractNum>
  <w:abstractNum w:abstractNumId="24">
    <w:nsid w:val="39EE015C"/>
    <w:multiLevelType w:val="hybridMultilevel"/>
    <w:lvl w:ilvl="0">
      <w:lvlJc w:val="left"/>
      <w:lvlText w:val="%1"/>
      <w:numFmt w:val="decimal"/>
      <w:start w:val="1"/>
    </w:lvl>
    <w:lvl w:ilvl="1">
      <w:lvlJc w:val="left"/>
      <w:lvlText w:val="(%2)"/>
      <w:numFmt w:val="lowerLetter"/>
      <w:start w:val="1"/>
    </w:lvl>
  </w:abstractNum>
  <w:abstractNum w:abstractNumId="25">
    <w:nsid w:val="57FC4FBB"/>
    <w:multiLevelType w:val="hybridMultilevel"/>
    <w:lvl w:ilvl="0">
      <w:lvlJc w:val="left"/>
      <w:lvlText w:val="(%1)"/>
      <w:numFmt w:val="decimal"/>
      <w:start w:val="8"/>
    </w:lvl>
    <w:lvl w:ilvl="1">
      <w:lvlJc w:val="left"/>
      <w:lvlText w:val="%2"/>
      <w:numFmt w:val="lowerLetter"/>
      <w:start w:val="1"/>
    </w:lvl>
  </w:abstractNum>
  <w:abstractNum w:abstractNumId="26">
    <w:nsid w:val="CC1016F"/>
    <w:multiLevelType w:val="hybridMultilevel"/>
    <w:lvl w:ilvl="0">
      <w:lvlJc w:val="left"/>
      <w:lvlText w:val="(%1)"/>
      <w:numFmt w:val="lowerLetter"/>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1)"/>
      <w:numFmt w:val="lowerRoman"/>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1)"/>
      <w:numFmt w:val="lowerRoman"/>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1)"/>
      <w:numFmt w:val="decimal"/>
      <w:start w:val="1"/>
    </w:lvl>
  </w:abstractNum>
  <w:abstractNum w:abstractNumId="53">
    <w:nsid w:val="5092CA79"/>
    <w:multiLevelType w:val="hybridMultilevel"/>
    <w:lvl w:ilvl="0">
      <w:lvlJc w:val="left"/>
      <w:lvlText w:val="(%1)"/>
      <w:numFmt w:val="decimal"/>
      <w:start w:val="2"/>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1)"/>
      <w:numFmt w:val="decimal"/>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1)"/>
      <w:numFmt w:val="decimal"/>
      <w:start w:val="3"/>
    </w:lvl>
  </w:abstractNum>
  <w:abstractNum w:abstractNumId="58">
    <w:nsid w:val="1D9F6E5F"/>
    <w:multiLevelType w:val="hybridMultilevel"/>
    <w:lvl w:ilvl="0">
      <w:lvlJc w:val="left"/>
      <w:lvlText w:val="a"/>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lowerLetter"/>
      <w:start w:val="3"/>
    </w:lvl>
    <w:lvl w:ilvl="1">
      <w:lvlJc w:val="left"/>
      <w:lvlText w:val="(%2)"/>
      <w:numFmt w:val="decimal"/>
      <w:start w:val="1"/>
    </w:lvl>
  </w:abstractNum>
  <w:abstractNum w:abstractNumId="64">
    <w:nsid w:val="7C58FD05"/>
    <w:multiLevelType w:val="hybridMultilevel"/>
    <w:lvl w:ilvl="0">
      <w:lvlJc w:val="left"/>
      <w:lvlText w:val="(%1)"/>
      <w:numFmt w:val="lowerLetter"/>
      <w:start w:val="4"/>
    </w:lvl>
  </w:abstractNum>
  <w:abstractNum w:abstractNumId="65">
    <w:nsid w:val="23D86AAC"/>
    <w:multiLevelType w:val="hybridMultilevel"/>
    <w:lvl w:ilvl="0">
      <w:lvlJc w:val="left"/>
      <w:lvlText w:val="(%1)"/>
      <w:numFmt w:val="lowerLetter"/>
      <w:start w:val="7"/>
    </w:lvl>
  </w:abstractNum>
  <w:abstractNum w:abstractNumId="66">
    <w:nsid w:val="45E6D486"/>
    <w:multiLevelType w:val="hybridMultilevel"/>
    <w:lvl w:ilvl="0">
      <w:lvlJc w:val="left"/>
      <w:lvlText w:val="(%1)"/>
      <w:numFmt w:val="lowerLetter"/>
      <w:start w:val="8"/>
    </w:lvl>
  </w:abstractNum>
  <w:abstractNum w:abstractNumId="67">
    <w:nsid w:val="5C10FE21"/>
    <w:multiLevelType w:val="hybridMultilevel"/>
    <w:lvl w:ilvl="0">
      <w:lvlJc w:val="left"/>
      <w:lvlText w:val="(%1)"/>
      <w:numFmt w:val="lowerLetter"/>
      <w:start w:val="10"/>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1)"/>
      <w:numFmt w:val="lowerLetter"/>
      <w:start w:val="12"/>
    </w:lvl>
  </w:abstractNum>
  <w:abstractNum w:abstractNumId="70">
    <w:nsid w:val="4BD8591A"/>
    <w:multiLevelType w:val="hybridMultilevel"/>
    <w:lvl w:ilvl="0">
      <w:lvlJc w:val="left"/>
      <w:lvlText w:val="(%1)"/>
      <w:numFmt w:val="lowerLetter"/>
      <w:start w:val="1"/>
    </w:lvl>
  </w:abstractNum>
  <w:abstractNum w:abstractNumId="71">
    <w:nsid w:val="78DF6A55"/>
    <w:multiLevelType w:val="hybridMultilevel"/>
    <w:lvl w:ilvl="0">
      <w:lvlJc w:val="left"/>
      <w:lvlText w:val="(%1)"/>
      <w:numFmt w:val="lowerRoman"/>
      <w:start w:val="5"/>
    </w:lvl>
  </w:abstractNum>
  <w:abstractNum w:abstractNumId="72">
    <w:nsid w:val="39B7AAA2"/>
    <w:multiLevelType w:val="hybridMultilevel"/>
    <w:lvl w:ilvl="0">
      <w:lvlJc w:val="left"/>
      <w:lvlText w:val="(%1)"/>
      <w:numFmt w:val="lowerLetter"/>
      <w:start w:val="1"/>
    </w:lvl>
  </w:abstractNum>
  <w:abstractNum w:abstractNumId="73">
    <w:nsid w:val="2B0D8DBE"/>
    <w:multiLevelType w:val="hybridMultilevel"/>
    <w:lvl w:ilvl="0">
      <w:lvlJc w:val="left"/>
      <w:lvlText w:val="(%1)"/>
      <w:numFmt w:val="lowerLetter"/>
      <w:start w:val="1"/>
    </w:lvl>
  </w:abstractNum>
  <w:abstractNum w:abstractNumId="74">
    <w:nsid w:val="6C80EC70"/>
    <w:multiLevelType w:val="hybridMultilevel"/>
    <w:lvl w:ilvl="0">
      <w:lvlJc w:val="left"/>
      <w:lvlText w:val="(%1)"/>
      <w:numFmt w:val="lowerLetter"/>
      <w:start w:val="4"/>
    </w:lvl>
  </w:abstractNum>
  <w:abstractNum w:abstractNumId="75">
    <w:nsid w:val="379E21B5"/>
    <w:multiLevelType w:val="hybridMultilevel"/>
    <w:lvl w:ilvl="0">
      <w:lvlJc w:val="left"/>
      <w:lvlText w:val="(%1)"/>
      <w:numFmt w:val="decimal"/>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decimal"/>
      <w:start w:val="1"/>
    </w:lvl>
  </w:abstractNum>
  <w:abstractNum w:abstractNumId="81">
    <w:nsid w:val="5675FF36"/>
    <w:multiLevelType w:val="hybridMultilevel"/>
    <w:lvl w:ilvl="0">
      <w:lvlJc w:val="left"/>
      <w:lvlText w:val="(%1)"/>
      <w:numFmt w:val="decimal"/>
      <w:start w:val="2"/>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
      <w:numFmt w:val="bullet"/>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
      <w:numFmt w:val="bullet"/>
      <w:start w:val="1"/>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
      <w:numFmt w:val="bullet"/>
      <w:start w:val="1"/>
    </w:lvl>
  </w:abstractNum>
  <w:abstractNum w:abstractNumId="93">
    <w:nsid w:val="2C6E4AFD"/>
    <w:multiLevelType w:val="hybridMultilevel"/>
    <w:lvl w:ilvl="0">
      <w:lvlJc w:val="left"/>
      <w:lvlText w:val="•"/>
      <w:numFmt w:val="bullet"/>
      <w:start w:val="1"/>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
      <w:numFmt w:val="bullet"/>
      <w:start w:val="1"/>
    </w:lvl>
  </w:abstractNum>
  <w:abstractNum w:abstractNumId="96">
    <w:nsid w:val="5046B5A9"/>
    <w:multiLevelType w:val="hybridMultilevel"/>
    <w:lvl w:ilvl="0">
      <w:lvlJc w:val="left"/>
      <w:lvlText w:val="•"/>
      <w:numFmt w:val="bullet"/>
      <w:start w:val="1"/>
    </w:lvl>
  </w:abstractNum>
  <w:abstractNum w:abstractNumId="97">
    <w:nsid w:val="5D888A08"/>
    <w:multiLevelType w:val="hybridMultilevel"/>
    <w:lvl w:ilvl="0">
      <w:lvlJc w:val="left"/>
      <w:lvlText w:val="•"/>
      <w:numFmt w:val="bullet"/>
      <w:start w:val="1"/>
    </w:lvl>
  </w:abstractNum>
  <w:abstractNum w:abstractNumId="98">
    <w:nsid w:val="2A082C70"/>
    <w:multiLevelType w:val="hybridMultilevel"/>
    <w:lvl w:ilvl="0">
      <w:lvlJc w:val="left"/>
      <w:lvlText w:val="•"/>
      <w:numFmt w:val="bullet"/>
      <w:start w:val="1"/>
    </w:lvl>
  </w:abstractNum>
  <w:abstractNum w:abstractNumId="99">
    <w:nsid w:val="5EC6AFD4"/>
    <w:multiLevelType w:val="hybridMultilevel"/>
    <w:lvl w:ilvl="0">
      <w:lvlJc w:val="left"/>
      <w:lvlText w:val="•"/>
      <w:numFmt w:val="bullet"/>
      <w:start w:val="1"/>
    </w:lvl>
  </w:abstractNum>
  <w:abstractNum w:abstractNumId="100">
    <w:nsid w:val="19E21BB2"/>
    <w:multiLevelType w:val="hybridMultilevel"/>
    <w:lvl w:ilvl="0">
      <w:lvlJc w:val="left"/>
      <w:lvlText w:val="•"/>
      <w:numFmt w:val="bullet"/>
      <w:start w:val="1"/>
    </w:lvl>
  </w:abstractNum>
  <w:abstractNum w:abstractNumId="101">
    <w:nsid w:val="75E0858A"/>
    <w:multiLevelType w:val="hybridMultilevel"/>
    <w:lvl w:ilvl="0">
      <w:lvlJc w:val="left"/>
      <w:lvlText w:val="•"/>
      <w:numFmt w:val="bullet"/>
      <w:start w:val="1"/>
    </w:lvl>
  </w:abstractNum>
  <w:abstractNum w:abstractNumId="102">
    <w:nsid w:val="57A61A29"/>
    <w:multiLevelType w:val="hybridMultilevel"/>
    <w:lvl w:ilvl="0">
      <w:lvlJc w:val="left"/>
      <w:lvlText w:val="•"/>
      <w:numFmt w:val="bullet"/>
      <w:start w:val="1"/>
    </w:lvl>
  </w:abstractNum>
  <w:abstractNum w:abstractNumId="103">
    <w:nsid w:val="5399C654"/>
    <w:multiLevelType w:val="hybridMultilevel"/>
    <w:lvl w:ilvl="0">
      <w:lvlJc w:val="left"/>
      <w:lvlText w:val="•"/>
      <w:numFmt w:val="bullet"/>
      <w:start w:val="1"/>
    </w:lvl>
  </w:abstractNum>
  <w:abstractNum w:abstractNumId="104">
    <w:nsid w:val="20EE1348"/>
    <w:multiLevelType w:val="hybridMultilevel"/>
    <w:lvl w:ilvl="0">
      <w:lvlJc w:val="left"/>
      <w:lvlText w:val="•"/>
      <w:numFmt w:val="bullet"/>
      <w:start w:val="1"/>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
      <w:numFmt w:val="bullet"/>
      <w:start w:val="1"/>
    </w:lvl>
  </w:abstractNum>
  <w:abstractNum w:abstractNumId="107">
    <w:nsid w:val="2157F6BC"/>
    <w:multiLevelType w:val="hybridMultilevel"/>
    <w:lvl w:ilvl="0">
      <w:lvlJc w:val="left"/>
      <w:lvlText w:val="•"/>
      <w:numFmt w:val="bullet"/>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
      <w:numFmt w:val="bullet"/>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1)"/>
      <w:numFmt w:val="decimal"/>
      <w:start w:val="1"/>
    </w:lvl>
  </w:abstractNum>
  <w:abstractNum w:abstractNumId="112">
    <w:nsid w:val="2E48F044"/>
    <w:multiLevelType w:val="hybridMultilevel"/>
    <w:lvl w:ilvl="0">
      <w:lvlJc w:val="left"/>
      <w:lvlText w:val="(%1)"/>
      <w:numFmt w:val="decimal"/>
      <w:start w:val="4"/>
    </w:lvl>
  </w:abstractNum>
  <w:abstractNum w:abstractNumId="113">
    <w:nsid w:val="49D0FEAC"/>
    <w:multiLevelType w:val="hybridMultilevel"/>
    <w:lvl w:ilvl="0">
      <w:lvlJc w:val="left"/>
      <w:lvlText w:val="(%1)"/>
      <w:numFmt w:val="decimal"/>
      <w:start w:val="5"/>
    </w:lvl>
  </w:abstractNum>
  <w:abstractNum w:abstractNumId="114">
    <w:nsid w:val="4BEE5A5B"/>
    <w:multiLevelType w:val="hybridMultilevel"/>
    <w:lvl w:ilvl="0">
      <w:lvlJc w:val="left"/>
      <w:lvlText w:val="(%1)"/>
      <w:numFmt w:val="decimal"/>
      <w:start w:val="1"/>
    </w:lvl>
  </w:abstractNum>
  <w:abstractNum w:abstractNumId="115">
    <w:nsid w:val="5551B9F3"/>
    <w:multiLevelType w:val="hybridMultilevel"/>
    <w:lvl w:ilvl="0">
      <w:lvlJc w:val="left"/>
      <w:lvlText w:val="(%1)"/>
      <w:numFmt w:val="lowerRoman"/>
      <w:start w:val="2"/>
    </w:lvl>
  </w:abstractNum>
  <w:abstractNum w:abstractNumId="116">
    <w:nsid w:val="24F6AB8E"/>
    <w:multiLevelType w:val="hybridMultilevel"/>
    <w:lvl w:ilvl="0">
      <w:lvlJc w:val="left"/>
      <w:lvlText w:val="(%1)"/>
      <w:numFmt w:val="lowerRoman"/>
      <w:start w:val="3"/>
    </w:lvl>
  </w:abstractNum>
  <w:abstractNum w:abstractNumId="117">
    <w:nsid w:val="634C574C"/>
    <w:multiLevelType w:val="hybridMultilevel"/>
    <w:lvl w:ilvl="0">
      <w:lvlJc w:val="left"/>
      <w:lvlText w:val="(%1)"/>
      <w:numFmt w:val="lowerRoman"/>
      <w:start w:val="3"/>
    </w:lvl>
    <w:lvl w:ilvl="1">
      <w:lvlJc w:val="left"/>
      <w:lvlText w:val="•"/>
      <w:numFmt w:val="bullet"/>
      <w:start w:val="1"/>
    </w:lvl>
  </w:abstractNum>
  <w:abstractNum w:abstractNumId="118">
    <w:nsid w:val="24E99DD7"/>
    <w:multiLevelType w:val="hybridMultilevel"/>
    <w:lvl w:ilvl="0">
      <w:lvlJc w:val="left"/>
      <w:lvlText w:val="%1)"/>
      <w:numFmt w:val="upperLetter"/>
      <w:start w:val="11"/>
    </w:lvl>
  </w:abstractNum>
  <w:abstractNum w:abstractNumId="119">
    <w:nsid w:val="2A31B62D"/>
    <w:multiLevelType w:val="hybridMultilevel"/>
    <w:lvl w:ilvl="0">
      <w:lvlJc w:val="left"/>
      <w:lvlText w:val="*"/>
      <w:numFmt w:val="bullet"/>
      <w:start w:val="1"/>
    </w:lvl>
  </w:abstractNum>
  <w:abstractNum w:abstractNumId="120">
    <w:nsid w:val="1849C29B"/>
    <w:multiLevelType w:val="hybridMultilevel"/>
    <w:lvl w:ilvl="0">
      <w:lvlJc w:val="left"/>
      <w:lvlText w:val="(%1)"/>
      <w:numFmt w:val="decimal"/>
      <w:start w:val="2"/>
    </w:lvl>
  </w:abstractNum>
  <w:abstractNum w:abstractNumId="121">
    <w:nsid w:val="7DFF9D09"/>
    <w:multiLevelType w:val="hybridMultilevel"/>
    <w:lvl w:ilvl="0">
      <w:lvlJc w:val="left"/>
      <w:lvlText w:val="(%1)"/>
      <w:numFmt w:val="decimal"/>
      <w:start w:val="9"/>
    </w:lvl>
  </w:abstractNum>
  <w:abstractNum w:abstractNumId="122">
    <w:nsid w:val="754342"/>
    <w:multiLevelType w:val="hybridMultilevel"/>
    <w:lvl w:ilvl="0">
      <w:lvlJc w:val="left"/>
      <w:lvlText w:val="*"/>
      <w:numFmt w:val="bullet"/>
      <w:start w:val="1"/>
    </w:lvl>
  </w:abstractNum>
  <w:abstractNum w:abstractNumId="123">
    <w:nsid w:val="69E7F3E5"/>
    <w:multiLevelType w:val="hybridMultilevel"/>
    <w:lvl w:ilvl="0">
      <w:lvlJc w:val="left"/>
      <w:lvlText w:val="*"/>
      <w:numFmt w:val="bullet"/>
      <w:start w:val="1"/>
    </w:lvl>
  </w:abstractNum>
  <w:abstractNum w:abstractNumId="124">
    <w:nsid w:val="2A6DE806"/>
    <w:multiLevelType w:val="hybridMultilevel"/>
    <w:lvl w:ilvl="0">
      <w:lvlJc w:val="left"/>
      <w:lvlText w:val="(%1)"/>
      <w:numFmt w:val="lowerLetter"/>
      <w:start w:val="25"/>
    </w:lvl>
  </w:abstractNum>
  <w:abstractNum w:abstractNumId="125">
    <w:nsid w:val="1816F8C4"/>
    <w:multiLevelType w:val="hybridMultilevel"/>
    <w:lvl w:ilvl="0">
      <w:lvlJc w:val="left"/>
      <w:lvlText w:val="•"/>
      <w:numFmt w:val="bullet"/>
      <w:start w:val="1"/>
    </w:lvl>
  </w:abstractNum>
  <w:abstractNum w:abstractNumId="126">
    <w:nsid w:val="37DF2233"/>
    <w:multiLevelType w:val="hybridMultilevel"/>
    <w:lvl w:ilvl="0">
      <w:lvlJc w:val="left"/>
      <w:lvlText w:val="•"/>
      <w:numFmt w:val="bullet"/>
      <w:start w:val="1"/>
    </w:lvl>
  </w:abstractNum>
  <w:abstractNum w:abstractNumId="127">
    <w:nsid w:val="7AB49DAF"/>
    <w:multiLevelType w:val="hybridMultilevel"/>
    <w:lvl w:ilvl="0">
      <w:lvlJc w:val="left"/>
      <w:lvlText w:val="•"/>
      <w:numFmt w:val="bullet"/>
      <w:start w:val="1"/>
    </w:lvl>
  </w:abstractNum>
  <w:abstractNum w:abstractNumId="128">
    <w:nsid w:val="759F82CD"/>
    <w:multiLevelType w:val="hybridMultilevel"/>
    <w:lvl w:ilvl="0">
      <w:lvlJc w:val="left"/>
      <w:lvlText w:val="•"/>
      <w:numFmt w:val="bullet"/>
      <w:start w:val="1"/>
    </w:lvl>
  </w:abstractNum>
  <w:abstractNum w:abstractNumId="129">
    <w:nsid w:val="61E74EA3"/>
    <w:multiLevelType w:val="hybridMultilevel"/>
    <w:lvl w:ilvl="0">
      <w:lvlJc w:val="left"/>
      <w:lvlText w:val="•"/>
      <w:numFmt w:val="bullet"/>
      <w:start w:val="1"/>
    </w:lvl>
  </w:abstractNum>
  <w:abstractNum w:abstractNumId="130">
    <w:nsid w:val="597B4D84"/>
    <w:multiLevelType w:val="hybridMultilevel"/>
    <w:lvl w:ilvl="0">
      <w:lvlJc w:val="left"/>
      <w:lvlText w:val="•"/>
      <w:numFmt w:val="bullet"/>
      <w:start w:val="1"/>
    </w:lvl>
  </w:abstractNum>
  <w:abstractNum w:abstractNumId="131">
    <w:nsid w:val="F819E7F"/>
    <w:multiLevelType w:val="hybridMultilevel"/>
    <w:lvl w:ilvl="0">
      <w:lvlJc w:val="left"/>
      <w:lvlText w:val="•"/>
      <w:numFmt w:val="bullet"/>
      <w:start w:val="1"/>
    </w:lvl>
  </w:abstractNum>
  <w:abstractNum w:abstractNumId="132">
    <w:nsid w:val="57C7D42D"/>
    <w:multiLevelType w:val="hybridMultilevel"/>
    <w:lvl w:ilvl="0">
      <w:lvlJc w:val="left"/>
      <w:lvlText w:val="•"/>
      <w:numFmt w:val="bullet"/>
      <w:start w:val="1"/>
    </w:lvl>
  </w:abstractNum>
  <w:abstractNum w:abstractNumId="133">
    <w:nsid w:val="312167AD"/>
    <w:multiLevelType w:val="hybridMultilevel"/>
    <w:lvl w:ilvl="0">
      <w:lvlJc w:val="left"/>
      <w:lvlText w:val="•"/>
      <w:numFmt w:val="bullet"/>
      <w:start w:val="1"/>
    </w:lvl>
    <w:lvl w:ilvl="1">
      <w:lvlJc w:val="left"/>
      <w:lvlText w:val="%"/>
      <w:numFmt w:val="bullet"/>
      <w:start w:val="1"/>
    </w:lvl>
  </w:abstractNum>
  <w:abstractNum w:abstractNumId="134">
    <w:nsid w:val="631B64D4"/>
    <w:multiLevelType w:val="hybridMultilevel"/>
    <w:lvl w:ilvl="0">
      <w:lvlJc w:val="left"/>
      <w:lvlText w:val="•"/>
      <w:numFmt w:val="bullet"/>
      <w:start w:val="1"/>
    </w:lvl>
  </w:abstractNum>
  <w:abstractNum w:abstractNumId="135">
    <w:nsid w:val="78B5E776"/>
    <w:multiLevelType w:val="hybridMultilevel"/>
    <w:lvl w:ilvl="0">
      <w:lvlJc w:val="left"/>
      <w:lvlText w:val="(%1)"/>
      <w:numFmt w:val="decimal"/>
      <w:start w:val="1"/>
    </w:lvl>
  </w:abstractNum>
  <w:abstractNum w:abstractNumId="136">
    <w:nsid w:val="75486E47"/>
    <w:multiLevelType w:val="hybridMultilevel"/>
    <w:lvl w:ilvl="0">
      <w:lvlJc w:val="left"/>
      <w:lvlText w:val="•"/>
      <w:numFmt w:val="bullet"/>
      <w:start w:val="1"/>
    </w:lvl>
  </w:abstractNum>
  <w:abstractNum w:abstractNumId="137">
    <w:nsid w:val="6E534CDE"/>
    <w:multiLevelType w:val="hybridMultilevel"/>
    <w:lvl w:ilvl="0">
      <w:lvlJc w:val="left"/>
      <w:lvlText w:val="•"/>
      <w:numFmt w:val="bullet"/>
      <w:start w:val="1"/>
    </w:lvl>
  </w:abstractNum>
  <w:abstractNum w:abstractNumId="138">
    <w:nsid w:val="1A0DDE32"/>
    <w:multiLevelType w:val="hybridMultilevel"/>
    <w:lvl w:ilvl="0">
      <w:lvlJc w:val="left"/>
      <w:lvlText w:val="a"/>
      <w:numFmt w:val="bullet"/>
      <w:start w:val="1"/>
    </w:lvl>
  </w:abstractNum>
  <w:abstractNum w:abstractNumId="139">
    <w:nsid w:val="65968C1C"/>
    <w:multiLevelType w:val="hybridMultilevel"/>
    <w:lvl w:ilvl="0">
      <w:lvlJc w:val="left"/>
      <w:lvlText w:val="•"/>
      <w:numFmt w:val="bullet"/>
      <w:start w:val="1"/>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lowerLetter"/>
      <w:start w:val="1"/>
    </w:lvl>
  </w:abstractNum>
  <w:abstractNum w:abstractNumId="142">
    <w:nsid w:val="73D4D3C4"/>
    <w:multiLevelType w:val="hybridMultilevel"/>
    <w:lvl w:ilvl="0">
      <w:lvlJc w:val="left"/>
      <w:lvlText w:val="(%1)"/>
      <w:numFmt w:val="lowerLetter"/>
      <w:start w:val="1"/>
    </w:lvl>
  </w:abstractNum>
  <w:abstractNum w:abstractNumId="143">
    <w:nsid w:val="746F2E30"/>
    <w:multiLevelType w:val="hybridMultilevel"/>
    <w:lvl w:ilvl="0">
      <w:lvlJc w:val="left"/>
      <w:lvlText w:val="(%1)"/>
      <w:numFmt w:val="decimal"/>
      <w:start w:val="1"/>
    </w:lvl>
  </w:abstractNum>
  <w:abstractNum w:abstractNumId="144">
    <w:nsid w:val="6FDE8AF6"/>
    <w:multiLevelType w:val="hybridMultilevel"/>
    <w:lvl w:ilvl="0">
      <w:lvlJc w:val="left"/>
      <w:lvlText w:val="(%1)"/>
      <w:numFmt w:val="decimal"/>
      <w:start w:val="1"/>
    </w:lvl>
  </w:abstractNum>
  <w:abstractNum w:abstractNumId="145">
    <w:nsid w:val="3FC32E20"/>
    <w:multiLevelType w:val="hybridMultilevel"/>
    <w:lvl w:ilvl="0">
      <w:lvlJc w:val="left"/>
      <w:lvlText w:val="(%1)"/>
      <w:numFmt w:val="decimal"/>
      <w:start w:val="1"/>
    </w:lvl>
  </w:abstractNum>
  <w:abstractNum w:abstractNumId="146">
    <w:nsid w:val="49C0E823"/>
    <w:multiLevelType w:val="hybridMultilevel"/>
    <w:lvl w:ilvl="0">
      <w:lvlJc w:val="left"/>
      <w:lvlText w:val="(%1)"/>
      <w:numFmt w:val="decimal"/>
      <w:start w:val="4"/>
    </w:lvl>
  </w:abstractNum>
  <w:abstractNum w:abstractNumId="147">
    <w:nsid w:val="14D53685"/>
    <w:multiLevelType w:val="hybridMultilevel"/>
    <w:lvl w:ilvl="0">
      <w:lvlJc w:val="left"/>
      <w:lvlText w:val="(%1)"/>
      <w:numFmt w:val="decimal"/>
      <w:start w:val="1"/>
    </w:lvl>
  </w:abstractNum>
  <w:abstractNum w:abstractNumId="148">
    <w:nsid w:val="230F856C"/>
    <w:multiLevelType w:val="hybridMultilevel"/>
    <w:lvl w:ilvl="0">
      <w:lvlJc w:val="left"/>
      <w:lvlText w:val="(%1)"/>
      <w:numFmt w:val="upperLetter"/>
      <w:start w:val="1"/>
    </w:lvl>
  </w:abstractNum>
  <w:abstractNum w:abstractNumId="149">
    <w:nsid w:val="6EAA85FB"/>
    <w:multiLevelType w:val="hybridMultilevel"/>
    <w:lvl w:ilvl="0">
      <w:lvlJc w:val="left"/>
      <w:lvlText w:val="%1."/>
      <w:numFmt w:val="decimal"/>
      <w:start w:val="1"/>
    </w:lvl>
  </w:abstractNum>
  <w:abstractNum w:abstractNumId="150">
    <w:nsid w:val="3F06ECB2"/>
    <w:multiLevelType w:val="hybridMultilevel"/>
    <w:lvl w:ilvl="0">
      <w:lvlJc w:val="left"/>
      <w:lvlText w:val="(%1)"/>
      <w:numFmt w:val="decimal"/>
      <w:start w:val="1"/>
    </w:lvl>
  </w:abstractNum>
  <w:abstractNum w:abstractNumId="151">
    <w:nsid w:val="3B594807"/>
    <w:multiLevelType w:val="hybridMultilevel"/>
    <w:lvl w:ilvl="0">
      <w:lvlJc w:val="left"/>
      <w:lvlText w:val="*"/>
      <w:numFmt w:val="bullet"/>
      <w:start w:val="1"/>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lowerLetter"/>
      <w:start w:val="2"/>
    </w:lvl>
  </w:abstractNum>
  <w:abstractNum w:abstractNumId="154">
    <w:nsid w:val="25413BEC"/>
    <w:multiLevelType w:val="hybridMultilevel"/>
    <w:lvl w:ilvl="0">
      <w:lvlJc w:val="left"/>
      <w:lvlText w:val="(%1)"/>
      <w:numFmt w:val="decimal"/>
      <w:start w:val="1"/>
    </w:lvl>
    <w:lvl w:ilvl="1">
      <w:lvlJc w:val="left"/>
      <w:lvlText w:val="(%2)"/>
      <w:numFmt w:val="upperLetter"/>
      <w:start w:val="1"/>
    </w:lvl>
  </w:abstractNum>
  <w:abstractNum w:abstractNumId="155">
    <w:nsid w:val="17180B0B"/>
    <w:multiLevelType w:val="hybridMultilevel"/>
    <w:lvl w:ilvl="0">
      <w:lvlJc w:val="left"/>
      <w:lvlText w:val="(%1)"/>
      <w:numFmt w:val="lowerRoman"/>
      <w:start w:val="1"/>
    </w:lvl>
  </w:abstractNum>
  <w:abstractNum w:abstractNumId="156">
    <w:nsid w:val="579328B9"/>
    <w:multiLevelType w:val="hybridMultilevel"/>
    <w:lvl w:ilvl="0">
      <w:lvlJc w:val="left"/>
      <w:lvlText w:val="(%1)"/>
      <w:numFmt w:val="lowerRoman"/>
      <w:start w:val="3"/>
    </w:lvl>
  </w:abstractNum>
  <w:abstractNum w:abstractNumId="157">
    <w:nsid w:val="5D205E20"/>
    <w:multiLevelType w:val="hybridMultilevel"/>
    <w:lvl w:ilvl="0">
      <w:lvlJc w:val="left"/>
      <w:lvlText w:val="*"/>
      <w:numFmt w:val="bullet"/>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2020-02-27T23:22:34Z</dcterms:created>
  <dcterms:modified xsi:type="dcterms:W3CDTF">2020-02-27T23:22:34Z</dcterms:modified>
</cp:coreProperties>
</file>