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33655</wp:posOffset>
            </wp:positionV>
            <wp:extent cx="6970395" cy="171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259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660" w:type="dxa"/>
            <w:vAlign w:val="bottom"/>
            <w:gridSpan w:val="3"/>
          </w:tcPr>
          <w:p>
            <w:pPr>
              <w:ind w:left="60"/>
              <w:spacing w:after="0"/>
              <w:rPr>
                <w:sz w:val="20"/>
                <w:szCs w:val="20"/>
                <w:color w:val="auto"/>
              </w:rPr>
            </w:pPr>
            <w:r>
              <w:rPr>
                <w:rFonts w:ascii="Arial" w:cs="Arial" w:eastAsia="Arial" w:hAnsi="Arial"/>
                <w:sz w:val="13"/>
                <w:szCs w:val="13"/>
                <w:color w:val="auto"/>
                <w:w w:val="97"/>
              </w:rPr>
              <w:t xml:space="preserve">2. Issuer Name </w:t>
            </w:r>
            <w:r>
              <w:rPr>
                <w:rFonts w:ascii="Arial" w:cs="Arial" w:eastAsia="Arial" w:hAnsi="Arial"/>
                <w:sz w:val="13"/>
                <w:szCs w:val="13"/>
                <w:b w:val="1"/>
                <w:bCs w:val="1"/>
                <w:color w:val="auto"/>
                <w:w w:val="97"/>
              </w:rPr>
              <w:t>and</w:t>
            </w:r>
            <w:r>
              <w:rPr>
                <w:rFonts w:ascii="Arial" w:cs="Arial" w:eastAsia="Arial" w:hAnsi="Arial"/>
                <w:sz w:val="13"/>
                <w:szCs w:val="13"/>
                <w:color w:val="auto"/>
                <w:w w:val="97"/>
              </w:rPr>
              <w:t xml:space="preserve"> Ticker or Trading Symbol</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4"/>
            <w:vMerge w:val="restart"/>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 Atlantic &amp; Pacific VII-B L.P.</w:t>
              </w:r>
            </w:hyperlink>
          </w:p>
        </w:tc>
        <w:tc>
          <w:tcPr>
            <w:tcW w:w="3100" w:type="dxa"/>
            <w:vAlign w:val="bottom"/>
            <w:gridSpan w:val="4"/>
          </w:tcPr>
          <w:p>
            <w:pPr>
              <w:ind w:left="60"/>
              <w:spacing w:after="0" w:line="164"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ZoomInfo Technologies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2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4"/>
            <w:vMerge w:val="continue"/>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8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X</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14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340"/>
              <w:spacing w:after="0"/>
              <w:rPr>
                <w:sz w:val="20"/>
                <w:szCs w:val="20"/>
                <w:color w:val="auto"/>
              </w:rPr>
            </w:pPr>
            <w:r>
              <w:rPr>
                <w:rFonts w:ascii="Arial" w:cs="Arial" w:eastAsia="Arial" w:hAnsi="Arial"/>
                <w:sz w:val="13"/>
                <w:szCs w:val="13"/>
                <w:color w:val="auto"/>
              </w:rPr>
              <w:t>(Middle)</w:t>
            </w:r>
          </w:p>
        </w:tc>
        <w:tc>
          <w:tcPr>
            <w:tcW w:w="3100" w:type="dxa"/>
            <w:vAlign w:val="bottom"/>
            <w:gridSpan w:val="4"/>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below)</w:t>
            </w:r>
          </w:p>
        </w:tc>
        <w:tc>
          <w:tcPr>
            <w:tcW w:w="8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200 CLARENDON STREET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02/02/2021</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56TH FLOOR</w:t>
            </w: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5"/>
            <w:vMerge w:val="continue"/>
          </w:tcPr>
          <w:p>
            <w:pPr>
              <w:spacing w:after="0"/>
              <w:rPr>
                <w:sz w:val="6"/>
                <w:szCs w:val="6"/>
                <w:color w:val="auto"/>
              </w:rPr>
            </w:pPr>
          </w:p>
        </w:tc>
        <w:tc>
          <w:tcPr>
            <w:tcW w:w="33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5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MA</w:t>
            </w:r>
          </w:p>
        </w:tc>
        <w:tc>
          <w:tcPr>
            <w:tcW w:w="1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ind w:left="380"/>
              <w:spacing w:after="0" w:line="143"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3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8"/>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9"/>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0" w:type="dxa"/>
            <w:vAlign w:val="bottom"/>
            <w:tcBorders>
              <w:bottom w:val="single" w:sz="8" w:color="2C2C2C"/>
            </w:tcBorders>
            <w:gridSpan w:val="3"/>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20" w:type="dxa"/>
            <w:vAlign w:val="bottom"/>
            <w:gridSpan w:val="2"/>
          </w:tcPr>
          <w:p>
            <w:pPr>
              <w:ind w:left="660"/>
              <w:spacing w:after="0" w:line="122"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20" w:type="dxa"/>
            <w:vAlign w:val="bottom"/>
          </w:tcPr>
          <w:p>
            <w:pPr>
              <w:spacing w:after="0"/>
              <w:rPr>
                <w:sz w:val="10"/>
                <w:szCs w:val="10"/>
                <w:color w:val="auto"/>
              </w:rPr>
            </w:pPr>
          </w:p>
        </w:tc>
        <w:tc>
          <w:tcPr>
            <w:tcW w:w="11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jc w:val="center"/>
              <w:ind w:left="562"/>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11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49,063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49,063</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1,267</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8,473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8,473</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1,823</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3,209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3,209</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2,879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2,879</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12,834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12,834</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3"/>
                <w:szCs w:val="13"/>
                <w:color w:val="0000FF"/>
                <w:w w:val="91"/>
              </w:rPr>
              <w:t>C</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11,515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ind w:left="173"/>
              <w:spacing w:after="0"/>
              <w:rPr>
                <w:sz w:val="20"/>
                <w:szCs w:val="20"/>
                <w:color w:val="auto"/>
              </w:rPr>
            </w:pPr>
            <w:r>
              <w:rPr>
                <w:rFonts w:ascii="Times New Roman" w:cs="Times New Roman" w:eastAsia="Times New Roman" w:hAnsi="Times New Roman"/>
                <w:sz w:val="11"/>
                <w:szCs w:val="11"/>
                <w:color w:val="008000"/>
                <w:w w:val="87"/>
              </w:rPr>
              <w:t>(10)</w:t>
            </w:r>
          </w:p>
        </w:tc>
        <w:tc>
          <w:tcPr>
            <w:tcW w:w="22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11,515</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49,063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(2)(3)</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(3)(4)</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8,473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(3)(5)</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(3)(6)</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(3)(7)</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3,209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(3)(8)</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2,879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(3)(9)</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(3)(11)</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12,834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Footnotes</w:t>
            </w:r>
            <w:r>
              <w:rPr>
                <w:rFonts w:ascii="Times New Roman" w:cs="Times New Roman" w:eastAsia="Times New Roman" w:hAnsi="Times New Roman"/>
                <w:sz w:val="21"/>
                <w:szCs w:val="21"/>
                <w:color w:val="008000"/>
                <w:w w:val="95"/>
                <w:vertAlign w:val="superscript"/>
              </w:rPr>
              <w:t>(3)(12)</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20" w:type="dxa"/>
            <w:vAlign w:val="bottom"/>
            <w:vMerge w:val="restart"/>
          </w:tcPr>
          <w:p>
            <w:pPr>
              <w:jc w:val="center"/>
              <w:ind w:left="682"/>
              <w:spacing w:after="0"/>
              <w:rPr>
                <w:sz w:val="20"/>
                <w:szCs w:val="20"/>
                <w:color w:val="auto"/>
              </w:rPr>
            </w:pPr>
            <w:r>
              <w:rPr>
                <w:rFonts w:ascii="Times New Roman" w:cs="Times New Roman" w:eastAsia="Times New Roman" w:hAnsi="Times New Roman"/>
                <w:sz w:val="16"/>
                <w:szCs w:val="16"/>
                <w:color w:val="0000FF"/>
              </w:rPr>
              <w:t>02/02/2021</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vMerge w:val="restart"/>
          </w:tcPr>
          <w:p>
            <w:pPr>
              <w:jc w:val="center"/>
              <w:ind w:right="282"/>
              <w:spacing w:after="0"/>
              <w:rPr>
                <w:sz w:val="20"/>
                <w:szCs w:val="20"/>
                <w:color w:val="auto"/>
              </w:rPr>
            </w:pPr>
            <w:r>
              <w:rPr>
                <w:rFonts w:ascii="Times New Roman" w:cs="Times New Roman" w:eastAsia="Times New Roman" w:hAnsi="Times New Roman"/>
                <w:sz w:val="25"/>
                <w:szCs w:val="25"/>
                <w:color w:val="0000FF"/>
                <w:w w:val="94"/>
                <w:vertAlign w:val="subscript"/>
              </w:rPr>
              <w:t>S</w:t>
            </w:r>
            <w:r>
              <w:rPr>
                <w:rFonts w:ascii="Times New Roman" w:cs="Times New Roman" w:eastAsia="Times New Roman" w:hAnsi="Times New Roman"/>
                <w:sz w:val="11"/>
                <w:szCs w:val="11"/>
                <w:color w:val="008000"/>
                <w:w w:val="94"/>
              </w:rPr>
              <w:t>(14)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11,515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50.7789</w:t>
            </w:r>
            <w:r>
              <w:rPr>
                <w:rFonts w:ascii="Times New Roman" w:cs="Times New Roman" w:eastAsia="Times New Roman" w:hAnsi="Times New Roman"/>
                <w:sz w:val="21"/>
                <w:szCs w:val="21"/>
                <w:color w:val="008000"/>
                <w:w w:val="94"/>
                <w:vertAlign w:val="superscript"/>
              </w:rPr>
              <w:t>(15)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I</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7"/>
              </w:rPr>
              <w:t>Footnotes</w:t>
            </w:r>
            <w:r>
              <w:rPr>
                <w:rFonts w:ascii="Times New Roman" w:cs="Times New Roman" w:eastAsia="Times New Roman" w:hAnsi="Times New Roman"/>
                <w:sz w:val="21"/>
                <w:szCs w:val="21"/>
                <w:color w:val="008000"/>
                <w:w w:val="97"/>
                <w:vertAlign w:val="superscript"/>
              </w:rPr>
              <w:t>(3)(13)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10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15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-7621270</wp:posOffset>
            </wp:positionV>
            <wp:extent cx="7035165" cy="769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769429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5692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692140"/>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49,063</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40"/>
              <w:spacing w:after="0" w:line="139" w:lineRule="exact"/>
              <w:rPr>
                <w:sz w:val="20"/>
                <w:szCs w:val="20"/>
                <w:color w:val="auto"/>
              </w:rPr>
            </w:pPr>
            <w:r>
              <w:rPr>
                <w:rFonts w:ascii="Times New Roman" w:cs="Times New Roman" w:eastAsia="Times New Roman" w:hAnsi="Times New Roman"/>
                <w:sz w:val="13"/>
                <w:szCs w:val="13"/>
                <w:color w:val="0000FF"/>
                <w:w w:val="94"/>
              </w:rPr>
              <w:t>49,063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57,834,985</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(2)(3)</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1,267</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5"/>
              </w:rPr>
              <w:t>1,267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1,493,031</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8,473</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5"/>
              </w:rPr>
              <w:t>8,473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9,988,048</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(3)(5)</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1,823</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5"/>
              </w:rPr>
              <w:t>1,823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2,147,964</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(3)(6)</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1"/>
              </w:rPr>
              <w:t>61</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71,319</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(3)(7)</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3,209</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5"/>
              </w:rPr>
              <w:t>3,209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3,782,101</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(3)(8)</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7" w:lineRule="exact"/>
              <w:rPr>
                <w:sz w:val="20"/>
                <w:szCs w:val="20"/>
                <w:color w:val="auto"/>
              </w:rPr>
            </w:pPr>
            <w:r>
              <w:rPr>
                <w:rFonts w:ascii="Times New Roman" w:cs="Times New Roman" w:eastAsia="Times New Roman" w:hAnsi="Times New Roman"/>
                <w:sz w:val="13"/>
                <w:szCs w:val="13"/>
                <w:color w:val="0000FF"/>
              </w:rPr>
              <w:t>ZoomInfo</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2,879</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Times New Roman" w:cs="Times New Roman" w:eastAsia="Times New Roman" w:hAnsi="Times New Roman"/>
                <w:sz w:val="13"/>
                <w:szCs w:val="13"/>
                <w:color w:val="0000FF"/>
                <w:w w:val="95"/>
              </w:rPr>
              <w:t>2,879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6"/>
              </w:rPr>
              <w:t>3,393,191</w:t>
            </w:r>
          </w:p>
        </w:tc>
        <w:tc>
          <w:tcPr>
            <w:tcW w:w="72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(3)(9)</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2"/>
              </w:rPr>
              <w:t>242</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285,286</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(3)(11)</w:t>
            </w:r>
          </w:p>
        </w:tc>
        <w:tc>
          <w:tcPr>
            <w:tcW w:w="0" w:type="dxa"/>
            <w:vAlign w:val="bottom"/>
          </w:tcPr>
          <w:p>
            <w:pPr>
              <w:spacing w:after="0"/>
              <w:rPr>
                <w:sz w:val="1"/>
                <w:szCs w:val="1"/>
                <w:color w:val="auto"/>
              </w:rPr>
            </w:pPr>
          </w:p>
        </w:tc>
      </w:tr>
      <w:tr>
        <w:trPr>
          <w:trHeight w:val="69"/>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12,834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12,834</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15,128,411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(3)(12)</w:t>
            </w:r>
          </w:p>
        </w:tc>
        <w:tc>
          <w:tcPr>
            <w:tcW w:w="0" w:type="dxa"/>
            <w:vAlign w:val="bottom"/>
          </w:tcPr>
          <w:p>
            <w:pPr>
              <w:spacing w:after="0"/>
              <w:rPr>
                <w:sz w:val="1"/>
                <w:szCs w:val="1"/>
                <w:color w:val="auto"/>
              </w:rPr>
            </w:pPr>
          </w:p>
        </w:tc>
      </w:tr>
      <w:tr>
        <w:trPr>
          <w:trHeight w:val="69"/>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C</w:t>
            </w: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(17)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11,515</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02/02/2021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0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4"/>
              </w:rPr>
              <w:t>11,515</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13,572,767</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(3)(13)</w:t>
            </w:r>
          </w:p>
        </w:tc>
        <w:tc>
          <w:tcPr>
            <w:tcW w:w="0" w:type="dxa"/>
            <w:vAlign w:val="bottom"/>
          </w:tcPr>
          <w:p>
            <w:pPr>
              <w:spacing w:after="0"/>
              <w:rPr>
                <w:sz w:val="1"/>
                <w:szCs w:val="1"/>
                <w:color w:val="auto"/>
              </w:rPr>
            </w:pPr>
          </w:p>
        </w:tc>
      </w:tr>
      <w:tr>
        <w:trPr>
          <w:trHeight w:val="69"/>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00" w:hanging="1"/>
        <w:spacing w:after="0" w:line="248"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2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AIV, L.P. ("XI DO AIV").</w:t>
      </w:r>
    </w:p>
    <w:p>
      <w:pPr>
        <w:spacing w:after="0" w:line="40" w:lineRule="exact"/>
        <w:rPr>
          <w:rFonts w:ascii="Times New Roman" w:cs="Times New Roman" w:eastAsia="Times New Roman" w:hAnsi="Times New Roman"/>
          <w:sz w:val="13"/>
          <w:szCs w:val="13"/>
          <w:color w:val="008000"/>
        </w:rPr>
      </w:pPr>
    </w:p>
    <w:p>
      <w:pPr>
        <w:ind w:left="20" w:right="160" w:hanging="1"/>
        <w:spacing w:after="0" w:line="233"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7"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AIV, L.P. ("SDF III DO").</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Atlantic &amp; Pacific VII-A, L.P. ("Atlantic &amp; Pacific VII-A").</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Investors IV, L.P. ("Investors IV").</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AIV II, L.P. ("SDF III DO AIV II").</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AIV II, L.P. ("XI DO AIV II").</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AP VII-B DO Subsidiary Partnership, L.P. ("AP VII-B").</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Class C Common Stock were converted on a one-for-one basis for shares of Class A Common Stock of the Issuer.</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SDF III DO Feeder, L.P. ("SDF III Feeder").</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XI DO Feeder, L.P ("XI DO").</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are held by TA Atlantic &amp; Pacific VII-B, L.P. ("Atlantic &amp; Pacific VII-B").</w:t>
      </w:r>
    </w:p>
    <w:p>
      <w:pPr>
        <w:spacing w:after="0" w:line="40" w:lineRule="exact"/>
        <w:rPr>
          <w:rFonts w:ascii="Times New Roman" w:cs="Times New Roman" w:eastAsia="Times New Roman" w:hAnsi="Times New Roman"/>
          <w:sz w:val="13"/>
          <w:szCs w:val="13"/>
          <w:color w:val="008000"/>
        </w:rPr>
      </w:pPr>
    </w:p>
    <w:p>
      <w:pPr>
        <w:ind w:left="200" w:hanging="181"/>
        <w:spacing w:after="0"/>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Rule 10b5-1 trading plans adopted by the Reporting Persons on December 6, 2020.</w:t>
      </w:r>
    </w:p>
    <w:p>
      <w:pPr>
        <w:spacing w:after="0" w:line="40" w:lineRule="exact"/>
        <w:rPr>
          <w:rFonts w:ascii="Times New Roman" w:cs="Times New Roman" w:eastAsia="Times New Roman" w:hAnsi="Times New Roman"/>
          <w:sz w:val="13"/>
          <w:szCs w:val="13"/>
          <w:color w:val="008000"/>
        </w:rPr>
      </w:pPr>
    </w:p>
    <w:p>
      <w:pPr>
        <w:ind w:left="20" w:right="340" w:hanging="1"/>
        <w:spacing w:after="0" w:line="248"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weighted-average sale price. The shares were sold in multiple transactions at prices ranging from $50.00 to $52.12. The Reporting Persons will provide upon request to the Securities and Exchange Commission, the Company or security holder of the Company,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20" w:right="240" w:hanging="1"/>
        <w:spacing w:after="0" w:line="233"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27" w:lineRule="exact"/>
        <w:rPr>
          <w:rFonts w:ascii="Times New Roman" w:cs="Times New Roman" w:eastAsia="Times New Roman" w:hAnsi="Times New Roman"/>
          <w:sz w:val="13"/>
          <w:szCs w:val="13"/>
          <w:color w:val="008000"/>
        </w:rPr>
      </w:pPr>
    </w:p>
    <w:p>
      <w:pPr>
        <w:ind w:left="20" w:right="140" w:hanging="1"/>
        <w:spacing w:after="0" w:line="231"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ind w:left="20" w:right="460"/>
        <w:spacing w:after="0" w:line="248" w:lineRule="auto"/>
        <w:rPr>
          <w:sz w:val="20"/>
          <w:szCs w:val="20"/>
          <w:color w:val="auto"/>
        </w:rPr>
      </w:pPr>
      <w:r>
        <w:rPr>
          <w:rFonts w:ascii="Times New Roman" w:cs="Times New Roman" w:eastAsia="Times New Roman" w:hAnsi="Times New Roman"/>
          <w:sz w:val="13"/>
          <w:szCs w:val="13"/>
          <w:color w:val="00800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p>
      <w:pPr>
        <w:spacing w:after="0" w:line="4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TA Atlantic &amp; Pacific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-3810</wp:posOffset>
            </wp:positionV>
            <wp:extent cx="1193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294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10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TA Associates, L.P., its General  02/04/2021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875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268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13157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-11430</wp:posOffset>
            </wp:positionV>
            <wp:extent cx="447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40"/>
          </w:cols>
          <w:pgMar w:left="480" w:top="184" w:right="379" w:bottom="0" w:gutter="0" w:footer="0" w:header="0"/>
        </w:sectPr>
      </w:pPr>
    </w:p>
    <w:bookmarkStart w:id="2" w:name="page3"/>
    <w:bookmarkEnd w:id="2"/>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28"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3" Type="http://schemas.openxmlformats.org/officeDocument/2006/relationships/hyperlink" Target="http://www.sec.gov/cgi-bin/browse-edgar?action=getcompany&amp;CIK=0001548682"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2021-02-04T15:47:22Z</dcterms:created>
  <dcterms:modified xsi:type="dcterms:W3CDTF">2021-02-04T15:47:22Z</dcterms:modified>
</cp:coreProperties>
</file>