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p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before="0" w:after="0"/>
        <w:jc w:val="center"/>
      </w:pPr>
      <w:r/>
    </w:p>
    <w:p>
      <w:pPr>
        <w:pStyle w:val="TextBody"/>
        <w:bidi w:val="0"/>
        <w:spacing w:lineRule="auto" w:line="288" w:before="0" w:after="0"/>
        <w:jc w:val="center"/>
      </w:pPr>
      <w:r>
        <w:rPr>
          <w:color w:val="000000"/>
        </w:rPr>
        <w:t> </w:t>
      </w: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p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November 4, 2026</w:t>
      </w:r>
    </w:p>
    <w:p>
      <w:pPr>
        <w:pStyle w:val="TextBody"/>
        <w:bidi w:val="0"/>
        <w:spacing w:lineRule="auto" w:line="288" w:before="0" w:after="2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ZoomInfo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2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483" w:type="dxa"/>
        <w:jc w:val="center"/>
        <w:tblInd w:w="0" w:type="dxa"/>
        <w:tblLayout w:type="fixed"/>
        <w:tblCellMar>
          <w:top w:w="28" w:type="dxa"/>
          <w:left w:w="28" w:type="dxa"/>
          <w:bottom w:w="28" w:type="dxa"/>
          <w:right w:w="28" w:type="dxa"/>
        </w:tblCellMar>
      </w:tblPr>
      <w:tblGrid>
        <w:gridCol w:w="829"/>
        <w:gridCol w:w="729"/>
        <w:gridCol w:w="736"/>
        <w:gridCol w:w="762"/>
        <w:gridCol w:w="762"/>
        <w:gridCol w:w="770"/>
        <w:gridCol w:w="845"/>
        <w:gridCol w:w="845"/>
        <w:gridCol w:w="1205"/>
      </w:tblGrid>
      <w:t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001-39310</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87-3037521</w:t>
            </w:r>
          </w:p>
        </w:tc>
      </w:tr>
      <w:tr>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330 W Columbia Way, Floor 8, Vancouver, Washington 98660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pPr>
      <w:r/>
    </w:p>
    <w:p>
      <w:pPr>
        <w:pStyle w:val="TextBody"/>
        <w:bidi w:val="0"/>
        <w:spacing w:lineRule="auto" w:line="288" w:before="0" w:after="0"/>
        <w:jc w:val="cente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(800) 914-1220</w:t>
      </w:r>
    </w:p>
    <w:p>
      <w:pPr>
        <w:pStyle w:val="TextBody"/>
        <w:bidi w:val="0"/>
        <w:spacing w:lineRule="auto" w:line="288" w:before="0" w:after="2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100"/>
        <w:ind w:left="0" w:right="0" w:hanging="36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0" w:after="100"/>
        <w:ind w:left="0" w:right="0" w:hanging="36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0" w:after="100"/>
        <w:ind w:left="0" w:right="0" w:hanging="36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0" w:after="100"/>
        <w:ind w:left="0" w:right="0" w:hanging="36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8" w:type="dxa"/>
        <w:jc w:val="left"/>
        <w:tblInd w:w="0" w:type="dxa"/>
        <w:tblLayout w:type="fixed"/>
        <w:tblCellMar>
          <w:top w:w="28" w:type="dxa"/>
          <w:left w:w="28" w:type="dxa"/>
          <w:bottom w:w="28" w:type="dxa"/>
          <w:right w:w="28" w:type="dxa"/>
        </w:tblCellMar>
      </w:tblPr>
      <w:tblGrid>
        <w:gridCol w:w="1263"/>
        <w:gridCol w:w="1109"/>
        <w:gridCol w:w="1122"/>
        <w:gridCol w:w="499"/>
        <w:gridCol w:w="499"/>
        <w:gridCol w:w="501"/>
        <w:gridCol w:w="1118"/>
        <w:gridCol w:w="1118"/>
        <w:gridCol w:w="1589"/>
      </w:tblGrid>
      <w:t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c>
          <w:tcPr>
            <w:tcW w:w="34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GTM</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120"/>
        <w:jc w:val="left"/>
      </w:p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240" w:after="24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lineRule="auto" w:line="288" w:before="0" w:after="24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On November 4, 2026, ZoomInfo Technologies Inc. (the “Company”) issued a press release announcing its financial results for the third quarter ended September 30, 2026. A copy of the press release is furnished as Exhibit 99.1 to this Current Report and is incorporated herein by reference. The information contained in Item 2.02 of this Current Report, including the press release furnished as Exhibit 99.1 hereto, is being furnished and shall not be deemed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0" w:after="24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(d)     Exhibits.</w:t>
      </w:r>
    </w:p>
    <w:tbl>
      <w:tblPr>
        <w:tblW w:w="10205" w:type="dxa"/>
        <w:jc w:val="left"/>
        <w:tblInd w:w="0" w:type="dxa"/>
        <w:tblLayout w:type="fixed"/>
        <w:tblCellMar>
          <w:top w:w="28" w:type="dxa"/>
          <w:left w:w="28" w:type="dxa"/>
          <w:bottom w:w="28" w:type="dxa"/>
          <w:right w:w="28" w:type="dxa"/>
        </w:tblCellMar>
      </w:tblPr>
      <w:tblGrid>
        <w:gridCol w:w="379"/>
        <w:gridCol w:w="333"/>
        <w:gridCol w:w="336"/>
        <w:gridCol w:w="2679"/>
        <w:gridCol w:w="2679"/>
        <w:gridCol w:w="3799"/>
      </w:tblGrid>
      <w:t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9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15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gtm-8kex991x20261104.htm">
              <w:r>
                <w:rPr>
                  <w:rStyle w:val="InternetLink"/>
                  <w:rFonts w:ascii="Times New Roman;serif" w:hAnsi="Times New Roman;serif"/>
                  <w:b w:val="false"/>
                  <w:color w:val="0000FF"/>
                  <w:sz w:val="20"/>
                  <w:u w:val="single"/>
                </w:rPr>
                <w:t>Press release dated November 4, 2026 announcing ZoomInfo Technologies Inc.'s third quarter 2026 financial results</w:t>
              </w:r>
            </w:hyperlink>
          </w:p>
        </w:tc>
      </w:tr>
      <w:tr>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pPr>
      <w:r/>
    </w:p>
    <w:p>
      <w:pPr>
        <w:pStyle w:val="TextBody"/>
        <w:bidi w:val="0"/>
        <w:spacing w:before="0" w:after="0"/>
        <w:jc w:val="left"/>
      </w:pPr>
      <w:r/>
    </w:p>
    <w:p>
      <w:pPr>
        <w:pStyle w:val="TextBody"/>
        <w:bidi w:val="0"/>
        <w:spacing w:lineRule="auto" w:line="460" w:before="0" w:after="0"/>
        <w:ind w:left="0" w:right="0" w:firstLine="5040"/>
        <w:jc w:val="left"/>
        <w:rPr>
          <w:rFonts w:ascii="Times New Roman;serif" w:hAnsi="Times New Roman;serif"/>
          <w:b w:val="false"/>
          <w:color w:val="000000"/>
          <w:sz w:val="22"/>
        </w:rPr>
      </w:pPr>
      <w:r>
        <w:rPr>
          <w:rFonts w:ascii="Times New Roman;serif" w:hAnsi="Times New Roman;serif"/>
          <w:b w:val="false"/>
          <w:color w:val="000000"/>
          <w:sz w:val="22"/>
        </w:rPr>
        <w:t>ZoomInfo Technologies Inc.</w:t>
      </w:r>
    </w:p>
    <w:p>
      <w:pPr>
        <w:pStyle w:val="TextBody"/>
        <w:bidi w:val="0"/>
        <w:spacing w:lineRule="auto" w:line="460" w:before="0" w:after="0"/>
        <w:jc w:val="left"/>
        <w:rPr>
          <w:rFonts w:ascii="Times New Roman;serif" w:hAnsi="Times New Roman;serif"/>
          <w:b w:val="false"/>
          <w:color w:val="000000"/>
          <w:sz w:val="22"/>
        </w:rPr>
      </w:pPr>
      <w:r>
        <w:rPr>
          <w:rFonts w:ascii="Times New Roman;serif" w:hAnsi="Times New Roman;serif"/>
          <w:b w:val="false"/>
          <w:color w:val="000000"/>
          <w:sz w:val="22"/>
        </w:rPr>
        <w:t>Date: November 4, 2026</w:t>
      </w:r>
    </w:p>
    <w:p>
      <w:pPr>
        <w:pStyle w:val="TextBody"/>
        <w:bidi w:val="0"/>
        <w:spacing w:lineRule="auto" w:line="460" w:before="0" w:after="0"/>
        <w:ind w:left="0" w:right="0" w:firstLine="5040"/>
        <w:jc w:val="left"/>
      </w:pPr>
      <w:r>
        <w:rPr>
          <w:rFonts w:ascii="Times New Roman;serif" w:hAnsi="Times New Roman;serif"/>
          <w:b w:val="false"/>
          <w:color w:val="000000"/>
          <w:sz w:val="22"/>
        </w:rPr>
        <w:t>By:     </w:t>
      </w:r>
      <w:r>
        <w:rPr>
          <w:rFonts w:ascii="Times New Roman;serif" w:hAnsi="Times New Roman;serif"/>
          <w:b w:val="false"/>
          <w:color w:val="000000"/>
          <w:sz w:val="22"/>
          <w:u w:val="single"/>
        </w:rPr>
        <w:t>/s/ M. Graham O'Brien    </w:t>
      </w:r>
    </w:p>
    <w:p>
      <w:pPr>
        <w:pStyle w:val="TextBody"/>
        <w:bidi w:val="0"/>
        <w:spacing w:lineRule="auto" w:line="460" w:before="0" w:after="0"/>
        <w:ind w:left="0" w:right="0" w:firstLine="5040"/>
        <w:jc w:val="left"/>
        <w:rPr>
          <w:rFonts w:ascii="Times New Roman;serif" w:hAnsi="Times New Roman;serif"/>
          <w:b w:val="false"/>
          <w:color w:val="000000"/>
          <w:sz w:val="22"/>
        </w:rPr>
      </w:pPr>
      <w:r>
        <w:rPr>
          <w:rFonts w:ascii="Times New Roman;serif" w:hAnsi="Times New Roman;serif"/>
          <w:b w:val="false"/>
          <w:color w:val="000000"/>
          <w:sz w:val="22"/>
        </w:rPr>
        <w:t>Name:  M. Graham O'Brien</w:t>
      </w:r>
    </w:p>
    <w:p>
      <w:pPr>
        <w:pStyle w:val="TextBody"/>
        <w:bidi w:val="0"/>
        <w:spacing w:lineRule="auto" w:line="460"/>
        <w:ind w:left="0" w:right="0" w:firstLine="504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0"/>
        <w:jc w:val="center"/>
      </w:pPr>
      <w:r>
        <w:drawing>
          <wp:inline distT="0" distB="0" distL="0" distR="0">
            <wp:extent cx="1314450" cy="3524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14450" cy="352425"/>
                    </a:xfrm>
                    <a:prstGeom prst="rect">
                      <a:avLst/>
                    </a:prstGeom>
                  </pic:spPr>
                </pic:pic>
              </a:graphicData>
            </a:graphic>
          </wp:inline>
        </w:drawing>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ZoomInfo Announces Third Quarter 2026 Financial Results</w:t>
      </w:r>
    </w:p>
    <w:p>
      <w:pPr>
        <w:pStyle w:val="TextBody"/>
        <w:bidi w:val="0"/>
        <w:spacing w:before="0" w:after="0"/>
        <w:jc w:val="center"/>
      </w:pPr>
      <w:r/>
    </w:p>
    <w:p>
      <w:pPr>
        <w:pStyle w:val="TextBody"/>
        <w:bidi w:val="0"/>
        <w:spacing w:lineRule="auto" w:line="256" w:before="300" w:after="240"/>
        <w:jc w:val="both"/>
      </w:pPr>
      <w:r>
        <w:rPr>
          <w:rFonts w:ascii="Times New Roman;serif" w:hAnsi="Times New Roman;serif"/>
          <w:b/>
          <w:color w:val="000000"/>
          <w:sz w:val="22"/>
        </w:rPr>
        <w:t>VANCOUVER, Wash.</w:t>
      </w:r>
      <w:r>
        <w:rPr>
          <w:rFonts w:ascii="Times New Roman;serif" w:hAnsi="Times New Roman;serif"/>
          <w:b w:val="false"/>
          <w:color w:val="000000"/>
          <w:sz w:val="22"/>
        </w:rPr>
        <w:t>, November 4, 2026 - ZoomInfo (NASDAQ: GTM), the all-in-one AI GTM platform, today announced its financial results for the third quarter ended September 30, 2026.</w:t>
      </w:r>
    </w:p>
    <w:p>
      <w:pPr>
        <w:pStyle w:val="TextBody"/>
        <w:bidi w:val="0"/>
        <w:spacing w:lineRule="auto" w:line="256" w:before="0" w:after="240"/>
        <w:jc w:val="both"/>
        <w:rPr>
          <w:color w:val="000000"/>
        </w:rPr>
      </w:pPr>
      <w:r>
        <w:rPr>
          <w:color w:val="000000"/>
        </w:rPr>
        <w:t>“</w:t>
      </w:r>
      <w:r>
        <w:rPr>
          <w:rFonts w:ascii="Times New Roman;serif" w:hAnsi="Times New Roman;serif"/>
          <w:b w:val="false"/>
          <w:color w:val="000000"/>
          <w:sz w:val="22"/>
        </w:rPr>
        <w:t>ZoomInfo is central to how leading GTM teams and their AI agents get work done, and our headless context layer is now grounding AI agents across dozens of platforms our customers already use,” said Henry Schuck, ZoomInfo Founder and CEO. “Our largest customers continue to invest and grow with us, with our million dollar customer cohort the strongest it has ever been from an ACV and a logo perspective. We continue to prioritize a disciplined balance sheet as we have expanded our approach to capital allocation.”</w:t>
      </w:r>
    </w:p>
    <w:p>
      <w:pPr>
        <w:pStyle w:val="TextBody"/>
        <w:bidi w:val="0"/>
        <w:spacing w:lineRule="auto" w:line="256" w:before="0" w:after="240"/>
        <w:jc w:val="both"/>
        <w:rPr>
          <w:rFonts w:ascii="Times New Roman;serif" w:hAnsi="Times New Roman;serif"/>
          <w:b/>
          <w:color w:val="000000"/>
          <w:sz w:val="22"/>
        </w:rPr>
      </w:pPr>
      <w:r>
        <w:rPr>
          <w:rFonts w:ascii="Times New Roman;serif" w:hAnsi="Times New Roman;serif"/>
          <w:b/>
          <w:color w:val="000000"/>
          <w:sz w:val="22"/>
        </w:rPr>
        <w:t>Third Quarter 2026 Financial Highlights:</w:t>
      </w:r>
    </w:p>
    <w:p>
      <w:pPr>
        <w:pStyle w:val="TextBody"/>
        <w:bidi w:val="0"/>
        <w:spacing w:lineRule="auto" w:line="256" w:before="0" w:after="0"/>
        <w:ind w:left="0" w:right="0" w:hanging="360"/>
        <w:jc w:val="left"/>
      </w:pPr>
      <w:r>
        <w:rPr>
          <w:color w:val="000000"/>
        </w:rPr>
        <w:t>•</w:t>
      </w:r>
      <w:r>
        <w:rPr>
          <w:rFonts w:ascii="Times New Roman;serif" w:hAnsi="Times New Roman;serif"/>
          <w:b w:val="false"/>
          <w:color w:val="000000"/>
          <w:sz w:val="22"/>
        </w:rPr>
        <w:t>GAAP Revenue of $308.8 million, a decrease of 3% year-over-year.</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GAAP Operating income of $23.6 million and Adjusted operating income of $119.1 million.</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GAAP Operating income margin of 8% and Adjusted operating income margin of 39%.</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GAAP Cash flow from operations of $47.4 million and Unlevered free cash flow of $87.2 million.</w:t>
      </w:r>
    </w:p>
    <w:p>
      <w:pPr>
        <w:pStyle w:val="TextBody"/>
        <w:bidi w:val="0"/>
        <w:spacing w:lineRule="auto" w:line="288" w:before="300" w:after="283"/>
        <w:jc w:val="left"/>
      </w:pPr>
      <w:r>
        <w:rPr>
          <w:rFonts w:ascii="Times New Roman;serif" w:hAnsi="Times New Roman;serif"/>
          <w:b/>
          <w:color w:val="000000"/>
          <w:sz w:val="22"/>
        </w:rPr>
        <w:t>Recent Business and Operating Highlights</w:t>
      </w:r>
      <w:r>
        <w:rPr>
          <w:rFonts w:ascii="Times New Roman;serif" w:hAnsi="Times New Roman;serif"/>
          <w:b w:val="false"/>
          <w:color w:val="000000"/>
          <w:sz w:val="22"/>
        </w:rPr>
        <w:t>:</w:t>
      </w:r>
    </w:p>
    <w:p>
      <w:pPr>
        <w:pStyle w:val="TextBody"/>
        <w:bidi w:val="0"/>
        <w:spacing w:lineRule="auto" w:line="256" w:before="0" w:after="0"/>
        <w:ind w:left="0" w:right="0" w:hanging="360"/>
        <w:jc w:val="both"/>
      </w:pPr>
      <w:r>
        <w:rPr>
          <w:color w:val="000000"/>
        </w:rPr>
        <w:t>•</w:t>
      </w:r>
      <w:r>
        <w:rPr>
          <w:rFonts w:ascii="Times New Roman;serif" w:hAnsi="Times New Roman;serif"/>
          <w:b w:val="false"/>
          <w:color w:val="000000"/>
          <w:sz w:val="22"/>
        </w:rPr>
        <w:t>Announced Agent Teams, a native multi-agent AI orchestration layer in ZoomInfo GTM Studio that coordinates teams of agents across a company’s systems and signals, to execute complex GTM motions. Specialized agents, each with its own role, instructions, and tools, share context and decide the next best action from the current state of the record.</w:t>
      </w:r>
    </w:p>
    <w:p>
      <w:pPr>
        <w:pStyle w:val="TextBody"/>
        <w:bidi w:val="0"/>
        <w:spacing w:lineRule="auto" w:line="256" w:before="0" w:after="0"/>
        <w:ind w:left="0" w:right="0" w:hanging="360"/>
        <w:jc w:val="both"/>
      </w:pPr>
      <w:r>
        <w:rPr>
          <w:color w:val="000000"/>
        </w:rPr>
        <w:t>•</w:t>
      </w:r>
      <w:r>
        <w:rPr>
          <w:rFonts w:ascii="Times New Roman;serif" w:hAnsi="Times New Roman;serif"/>
          <w:b w:val="false"/>
          <w:color w:val="000000"/>
          <w:sz w:val="22"/>
        </w:rPr>
        <w:t>Recognized as a Leader in 2026 IDC MarketScape for Worldwide Unified Revenue Orchestration Platforms.</w:t>
      </w:r>
    </w:p>
    <w:p>
      <w:pPr>
        <w:pStyle w:val="TextBody"/>
        <w:bidi w:val="0"/>
        <w:spacing w:lineRule="auto" w:line="256" w:before="0" w:after="0"/>
        <w:ind w:left="0" w:right="0" w:hanging="360"/>
        <w:jc w:val="both"/>
      </w:pPr>
      <w:r>
        <w:rPr>
          <w:color w:val="000000"/>
        </w:rPr>
        <w:t>•</w:t>
      </w:r>
      <w:r>
        <w:rPr>
          <w:rFonts w:ascii="Times New Roman;serif" w:hAnsi="Times New Roman;serif"/>
          <w:b w:val="false"/>
          <w:color w:val="000000"/>
          <w:sz w:val="22"/>
        </w:rPr>
        <w:t>For the third year in a row, ZoomInfo has been named a Leader in the Gartner® Magic Quadrant™ for Account-Based Marketing (ABM) Platforms.</w:t>
      </w:r>
    </w:p>
    <w:p>
      <w:pPr>
        <w:pStyle w:val="TextBody"/>
        <w:bidi w:val="0"/>
        <w:spacing w:lineRule="auto" w:line="256" w:before="0" w:after="0"/>
        <w:ind w:left="0" w:right="0" w:hanging="360"/>
        <w:jc w:val="both"/>
      </w:pPr>
      <w:r>
        <w:rPr>
          <w:color w:val="000000"/>
        </w:rPr>
        <w:t>•</w:t>
      </w:r>
      <w:r>
        <w:rPr>
          <w:rFonts w:ascii="Times New Roman;serif" w:hAnsi="Times New Roman;serif"/>
          <w:b w:val="false"/>
          <w:color w:val="000000"/>
          <w:sz w:val="22"/>
        </w:rPr>
        <w:t>Achieved ISO/IEC 42001:2023 certification for its Artificial Intelligence Management System (AIMS). The certification reflects ZoomInfo’s ongoing investment in secure, accountable, and well-governed AI.</w:t>
      </w:r>
    </w:p>
    <w:p>
      <w:pPr>
        <w:pStyle w:val="TextBody"/>
        <w:bidi w:val="0"/>
        <w:spacing w:lineRule="auto" w:line="256" w:before="0" w:after="0"/>
        <w:ind w:left="0" w:right="0" w:hanging="360"/>
        <w:jc w:val="both"/>
      </w:pPr>
      <w:r>
        <w:rPr>
          <w:color w:val="000000"/>
        </w:rPr>
        <w:t>•</w:t>
      </w:r>
      <w:r>
        <w:rPr>
          <w:rFonts w:ascii="Times New Roman;serif" w:hAnsi="Times New Roman;serif"/>
          <w:b w:val="false"/>
          <w:color w:val="000000"/>
          <w:sz w:val="22"/>
        </w:rPr>
        <w:t>Total Annual Contract Value (“ACV”) from customers with $100,000 or greater in ACV increased 4% year-over-year, and the Company closed the quarter with 1,851 customers with $100,000 or greater in ACV, a decrease of 2% year-over-year.</w:t>
      </w:r>
      <w:r>
        <w:rPr>
          <w:rFonts w:ascii="Times New Roman;serif" w:hAnsi="Times New Roman;serif"/>
          <w:b w:val="false"/>
          <w:color w:val="000000"/>
          <w:sz w:val="14"/>
        </w:rPr>
        <w:t>1</w:t>
      </w:r>
    </w:p>
    <w:p>
      <w:pPr>
        <w:pStyle w:val="TextBody"/>
        <w:bidi w:val="0"/>
        <w:spacing w:lineRule="auto" w:line="256" w:before="0" w:after="0"/>
        <w:ind w:left="0" w:right="0" w:hanging="360"/>
        <w:jc w:val="both"/>
      </w:pPr>
      <w:r>
        <w:rPr>
          <w:color w:val="000000"/>
        </w:rPr>
        <w:t>•</w:t>
      </w:r>
      <w:r>
        <w:rPr>
          <w:rFonts w:ascii="Times New Roman;serif" w:hAnsi="Times New Roman;serif"/>
          <w:b w:val="false"/>
          <w:color w:val="000000"/>
          <w:sz w:val="22"/>
        </w:rPr>
        <w:t>77% of the Company’s ACV was Upmarket, and Upmarket ACV was flat year-over-year.</w:t>
      </w:r>
      <w:r>
        <w:rPr>
          <w:rFonts w:ascii="Times New Roman;serif" w:hAnsi="Times New Roman;serif"/>
          <w:b w:val="false"/>
          <w:color w:val="000000"/>
          <w:sz w:val="14"/>
        </w:rPr>
        <w:t>1</w:t>
      </w:r>
      <w:r>
        <w:rPr>
          <w:color w:val="000000"/>
        </w:rPr>
        <w:t xml:space="preserve"> </w:t>
      </w:r>
    </w:p>
    <w:p>
      <w:pPr>
        <w:pStyle w:val="TextBody"/>
        <w:bidi w:val="0"/>
        <w:spacing w:lineRule="auto" w:line="256" w:before="0" w:after="0"/>
        <w:ind w:left="0" w:right="0" w:hanging="360"/>
        <w:jc w:val="both"/>
      </w:pPr>
      <w:r>
        <w:rPr>
          <w:color w:val="000000"/>
        </w:rPr>
        <w:t>•</w:t>
      </w:r>
      <w:r>
        <w:rPr>
          <w:rFonts w:ascii="Times New Roman;serif" w:hAnsi="Times New Roman;serif"/>
          <w:b w:val="false"/>
          <w:color w:val="000000"/>
          <w:sz w:val="22"/>
        </w:rPr>
        <w:t>The Company’s net revenue retention rate was 88%.</w:t>
      </w:r>
      <w:r>
        <w:rPr>
          <w:rFonts w:ascii="Times New Roman;serif" w:hAnsi="Times New Roman;serif"/>
          <w:b w:val="false"/>
          <w:color w:val="000000"/>
          <w:sz w:val="14"/>
        </w:rPr>
        <w:t>1</w:t>
      </w:r>
    </w:p>
    <w:p>
      <w:pPr>
        <w:pStyle w:val="TextBody"/>
        <w:bidi w:val="0"/>
        <w:spacing w:lineRule="auto" w:line="256" w:before="0" w:after="0"/>
        <w:ind w:left="0" w:right="0" w:hanging="360"/>
        <w:jc w:val="both"/>
      </w:pPr>
      <w:r>
        <w:rPr>
          <w:color w:val="000000"/>
        </w:rPr>
        <w:t>•</w:t>
      </w:r>
      <w:r>
        <w:rPr>
          <w:rFonts w:ascii="Times New Roman;serif" w:hAnsi="Times New Roman;serif"/>
          <w:b w:val="false"/>
          <w:color w:val="000000"/>
          <w:sz w:val="22"/>
        </w:rPr>
        <w:t>The Company repurchased 2.5 million shares of common stock at an average price of $2.94 per share, for an aggregate amount of $7.5 million.</w:t>
      </w:r>
      <w:r>
        <w:rPr>
          <w:rFonts w:ascii="Times New Roman;serif" w:hAnsi="Times New Roman;serif"/>
          <w:b w:val="false"/>
          <w:color w:val="000000"/>
          <w:sz w:val="14"/>
        </w:rPr>
        <w:t>1</w:t>
      </w:r>
    </w:p>
    <w:p>
      <w:pPr>
        <w:pStyle w:val="TextBody"/>
        <w:bidi w:val="0"/>
        <w:spacing w:lineRule="auto" w:line="256" w:before="0" w:after="0"/>
        <w:ind w:left="0" w:right="0" w:hanging="360"/>
        <w:jc w:val="both"/>
      </w:pPr>
      <w:r>
        <w:rPr>
          <w:color w:val="000000"/>
        </w:rPr>
        <w:t>•</w:t>
      </w:r>
      <w:r>
        <w:rPr>
          <w:rFonts w:ascii="Times New Roman;serif" w:hAnsi="Times New Roman;serif"/>
          <w:b w:val="false"/>
          <w:color w:val="000000"/>
          <w:sz w:val="22"/>
        </w:rPr>
        <w:t>The Company repurchased $34.8 million in aggregate principal amount of its Senior Notes for $31.1 million in cash, resulting in a gain on debt extinguishment of $3.4 million and a $1.3 million annual reduction to cash interest payments.</w:t>
      </w:r>
      <w:r>
        <w:rPr>
          <w:rFonts w:ascii="Times New Roman;serif" w:hAnsi="Times New Roman;serif"/>
          <w:b w:val="false"/>
          <w:color w:val="000000"/>
          <w:sz w:val="14"/>
        </w:rPr>
        <w:t>1</w:t>
      </w:r>
    </w:p>
    <w:p>
      <w:pPr>
        <w:pStyle w:val="TextBody"/>
        <w:bidi w:val="0"/>
        <w:spacing w:lineRule="auto" w:line="288"/>
        <w:jc w:val="left"/>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As of, or for the three months ended, September 30, 2026, as applicable</w:t>
      </w:r>
    </w:p>
    <w:p>
      <w:pPr>
        <w:pStyle w:val="TextBody"/>
        <w:bidi w:val="0"/>
        <w:spacing w:before="0" w:after="0"/>
        <w:jc w:val="righ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78"/>
        <w:gridCol w:w="598"/>
        <w:gridCol w:w="604"/>
        <w:gridCol w:w="499"/>
        <w:gridCol w:w="499"/>
        <w:gridCol w:w="501"/>
        <w:gridCol w:w="128"/>
        <w:gridCol w:w="128"/>
        <w:gridCol w:w="128"/>
        <w:gridCol w:w="311"/>
        <w:gridCol w:w="311"/>
        <w:gridCol w:w="312"/>
        <w:gridCol w:w="128"/>
        <w:gridCol w:w="128"/>
        <w:gridCol w:w="128"/>
        <w:gridCol w:w="684"/>
        <w:gridCol w:w="667"/>
        <w:gridCol w:w="669"/>
        <w:gridCol w:w="576"/>
        <w:gridCol w:w="576"/>
        <w:gridCol w:w="577"/>
        <w:gridCol w:w="128"/>
        <w:gridCol w:w="128"/>
        <w:gridCol w:w="128"/>
        <w:gridCol w:w="286"/>
        <w:gridCol w:w="286"/>
        <w:gridCol w:w="419"/>
      </w:tblGrid>
      <w:tr>
        <w:tc>
          <w:tcPr>
            <w:tcW w:w="67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Q3 2026 Financial Highlights (Unaudited)</w:t>
            </w:r>
          </w:p>
        </w:tc>
      </w:tr>
      <w:t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in millions, except per share amounts)</w:t>
            </w:r>
          </w:p>
        </w:tc>
      </w:tr>
      <w:tr>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GAAP Quarterly Results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YoY</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Quarterly Results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YoY</w:t>
            </w:r>
          </w:p>
        </w:tc>
      </w:tr>
      <w:t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4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Margin</w:t>
            </w:r>
          </w:p>
        </w:tc>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(Diluted)</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Per Share (Diluted)</w:t>
            </w:r>
          </w:p>
        </w:tc>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$0.29</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$47.4</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Unlevered Free Cash Flow</w:t>
            </w:r>
          </w:p>
        </w:tc>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bl>
    <w:p>
      <w:pPr>
        <w:pStyle w:val="TextBody"/>
        <w:bidi w:val="0"/>
        <w:spacing w:lineRule="auto" w:line="256" w:before="180" w:after="180"/>
        <w:jc w:val="both"/>
        <w:rPr>
          <w:rFonts w:ascii="Times New Roman;serif" w:hAnsi="Times New Roman;serif"/>
          <w:b w:val="false"/>
          <w:color w:val="000000"/>
          <w:sz w:val="22"/>
        </w:rPr>
      </w:pPr>
      <w:r>
        <w:rPr>
          <w:rFonts w:ascii="Times New Roman;serif" w:hAnsi="Times New Roman;serif"/>
          <w:b w:val="false"/>
          <w:color w:val="000000"/>
          <w:sz w:val="22"/>
        </w:rPr>
        <w:t>The Company uses a variety of operational and financial metrics, including non-GAAP financial measures, to evaluate its performance and financial condition. The accompanying financial data includes additional information regarding these metrics and a reconciliation of non-GAAP financial information for historical periods to the most directly comparable GAAP financial measure. The presentation of non-GAAP financial information should not be considered in isolation or as a substitute for, or superior to, the financial information prepared and presented in accordance with GAAP.</w:t>
      </w:r>
    </w:p>
    <w:p>
      <w:pPr>
        <w:pStyle w:val="TextBody"/>
        <w:bidi w:val="0"/>
        <w:spacing w:lineRule="auto" w:line="256" w:before="300" w:after="180"/>
        <w:jc w:val="both"/>
        <w:rPr>
          <w:rFonts w:ascii="Times New Roman;serif" w:hAnsi="Times New Roman;serif"/>
          <w:b/>
          <w:color w:val="000000"/>
          <w:sz w:val="22"/>
        </w:rPr>
      </w:pPr>
      <w:r>
        <w:rPr>
          <w:rFonts w:ascii="Times New Roman;serif" w:hAnsi="Times New Roman;serif"/>
          <w:b/>
          <w:color w:val="000000"/>
          <w:sz w:val="22"/>
        </w:rPr>
        <w:t>Business Outlook:</w:t>
      </w:r>
    </w:p>
    <w:p>
      <w:pPr>
        <w:pStyle w:val="TextBody"/>
        <w:bidi w:val="0"/>
        <w:spacing w:lineRule="auto" w:line="256" w:before="0" w:after="180"/>
        <w:jc w:val="both"/>
        <w:rPr>
          <w:rFonts w:ascii="Times New Roman;serif" w:hAnsi="Times New Roman;serif"/>
          <w:b w:val="false"/>
          <w:color w:val="000000"/>
          <w:sz w:val="22"/>
        </w:rPr>
      </w:pPr>
      <w:r>
        <w:rPr>
          <w:rFonts w:ascii="Times New Roman;serif" w:hAnsi="Times New Roman;serif"/>
          <w:b w:val="false"/>
          <w:color w:val="000000"/>
          <w:sz w:val="22"/>
        </w:rPr>
        <w:t>Based on information available as of November 4, 2026, ZoomInfo is providing guidance for the fourth quarter and full year 2026 as follows:</w:t>
      </w:r>
    </w:p>
    <w:tbl>
      <w:tblPr>
        <w:tblW w:w="10205" w:type="dxa"/>
        <w:jc w:val="left"/>
        <w:tblInd w:w="0" w:type="dxa"/>
        <w:tblLayout w:type="fixed"/>
        <w:tblCellMar>
          <w:top w:w="28" w:type="dxa"/>
          <w:left w:w="28" w:type="dxa"/>
          <w:bottom w:w="28" w:type="dxa"/>
          <w:right w:w="28" w:type="dxa"/>
        </w:tblCellMar>
      </w:tblPr>
      <w:tblGrid>
        <w:gridCol w:w="1460"/>
        <w:gridCol w:w="1257"/>
        <w:gridCol w:w="1262"/>
        <w:gridCol w:w="550"/>
        <w:gridCol w:w="539"/>
        <w:gridCol w:w="534"/>
        <w:gridCol w:w="109"/>
        <w:gridCol w:w="109"/>
        <w:gridCol w:w="109"/>
        <w:gridCol w:w="632"/>
        <w:gridCol w:w="607"/>
        <w:gridCol w:w="610"/>
        <w:gridCol w:w="109"/>
        <w:gridCol w:w="109"/>
        <w:gridCol w:w="109"/>
        <w:gridCol w:w="611"/>
        <w:gridCol w:w="611"/>
        <w:gridCol w:w="878"/>
      </w:tblGrid>
      <w:tr>
        <w:tc>
          <w:tcPr>
            <w:tcW w:w="146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c>
          <w:tcPr>
            <w:tcW w:w="3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 FY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FY 2026</w:t>
            </w:r>
          </w:p>
        </w:tc>
      </w:tr>
      <w:t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Revenue</w:t>
            </w:r>
          </w:p>
        </w:tc>
        <w:tc>
          <w:tcPr>
            <w:tcW w:w="162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$294 - $297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$1.207 - $1.217 billion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$1.2235 - $1.2265 billion</w:t>
            </w:r>
          </w:p>
        </w:tc>
      </w:tr>
      <w:tr>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Operating Income</w:t>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$113 - $116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$446 - $451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$452 - $455 million</w:t>
            </w:r>
          </w:p>
        </w:tc>
      </w:tr>
      <w:t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Income Per Share (Diluted)</w:t>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$0.285 - $0.295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$1.12 - $1.13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$1.125 - $1.135</w:t>
            </w:r>
          </w:p>
        </w:tc>
      </w:tr>
      <w:tr>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Unlevered Free Cash Flow</w:t>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Not Guided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$403 - $423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$405 - $425 million</w:t>
            </w:r>
          </w:p>
        </w:tc>
      </w:tr>
      <w:t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318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318 million</w:t>
            </w:r>
          </w:p>
        </w:tc>
      </w:tr>
    </w:tbl>
    <w:p>
      <w:pPr>
        <w:pStyle w:val="TextBody"/>
        <w:bidi w:val="0"/>
        <w:spacing w:before="0" w:after="0"/>
        <w:jc w:val="righ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lineRule="auto" w:line="256" w:before="300" w:after="180"/>
        <w:jc w:val="left"/>
        <w:rPr>
          <w:rFonts w:ascii="Times New Roman;serif" w:hAnsi="Times New Roman;serif"/>
          <w:b/>
          <w:color w:val="000000"/>
          <w:sz w:val="22"/>
        </w:rPr>
      </w:pPr>
      <w:r>
        <w:rPr>
          <w:rFonts w:ascii="Times New Roman;serif" w:hAnsi="Times New Roman;serif"/>
          <w:b/>
          <w:color w:val="000000"/>
          <w:sz w:val="22"/>
        </w:rPr>
        <w:t>Conference Call and Webcast Information:</w:t>
      </w:r>
    </w:p>
    <w:p>
      <w:pPr>
        <w:pStyle w:val="TextBody"/>
        <w:bidi w:val="0"/>
        <w:spacing w:lineRule="auto" w:line="288" w:before="0" w:after="180"/>
        <w:jc w:val="both"/>
      </w:pPr>
      <w:r>
        <w:rPr>
          <w:rFonts w:ascii="Times New Roman;serif" w:hAnsi="Times New Roman;serif"/>
          <w:b w:val="false"/>
          <w:color w:val="000000"/>
          <w:sz w:val="22"/>
        </w:rPr>
        <w:t xml:space="preserve">ZoomInfo will host a conference call today, November 4, 2026, to review its results at 4:30 p.m. Eastern Time, 1:30 p.m. Pacific Time. To participate in the live conference call via telephone, please register </w:t>
      </w:r>
      <w:r>
        <w:rPr>
          <w:rFonts w:ascii="Times New Roman;serif" w:hAnsi="Times New Roman;serif"/>
          <w:b/>
          <w:color w:val="000000"/>
          <w:sz w:val="22"/>
        </w:rPr>
        <w:t>here</w:t>
      </w:r>
      <w:r>
        <w:rPr>
          <w:rFonts w:ascii="Times New Roman;serif" w:hAnsi="Times New Roman;serif"/>
          <w:b w:val="false"/>
          <w:color w:val="000000"/>
          <w:sz w:val="22"/>
        </w:rPr>
        <w:t>. Upon registering, a dial-in number and unique PIN will be provided to join the conference call.</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The call will also be webcast live on the Company’s investor relations website at https://ir.zoominfo.com/, where related presentation materials will be posted prior to the conference call. Following the conference call, an archived webcast of the call will be available for one year on ZoomInfo’s Investor Relations website.</w:t>
      </w:r>
    </w:p>
    <w:p>
      <w:pPr>
        <w:pStyle w:val="TextBody"/>
        <w:bidi w:val="0"/>
        <w:spacing w:lineRule="auto" w:line="256" w:before="300" w:after="180"/>
        <w:jc w:val="left"/>
        <w:rPr>
          <w:rFonts w:ascii="Times New Roman;serif" w:hAnsi="Times New Roman;serif"/>
          <w:b/>
          <w:color w:val="000000"/>
          <w:sz w:val="22"/>
        </w:rPr>
      </w:pPr>
      <w:r>
        <w:rPr>
          <w:rFonts w:ascii="Times New Roman;serif" w:hAnsi="Times New Roman;serif"/>
          <w:b/>
          <w:color w:val="000000"/>
          <w:sz w:val="22"/>
        </w:rPr>
        <w:t>Upcoming Events: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ZoomInfo executives expect to participate in the following investor events: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Needham Virtual Tech Week, Nov. 18, 2026</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UBS Global Technology and AI Conference, Nov. 30, 2026</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BofA Securities Leveraged Finance Conference, Dec. 2 2026</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Wells Fargo TMT Summit, Dec. 8, 2026</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Barclays Global Technology Conference, Dec. 10, 2026</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For more information on specific events, presentation times, and webcast details (if available), visit the “News &amp; Events” section of the Company’s investor relations website at https://ir.zoominfo.com. Conferences with presentations that are webcast, will be webcast live, and the replay will be available for a limited time.</w:t>
      </w:r>
    </w:p>
    <w:p>
      <w:pPr>
        <w:pStyle w:val="TextBody"/>
        <w:bidi w:val="0"/>
        <w:spacing w:lineRule="auto" w:line="288" w:before="300" w:after="180"/>
        <w:jc w:val="both"/>
        <w:rPr>
          <w:rFonts w:ascii="Times New Roman;serif" w:hAnsi="Times New Roman;serif"/>
          <w:b/>
          <w:color w:val="000000"/>
          <w:sz w:val="22"/>
        </w:rPr>
      </w:pPr>
      <w:r>
        <w:rPr>
          <w:rFonts w:ascii="Times New Roman;serif" w:hAnsi="Times New Roman;serif"/>
          <w:b/>
          <w:color w:val="000000"/>
          <w:sz w:val="22"/>
        </w:rPr>
        <w:t>Non-GAAP Financial Measures and Other Metrics:</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To supplement our consolidated financial statements presented in accordance with GAAP, this press release contains non-GAAP financial measures, including Unlevered Free Cash Flow, Adjusted Operating Income, Adjusted Operating Income Margin, Adjusted Net Income, and Adjusted Net Income Per Share. We believe these non-GAAP measures are useful to investors in evaluating our operating performance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pStyle w:val="TextBody"/>
        <w:bidi w:val="0"/>
        <w:spacing w:before="0" w:after="0"/>
        <w:jc w:val="righ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at the end of this press release for each historical non-GAAP financial measure to the most directly comparable financial measure stated in accordance with GAAP. 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stock-based compensation expense, taxes and amounts under the tax receivable agreements, deferred tax assets and deferred tax liabilities, and restructuring and transaction expenses. We expect the variability of these excluded items may have a significant, and potentially unpredictable, impact on our future GAAP financial results.</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We define Unlevered Free Cash Flow as net cash provided by operating activities less, (i) purchases of property and equipment and other assets, plus, as applicable, (ii) cash interest expense, (iii) cash payments related to restructuring and transaction-related expenses, (iv) cash payments related to integration costs and acquisition-related compensation, and (v) litigation settlement payments. Unlevered Free Cash Flow does not represent residual cash flow available for discretionary expenditures since, among other things, we have mandatory debt service requirements.</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We define Adjusted Operating Income as income (loss) from operations adjusted for, as applicable, (i) amortization of acquired technology and other acquired intangibles, (ii) goodwill impairment, (iii) equity-based compensation expense, (iv) restructuring and transaction-related expenses, (v) integration costs and acquisition-related expenses, and (vi) litigation settlement. We define Adjusted Operating Income Margin as Adjusted Operating Income divided by revenue.</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We define Adjusted Net Income as net income (loss) adjusted for, as applicable, (i) gain on debt extinguishment, (ii) amortization of acquired technology and other acquired intangibles, (iii) goodwill impairment, (iv) equity-based compensation expense, (v) restructuring and transaction-related expenses, (vi) integration costs and acquisition-related expenses, (vii) litigation settlement, (viii) TRA liability remeasurement (benefit) expense, (ix) other (income) loss associated with restructuring and transaction-related expenses, and (x) tax impacts of adjustments to net income (loss). We define Adjusted Net Income Per Share as Adjusted Net Income divided by diluted weighted average shares outstanding used for Adjusted Net Income Per Share.</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Net revenue retention is a metric that we calculate based on customers of ZoomInfo at the beginning of the twelve-month period, and is calculated as: (a) the total annual contract value ("ACV") for those customers at the end of the twelve-month period, divided by (b) the total ACV for those customers at the beginning of the twelve-month period.</w:t>
      </w:r>
    </w:p>
    <w:p>
      <w:pPr>
        <w:pStyle w:val="TextBody"/>
        <w:bidi w:val="0"/>
        <w:spacing w:before="0" w:after="0"/>
        <w:jc w:val="righ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lineRule="auto" w:line="288" w:before="300" w:after="180"/>
        <w:jc w:val="both"/>
        <w:rPr>
          <w:rFonts w:ascii="Times New Roman;serif" w:hAnsi="Times New Roman;serif"/>
          <w:b/>
          <w:color w:val="000000"/>
          <w:sz w:val="22"/>
        </w:rPr>
      </w:pPr>
      <w:r>
        <w:rPr>
          <w:rFonts w:ascii="Times New Roman;serif" w:hAnsi="Times New Roman;serif"/>
          <w:b/>
          <w:color w:val="000000"/>
          <w:sz w:val="22"/>
        </w:rPr>
        <w:t>Cautionary Statement Regarding Forward-Looking Information</w:t>
      </w:r>
    </w:p>
    <w:p>
      <w:pPr>
        <w:pStyle w:val="TextBody"/>
        <w:bidi w:val="0"/>
        <w:spacing w:lineRule="auto" w:line="300" w:before="0" w:after="180"/>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 Any statements in this press release regarding future revenue, earnings, margins, financial performance, expenses, estimates, cash flow, growth in free cash flow, results of changes in operational procedures, liquidity, or results of operations (including, but not limited to, the guidance provided under “Business Outlook”), and any other statements that are not historical facts are forward-looking statements. 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pStyle w:val="TextBody"/>
        <w:bidi w:val="0"/>
        <w:spacing w:lineRule="auto" w:line="300" w:before="0" w:after="180"/>
        <w:jc w:val="both"/>
        <w:rPr>
          <w:rFonts w:ascii="Times New Roman;serif" w:hAnsi="Times New Roman;serif"/>
          <w:b w:val="false"/>
          <w:color w:val="000000"/>
          <w:sz w:val="22"/>
        </w:rPr>
      </w:pPr>
      <w:r>
        <w:rPr>
          <w:rFonts w:ascii="Times New Roman;serif" w:hAnsi="Times New Roman;serif"/>
          <w:b w:val="false"/>
          <w:color w:val="000000"/>
          <w:sz w:val="22"/>
        </w:rPr>
        <w:t>Factors that could cause actual results to differ from those expressed or implied by our forward-looking statements include, among other things: future economic, competitive, and regulatory conditions, potential future uses of cash, our revenue model, including our transition upmarket and our pricing structures, our ability to attract new customers, renew existing subscriptions, or expand existing subscriptions, the successful integration of acquired businesses, and future decisions made by us and our competitors. All of these factors are difficult or impossible to predict accurately and many of them are beyond our control. For a further list and description of these and other important risks and uncertainties that may affect our future operations, see Part I, Item 1A - Risk Factors in our most recent Annual Report on Form 10-K filed with the Securities and Exchange Commission, which we may update in Part II, Item 1A - Risk Factors in Quarterly Reports on Form 10-Q that we have filed or will file hereafter. Our forward-looking statements do not reflect the potential impact of any future acquisitions, mergers, dispositions, joint ventures, investments, or other strategic transactions we may make. Each forward-looking statement contained herein speaks only as of the date originally published, and we undertake no obligation to update or revise any forward-looking statements whether as a result of new information, future developments or otherwise, except as required by law.</w:t>
      </w:r>
    </w:p>
    <w:p>
      <w:pPr>
        <w:pStyle w:val="TextBody"/>
        <w:bidi w:val="0"/>
        <w:spacing w:lineRule="auto" w:line="300" w:before="300" w:after="160"/>
        <w:jc w:val="left"/>
        <w:rPr>
          <w:rFonts w:ascii="Times New Roman;serif" w:hAnsi="Times New Roman;serif"/>
          <w:b/>
          <w:color w:val="000000"/>
          <w:sz w:val="22"/>
        </w:rPr>
      </w:pPr>
      <w:r>
        <w:rPr>
          <w:rFonts w:ascii="Times New Roman;serif" w:hAnsi="Times New Roman;serif"/>
          <w:b/>
          <w:color w:val="000000"/>
          <w:sz w:val="22"/>
        </w:rPr>
        <w:t>Gartner Disclaimers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Gartner, Magic Quadrant for Account-Based Marketing Platforms, Jenifer Silverstein, Ray Pun, Chris Chandler and Upasna Chandra, 7 October 2026.</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Gartner does not endorse any company, vendor, product or service depicted in its publications, and does not advise technology users to select only those vendors with the highest ratings or other designation. Gartner publications consist of the opinions of Gartner’s business and technology insights organization and should not be construed as statements of fact. Gartner disclaims all warranties, expressed or implied, with respect to this publication, including any warranties of merchantability or fitness for a particular purpose.</w:t>
      </w:r>
    </w:p>
    <w:p>
      <w:pPr>
        <w:pStyle w:val="TextBody"/>
        <w:bidi w:val="0"/>
        <w:spacing w:before="0" w:after="0"/>
        <w:jc w:val="both"/>
      </w:p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Gartner and Magic Quadrant are trademarks of Gartner, Inc. and/or its affiliates.</w:t>
      </w:r>
    </w:p>
    <w:p>
      <w:pPr>
        <w:pStyle w:val="TextBody"/>
        <w:bidi w:val="0"/>
        <w:spacing w:before="0" w:after="0"/>
        <w:jc w:val="righ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before="300" w:after="160"/>
        <w:jc w:val="left"/>
      </w:pPr>
      <w:r/>
    </w:p>
    <w:p>
      <w:pPr>
        <w:pStyle w:val="TextBody"/>
        <w:bidi w:val="0"/>
        <w:spacing w:lineRule="auto" w:line="300" w:before="300" w:after="160"/>
        <w:jc w:val="left"/>
        <w:rPr>
          <w:rFonts w:ascii="Times New Roman;serif" w:hAnsi="Times New Roman;serif"/>
          <w:b/>
          <w:color w:val="000000"/>
          <w:sz w:val="22"/>
        </w:rPr>
      </w:pPr>
      <w:r>
        <w:rPr>
          <w:rFonts w:ascii="Times New Roman;serif" w:hAnsi="Times New Roman;serif"/>
          <w:b/>
          <w:color w:val="000000"/>
          <w:sz w:val="22"/>
        </w:rPr>
        <w:t>About ZoomInfo</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ZoomInfo (NASDAQ: GTM), the all-in-one AI GTM platform, enables sales, marketing, and customer success teams to execute their go-to-market strategy with confidence. Powered by the industry’s most comprehensive B2B data, including more than 100 million companies, 500 million contacts, and billions of signals, ZoomInfo delivers the intelligence, automation, and integrations that modern revenue teams need to identify, engage, and convert their best buyers.</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GTM.AI is a headless layer that connects to ZoomInfo’s GTM Context Graph. It is the API and Model Context Protocol home for AI agents, powering integrations across Salesforce, HubSpot, Microsoft, Anthropic, OpenAI, Perplexity, and dozens more.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Learn more at zoominfo.com and gtm.ai.</w:t>
      </w:r>
    </w:p>
    <w:p>
      <w:pPr>
        <w:pStyle w:val="TextBody"/>
        <w:bidi w:val="0"/>
        <w:spacing w:lineRule="auto" w:line="288" w:before="300" w:after="160"/>
        <w:jc w:val="left"/>
        <w:rPr>
          <w:rFonts w:ascii="Times New Roman;serif" w:hAnsi="Times New Roman;serif"/>
          <w:b/>
          <w:color w:val="000000"/>
          <w:sz w:val="22"/>
        </w:rPr>
      </w:pPr>
      <w:r>
        <w:rPr>
          <w:rFonts w:ascii="Times New Roman;serif" w:hAnsi="Times New Roman;serif"/>
          <w:b/>
          <w:color w:val="000000"/>
          <w:sz w:val="22"/>
        </w:rPr>
        <w:t>Website Disclosure</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ZoomInfo intends to use its website as a distribution channel of material company information. Financial and other important information regarding the Company is routinely posted on and accessible through the Company’s website. Accordingly, you should monitor the investor relations portion of our website at https://ir.zoominfo.com/ in addition to following our press releases, SEC filings, and public conference calls and webcasts. In addition, you may automatically receive email alerts and other information about ZoomInfo when you enroll your email address by visiting the “Email Alerts” section of our investor relations page at https://ir.zoominfo.com/.</w:t>
      </w:r>
    </w:p>
    <w:p>
      <w:pPr>
        <w:pStyle w:val="TextBody"/>
        <w:bidi w:val="0"/>
        <w:spacing w:lineRule="auto" w:line="288" w:before="480" w:after="480"/>
        <w:jc w:val="center"/>
        <w:rPr>
          <w:rFonts w:ascii="Times New Roman;serif" w:hAnsi="Times New Roman;serif"/>
          <w:b/>
          <w:color w:val="000000"/>
          <w:sz w:val="22"/>
        </w:rPr>
      </w:pPr>
      <w:r>
        <w:rPr>
          <w:rFonts w:ascii="Times New Roman;serif" w:hAnsi="Times New Roman;serif"/>
          <w:b/>
          <w:color w:val="000000"/>
          <w:sz w:val="22"/>
        </w:rPr>
        <w:t>###</w:t>
      </w:r>
    </w:p>
    <w:p>
      <w:pPr>
        <w:pStyle w:val="TextBody"/>
        <w:bidi w:val="0"/>
        <w:spacing w:lineRule="auto" w:line="256" w:before="0" w:after="0"/>
        <w:jc w:val="left"/>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Jeremiah Sisitsky</w:t>
      </w:r>
    </w:p>
    <w:p>
      <w:pPr>
        <w:pStyle w:val="TextBody"/>
        <w:bidi w:val="0"/>
        <w:spacing w:lineRule="auto" w:line="256" w:before="0" w:after="160"/>
        <w:jc w:val="left"/>
        <w:rPr>
          <w:rFonts w:ascii="Times New Roman;serif" w:hAnsi="Times New Roman;serif"/>
          <w:b w:val="false"/>
          <w:color w:val="000000"/>
          <w:sz w:val="22"/>
        </w:rPr>
      </w:pPr>
      <w:r>
        <w:rPr>
          <w:rFonts w:ascii="Times New Roman;serif" w:hAnsi="Times New Roman;serif"/>
          <w:b w:val="false"/>
          <w:color w:val="000000"/>
          <w:sz w:val="22"/>
        </w:rPr>
        <w:t>ir@zoominfo.com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7993" w:type="dxa"/>
        <w:jc w:val="left"/>
        <w:tblInd w:w="0" w:type="dxa"/>
        <w:tblLayout w:type="fixed"/>
        <w:tblCellMar>
          <w:top w:w="28" w:type="dxa"/>
          <w:left w:w="28" w:type="dxa"/>
          <w:bottom w:w="28" w:type="dxa"/>
          <w:right w:w="28" w:type="dxa"/>
        </w:tblCellMar>
      </w:tblPr>
      <w:tblGrid>
        <w:gridCol w:w="1583"/>
        <w:gridCol w:w="1397"/>
        <w:gridCol w:w="1414"/>
        <w:gridCol w:w="295"/>
        <w:gridCol w:w="1093"/>
        <w:gridCol w:w="152"/>
        <w:gridCol w:w="152"/>
        <w:gridCol w:w="152"/>
        <w:gridCol w:w="152"/>
        <w:gridCol w:w="295"/>
        <w:gridCol w:w="1093"/>
        <w:gridCol w:w="215"/>
      </w:tblGrid>
      <w:tr>
        <w:tc>
          <w:tcPr>
            <w:tcW w:w="158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c>
          <w:tcPr>
            <w:tcW w:w="799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ZoomInfo Technologies Inc.</w:t>
            </w:r>
          </w:p>
        </w:tc>
      </w:tr>
      <w:tr>
        <w:tc>
          <w:tcPr>
            <w:tcW w:w="799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tc>
      </w:tr>
      <w:tr>
        <w:tc>
          <w:tcPr>
            <w:tcW w:w="7993"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 except share data)</w:t>
            </w:r>
          </w:p>
        </w:tc>
      </w:tr>
      <w:t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29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404.5 </w:t>
            </w:r>
          </w:p>
        </w:tc>
        <w:tc>
          <w:tcPr>
            <w:tcW w:w="15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454.0 </w:t>
            </w:r>
          </w:p>
        </w:tc>
        <w:tc>
          <w:tcPr>
            <w:tcW w:w="21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and other assets, net of current portion</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9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5,668.6</w:t>
            </w:r>
            <w:r>
              <w:rPr>
                <w:color w:val="000000"/>
              </w:rPr>
              <w:t> </w:t>
            </w:r>
          </w:p>
        </w:tc>
        <w:tc>
          <w:tcPr>
            <w:tcW w:w="15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6,439.5</w:t>
            </w:r>
            <w:r>
              <w:rPr>
                <w:color w:val="000000"/>
              </w:rPr>
              <w:t> </w:t>
            </w:r>
          </w:p>
        </w:tc>
        <w:tc>
          <w:tcPr>
            <w:tcW w:w="2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current portion</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29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612.6 </w:t>
            </w:r>
          </w:p>
        </w:tc>
        <w:tc>
          <w:tcPr>
            <w:tcW w:w="15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632.9 </w:t>
            </w:r>
          </w:p>
        </w:tc>
        <w:tc>
          <w:tcPr>
            <w:tcW w:w="21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net of current portion</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receivable agreements liability </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9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4,815.9</w:t>
            </w:r>
            <w:r>
              <w:rPr>
                <w:color w:val="000000"/>
              </w:rPr>
              <w:t> </w:t>
            </w:r>
          </w:p>
        </w:tc>
        <w:tc>
          <w:tcPr>
            <w:tcW w:w="15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4,930.8</w:t>
            </w:r>
            <w:r>
              <w:rPr>
                <w:color w:val="000000"/>
              </w:rPr>
              <w:t> </w:t>
            </w:r>
          </w:p>
        </w:tc>
        <w:tc>
          <w:tcPr>
            <w:tcW w:w="21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(deficit)</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29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852.7</w:t>
            </w:r>
            <w:r>
              <w:rPr>
                <w:color w:val="000000"/>
              </w:rPr>
              <w:t> </w:t>
            </w:r>
          </w:p>
        </w:tc>
        <w:tc>
          <w:tcPr>
            <w:tcW w:w="15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1,508.7</w:t>
            </w:r>
            <w:r>
              <w:rPr>
                <w:color w:val="000000"/>
              </w:rPr>
              <w:t> </w:t>
            </w:r>
          </w:p>
        </w:tc>
        <w:tc>
          <w:tcPr>
            <w:tcW w:w="2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9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5,668.6</w:t>
            </w:r>
            <w:r>
              <w:rPr>
                <w:color w:val="000000"/>
              </w:rPr>
              <w:t> </w:t>
            </w:r>
          </w:p>
        </w:tc>
        <w:tc>
          <w:tcPr>
            <w:tcW w:w="15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6,439.5</w:t>
            </w:r>
            <w:r>
              <w:rPr>
                <w:color w:val="000000"/>
              </w:rPr>
              <w:t> </w:t>
            </w:r>
          </w:p>
        </w:tc>
        <w:tc>
          <w:tcPr>
            <w:tcW w:w="21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v:textbox>
                <w10:wrap type="none"/>
              </v:rect>
            </w:pict>
          </mc:Fallback>
        </mc:AlternateContent>
      </w:r>
    </w:p>
    <w:tbl>
      <w:tblPr>
        <w:tblW w:w="10068" w:type="dxa"/>
        <w:jc w:val="left"/>
        <w:tblInd w:w="0" w:type="dxa"/>
        <w:tblLayout w:type="fixed"/>
        <w:tblCellMar>
          <w:top w:w="28" w:type="dxa"/>
          <w:left w:w="28" w:type="dxa"/>
          <w:bottom w:w="28" w:type="dxa"/>
          <w:right w:w="28" w:type="dxa"/>
        </w:tblCellMar>
      </w:tblPr>
      <w:tblGrid>
        <w:gridCol w:w="1297"/>
        <w:gridCol w:w="1141"/>
        <w:gridCol w:w="1147"/>
        <w:gridCol w:w="299"/>
        <w:gridCol w:w="874"/>
        <w:gridCol w:w="154"/>
        <w:gridCol w:w="154"/>
        <w:gridCol w:w="154"/>
        <w:gridCol w:w="154"/>
        <w:gridCol w:w="299"/>
        <w:gridCol w:w="874"/>
        <w:gridCol w:w="154"/>
        <w:gridCol w:w="109"/>
        <w:gridCol w:w="109"/>
        <w:gridCol w:w="109"/>
        <w:gridCol w:w="268"/>
        <w:gridCol w:w="974"/>
        <w:gridCol w:w="138"/>
        <w:gridCol w:w="138"/>
        <w:gridCol w:w="138"/>
        <w:gridCol w:w="138"/>
        <w:gridCol w:w="268"/>
        <w:gridCol w:w="783"/>
        <w:gridCol w:w="195"/>
      </w:tblGrid>
      <w:tr>
        <w:tc>
          <w:tcPr>
            <w:tcW w:w="129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c>
          <w:tcPr>
            <w:tcW w:w="10068"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ZoomInfo Technologies Inc.</w:t>
            </w:r>
          </w:p>
        </w:tc>
      </w:tr>
      <w:tr>
        <w:tc>
          <w:tcPr>
            <w:tcW w:w="10068"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Consolidated Statements of Operations </w:t>
            </w:r>
          </w:p>
        </w:tc>
      </w:tr>
      <w:tr>
        <w:tc>
          <w:tcPr>
            <w:tcW w:w="10068"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 unaudited)</w:t>
            </w:r>
          </w:p>
        </w:tc>
      </w:tr>
      <w:t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9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929.4 </w:t>
            </w:r>
          </w:p>
        </w:tc>
        <w:tc>
          <w:tcPr>
            <w:tcW w:w="1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930.4 </w:t>
            </w:r>
          </w:p>
        </w:tc>
        <w:tc>
          <w:tcPr>
            <w:tcW w:w="19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Cost of service</w:t>
            </w:r>
            <w:r>
              <w:rPr>
                <w:rFonts w:ascii="Times New Roman;serif" w:hAnsi="Times New Roman;serif"/>
                <w:b w:val="false"/>
                <w:color w:val="000000"/>
                <w:sz w:val="13"/>
              </w:rPr>
              <w:t>(1)</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9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781.9 </w:t>
            </w:r>
          </w:p>
        </w:tc>
        <w:tc>
          <w:tcPr>
            <w:tcW w:w="19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9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1,313.4 </w:t>
            </w:r>
          </w:p>
        </w:tc>
        <w:tc>
          <w:tcPr>
            <w:tcW w:w="13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9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9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w:t>
            </w:r>
          </w:p>
        </w:tc>
        <w:tc>
          <w:tcPr>
            <w:tcW w:w="1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9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9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w:t>
            </w:r>
          </w:p>
        </w:tc>
        <w:tc>
          <w:tcPr>
            <w:tcW w:w="1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9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9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2.2</w:t>
            </w: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38.7</w:t>
            </w: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(612.2)</w:t>
            </w:r>
          </w:p>
        </w:tc>
        <w:tc>
          <w:tcPr>
            <w:tcW w:w="1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89.5</w:t>
            </w:r>
            <w:r>
              <w:rPr>
                <w:color w:val="000000"/>
              </w:rPr>
              <w:t> </w:t>
            </w:r>
          </w:p>
        </w:tc>
        <w:tc>
          <w:tcPr>
            <w:tcW w:w="19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1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of common stock:</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180"/>
        <w:jc w:val="left"/>
      </w:pPr>
      <w:r>
        <w:rPr>
          <w:rFonts w:ascii="Times New Roman;serif" w:hAnsi="Times New Roman;serif"/>
          <w:b w:val="false"/>
          <w:color w:val="000000"/>
          <w:sz w:val="18"/>
        </w:rPr>
        <w:t>(1)</w:t>
      </w:r>
      <w:r>
        <w:rPr>
          <w:rFonts w:ascii="Times New Roman;serif" w:hAnsi="Times New Roman;serif"/>
          <w:b w:val="false"/>
          <w:color w:val="000000"/>
          <w:sz w:val="18"/>
        </w:rPr>
        <w:t>Amounts include equity-based compensation expense, as follows:</w:t>
      </w:r>
    </w:p>
    <w:tbl>
      <w:tblPr>
        <w:tblW w:w="9124" w:type="dxa"/>
        <w:jc w:val="left"/>
        <w:tblInd w:w="0" w:type="dxa"/>
        <w:tblLayout w:type="fixed"/>
        <w:tblCellMar>
          <w:top w:w="28" w:type="dxa"/>
          <w:left w:w="28" w:type="dxa"/>
          <w:bottom w:w="28" w:type="dxa"/>
          <w:right w:w="28" w:type="dxa"/>
        </w:tblCellMar>
      </w:tblPr>
      <w:tblGrid>
        <w:gridCol w:w="1109"/>
        <w:gridCol w:w="975"/>
        <w:gridCol w:w="976"/>
        <w:gridCol w:w="303"/>
        <w:gridCol w:w="722"/>
        <w:gridCol w:w="168"/>
        <w:gridCol w:w="168"/>
        <w:gridCol w:w="168"/>
        <w:gridCol w:w="168"/>
        <w:gridCol w:w="303"/>
        <w:gridCol w:w="722"/>
        <w:gridCol w:w="168"/>
        <w:gridCol w:w="109"/>
        <w:gridCol w:w="109"/>
        <w:gridCol w:w="109"/>
        <w:gridCol w:w="291"/>
        <w:gridCol w:w="694"/>
        <w:gridCol w:w="162"/>
        <w:gridCol w:w="162"/>
        <w:gridCol w:w="162"/>
        <w:gridCol w:w="162"/>
        <w:gridCol w:w="291"/>
        <w:gridCol w:w="694"/>
        <w:gridCol w:w="229"/>
      </w:tblGrid>
      <w:tr>
        <w:tc>
          <w:tcPr>
            <w:tcW w:w="1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9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30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6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6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2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equity-based compensation expense</w:t>
            </w:r>
          </w:p>
        </w:tc>
        <w:tc>
          <w:tcPr>
            <w:tcW w:w="30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6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6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6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22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78"/>
        <w:gridCol w:w="2148"/>
        <w:gridCol w:w="2162"/>
        <w:gridCol w:w="302"/>
        <w:gridCol w:w="986"/>
        <w:gridCol w:w="154"/>
        <w:gridCol w:w="154"/>
        <w:gridCol w:w="154"/>
        <w:gridCol w:w="154"/>
        <w:gridCol w:w="302"/>
        <w:gridCol w:w="986"/>
        <w:gridCol w:w="225"/>
      </w:tblGrid>
      <w:tr>
        <w:tc>
          <w:tcPr>
            <w:tcW w:w="2478"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ZoomInfo Technologies Inc.</w:t>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 unaudited)</w:t>
            </w:r>
          </w:p>
        </w:tc>
      </w:tr>
      <w:tr>
        <w:tc>
          <w:tcPr>
            <w:tcW w:w="6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6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4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discounts and issuance costs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commissions costs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and lease abandonment charges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remeasurement</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bad debt expense</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disposal of property and equipment</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w:t>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and other assets, net of current portion</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02"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54" w:type="dxa"/>
            <w:tcBorders>
              <w:top w:val="single" w:sz="8" w:space="0" w:color="6D6D6D"/>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225" w:type="dxa"/>
            <w:tcBorders>
              <w:top w:val="single" w:sz="8" w:space="0" w:color="6D6D6D"/>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other assets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initial direct costs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02"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54" w:type="dxa"/>
            <w:tcBorders>
              <w:top w:val="single" w:sz="8" w:space="0" w:color="6D6D6D"/>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225" w:type="dxa"/>
            <w:tcBorders>
              <w:top w:val="single" w:sz="8" w:space="0" w:color="6D6D6D"/>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loans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and modification costs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payments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02"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w:t>
            </w:r>
          </w:p>
        </w:tc>
        <w:tc>
          <w:tcPr>
            <w:tcW w:w="154" w:type="dxa"/>
            <w:tcBorders>
              <w:top w:val="single" w:sz="8" w:space="0" w:color="6D6D6D"/>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w:t>
            </w:r>
          </w:p>
        </w:tc>
        <w:tc>
          <w:tcPr>
            <w:tcW w:w="225" w:type="dxa"/>
            <w:tcBorders>
              <w:top w:val="single" w:sz="8" w:space="0" w:color="6D6D6D"/>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88"/>
        <w:gridCol w:w="2532"/>
        <w:gridCol w:w="2539"/>
        <w:gridCol w:w="211"/>
        <w:gridCol w:w="616"/>
        <w:gridCol w:w="109"/>
        <w:gridCol w:w="109"/>
        <w:gridCol w:w="109"/>
        <w:gridCol w:w="109"/>
        <w:gridCol w:w="211"/>
        <w:gridCol w:w="616"/>
        <w:gridCol w:w="156"/>
      </w:tblGrid>
      <w:tr>
        <w:tc>
          <w:tcPr>
            <w:tcW w:w="2888"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non-cash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in accounts payable and accrued expenses and 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included in capitalized 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53"/>
        <w:gridCol w:w="988"/>
        <w:gridCol w:w="994"/>
        <w:gridCol w:w="309"/>
        <w:gridCol w:w="771"/>
        <w:gridCol w:w="159"/>
        <w:gridCol w:w="159"/>
        <w:gridCol w:w="159"/>
        <w:gridCol w:w="159"/>
        <w:gridCol w:w="309"/>
        <w:gridCol w:w="771"/>
        <w:gridCol w:w="159"/>
        <w:gridCol w:w="159"/>
        <w:gridCol w:w="159"/>
        <w:gridCol w:w="159"/>
        <w:gridCol w:w="309"/>
        <w:gridCol w:w="925"/>
        <w:gridCol w:w="159"/>
        <w:gridCol w:w="159"/>
        <w:gridCol w:w="159"/>
        <w:gridCol w:w="159"/>
        <w:gridCol w:w="309"/>
        <w:gridCol w:w="925"/>
        <w:gridCol w:w="234"/>
      </w:tblGrid>
      <w:tr>
        <w:tc>
          <w:tcPr>
            <w:tcW w:w="145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ZoomInfo Technologies Inc.</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Reconciliation of GAAP Cash Flow from Operations to Non-GAAP Unlevered Free Cash Flow</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 unaudited)</w:t>
            </w:r>
          </w:p>
        </w:tc>
      </w:tr>
      <w:t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 (GAAP)</w:t>
            </w:r>
          </w:p>
        </w:tc>
        <w:tc>
          <w:tcPr>
            <w:tcW w:w="30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47.4</w:t>
            </w:r>
            <w:r>
              <w:rPr>
                <w:color w:val="000000"/>
              </w:rPr>
              <w:t> </w:t>
            </w:r>
          </w:p>
        </w:tc>
        <w:tc>
          <w:tcPr>
            <w:tcW w:w="1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93.8</w:t>
            </w:r>
            <w:r>
              <w:rPr>
                <w:color w:val="000000"/>
              </w:rPr>
              <w:t> </w:t>
            </w:r>
          </w:p>
        </w:tc>
        <w:tc>
          <w:tcPr>
            <w:tcW w:w="1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249.4</w:t>
            </w:r>
            <w:r>
              <w:rPr>
                <w:color w:val="000000"/>
              </w:rPr>
              <w:t> </w:t>
            </w:r>
          </w:p>
        </w:tc>
        <w:tc>
          <w:tcPr>
            <w:tcW w:w="1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321.9</w:t>
            </w:r>
            <w:r>
              <w:rPr>
                <w:color w:val="000000"/>
              </w:rPr>
              <w:t> </w:t>
            </w:r>
          </w:p>
        </w:tc>
        <w:tc>
          <w:tcPr>
            <w:tcW w:w="23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other assets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Restructuring and transaction-related expenses paid in cash</w:t>
            </w:r>
            <w:r>
              <w:rPr>
                <w:rFonts w:ascii="Times New Roman;serif" w:hAnsi="Times New Roman;serif"/>
                <w:b w:val="false"/>
                <w:color w:val="000000"/>
                <w:sz w:val="13"/>
              </w:rPr>
              <w:t>(1)</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5"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Litigation settlement payments</w:t>
            </w:r>
            <w:r>
              <w:rPr>
                <w:rFonts w:ascii="Times New Roman;serif" w:hAnsi="Times New Roman;serif"/>
                <w:b w:val="false"/>
                <w:color w:val="000000"/>
                <w:sz w:val="13"/>
              </w:rPr>
              <w:t>(2)</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Unlevered Free Cash Flow (Non-GAAP)</w:t>
            </w:r>
          </w:p>
        </w:tc>
        <w:tc>
          <w:tcPr>
            <w:tcW w:w="3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87.2</w:t>
            </w:r>
            <w:r>
              <w:rPr>
                <w:color w:val="000000"/>
              </w:rPr>
              <w:t> </w:t>
            </w:r>
          </w:p>
        </w:tc>
        <w:tc>
          <w:tcPr>
            <w:tcW w:w="15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95.3</w:t>
            </w:r>
            <w:r>
              <w:rPr>
                <w:color w:val="000000"/>
              </w:rPr>
              <w:t> </w:t>
            </w:r>
          </w:p>
        </w:tc>
        <w:tc>
          <w:tcPr>
            <w:tcW w:w="15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314.2</w:t>
            </w:r>
            <w:r>
              <w:rPr>
                <w:color w:val="000000"/>
              </w:rPr>
              <w:t> </w:t>
            </w:r>
          </w:p>
        </w:tc>
        <w:tc>
          <w:tcPr>
            <w:tcW w:w="15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319.7</w:t>
            </w:r>
            <w:r>
              <w:rPr>
                <w:color w:val="000000"/>
              </w:rPr>
              <w:t> </w:t>
            </w:r>
          </w:p>
        </w:tc>
        <w:tc>
          <w:tcPr>
            <w:tcW w:w="23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cash payments directly associated with acquisition or disposal activities, including employee severance and termination benefits, contract termination fees and penalties, and other exit or disposal costs. For the three and nine months ended September 30, 2026, these payments related primarily to charges from the 2026 Restructuring Program, and lease restructuring activity.</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cash payments for legal fees associated with legal settlements related to class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3"/>
        <w:gridCol w:w="875"/>
        <w:gridCol w:w="878"/>
        <w:gridCol w:w="365"/>
        <w:gridCol w:w="1094"/>
        <w:gridCol w:w="188"/>
        <w:gridCol w:w="188"/>
        <w:gridCol w:w="188"/>
        <w:gridCol w:w="188"/>
        <w:gridCol w:w="365"/>
        <w:gridCol w:w="1094"/>
        <w:gridCol w:w="188"/>
        <w:gridCol w:w="188"/>
        <w:gridCol w:w="188"/>
        <w:gridCol w:w="188"/>
        <w:gridCol w:w="429"/>
        <w:gridCol w:w="331"/>
        <w:gridCol w:w="332"/>
        <w:gridCol w:w="199"/>
        <w:gridCol w:w="199"/>
        <w:gridCol w:w="199"/>
        <w:gridCol w:w="429"/>
        <w:gridCol w:w="269"/>
        <w:gridCol w:w="380"/>
      </w:tblGrid>
      <w:tr>
        <w:tc>
          <w:tcPr>
            <w:tcW w:w="126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ZoomInfo Technologies Inc.</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Reconciliation from GAAP Income from Operations to Non-GAAP Adjusted Operating Income</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 unaudited)</w:t>
            </w:r>
          </w:p>
        </w:tc>
      </w:tr>
      <w:t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 (GAAP)</w:t>
            </w:r>
          </w:p>
        </w:tc>
        <w:tc>
          <w:tcPr>
            <w:tcW w:w="36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23.6</w:t>
            </w:r>
            <w:r>
              <w:rPr>
                <w:color w:val="000000"/>
              </w:rPr>
              <w:t> </w:t>
            </w:r>
          </w:p>
        </w:tc>
        <w:tc>
          <w:tcPr>
            <w:tcW w:w="18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67.5</w:t>
            </w:r>
            <w:r>
              <w:rPr>
                <w:color w:val="000000"/>
              </w:rPr>
              <w:t> </w:t>
            </w:r>
          </w:p>
        </w:tc>
        <w:tc>
          <w:tcPr>
            <w:tcW w:w="18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(540.5)</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171.5</w:t>
            </w:r>
          </w:p>
        </w:tc>
      </w:tr>
      <w:tr>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r>
      <w:tr>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r>
      <w:tr>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r>
      <w:tr>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Restructuring and transaction-related expenses</w:t>
            </w:r>
            <w:r>
              <w:rPr>
                <w:rFonts w:ascii="Times New Roman;serif" w:hAnsi="Times New Roman;serif"/>
                <w:b w:val="false"/>
                <w:color w:val="000000"/>
                <w:sz w:val="13"/>
              </w:rPr>
              <w:t>(1)</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r>
      <w:tr>
        <w:tc>
          <w:tcPr>
            <w:tcW w:w="3016"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c>
          <w:tcPr>
            <w:tcW w:w="30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Litigation settlement</w:t>
            </w:r>
            <w:r>
              <w:rPr>
                <w:rFonts w:ascii="Times New Roman;serif" w:hAnsi="Times New Roman;serif"/>
                <w:b w:val="false"/>
                <w:color w:val="000000"/>
                <w:sz w:val="13"/>
              </w:rPr>
              <w:t>(2)</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Income (Non-GAAP)</w:t>
            </w:r>
          </w:p>
        </w:tc>
        <w:tc>
          <w:tcPr>
            <w:tcW w:w="36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119.1</w:t>
            </w:r>
            <w:r>
              <w:rPr>
                <w:color w:val="000000"/>
              </w:rPr>
              <w:t> </w:t>
            </w:r>
          </w:p>
        </w:tc>
        <w:tc>
          <w:tcPr>
            <w:tcW w:w="18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117.7</w:t>
            </w:r>
            <w:r>
              <w:rPr>
                <w:color w:val="000000"/>
              </w:rPr>
              <w:t> </w:t>
            </w:r>
          </w:p>
        </w:tc>
        <w:tc>
          <w:tcPr>
            <w:tcW w:w="18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338.8</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323.3</w:t>
            </w:r>
          </w:p>
        </w:tc>
      </w:tr>
      <w:tr>
        <w:tc>
          <w:tcPr>
            <w:tcW w:w="3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929.4</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930.4</w:t>
            </w:r>
          </w:p>
        </w:tc>
      </w:tr>
    </w:tbl>
    <w:tbl>
      <w:tblPr>
        <w:tblW w:w="7799" w:type="dxa"/>
        <w:jc w:val="left"/>
        <w:tblInd w:w="0" w:type="dxa"/>
        <w:tblLayout w:type="fixed"/>
        <w:tblCellMar>
          <w:top w:w="28" w:type="dxa"/>
          <w:left w:w="28" w:type="dxa"/>
          <w:bottom w:w="28" w:type="dxa"/>
          <w:right w:w="28" w:type="dxa"/>
        </w:tblCellMar>
      </w:tblPr>
      <w:tblGrid>
        <w:gridCol w:w="1509"/>
        <w:gridCol w:w="1327"/>
        <w:gridCol w:w="1334"/>
        <w:gridCol w:w="180"/>
        <w:gridCol w:w="181"/>
        <w:gridCol w:w="271"/>
        <w:gridCol w:w="109"/>
        <w:gridCol w:w="109"/>
        <w:gridCol w:w="109"/>
        <w:gridCol w:w="180"/>
        <w:gridCol w:w="181"/>
        <w:gridCol w:w="271"/>
        <w:gridCol w:w="109"/>
        <w:gridCol w:w="109"/>
        <w:gridCol w:w="109"/>
        <w:gridCol w:w="218"/>
        <w:gridCol w:w="218"/>
        <w:gridCol w:w="271"/>
        <w:gridCol w:w="109"/>
        <w:gridCol w:w="109"/>
        <w:gridCol w:w="109"/>
        <w:gridCol w:w="180"/>
        <w:gridCol w:w="181"/>
        <w:gridCol w:w="316"/>
      </w:tblGrid>
      <w:tr>
        <w:tc>
          <w:tcPr>
            <w:tcW w:w="15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Operating Income (Loss) Margin (GAAP)</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Adjusted Operating Income Margin (Non-GAAP)</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costs directly associated with acquisition or disposal activities, including employee severance and termination benefits, contract termination fees and penalties, and other exit or disposal costs. For the three and nine months ended September 30, 2026, this expense is primarily related to the 2026 Restructuring Program as well as lease restructuring activities, which for the nine months ended September 30, 2026 also included right-of-use asset and the related leasehold improvements impairment charges. Restructuring and transaction-related expenses related to the 2026 Restructuring Program include employee severance and termination benefits and other associated costs, as well as transition-related costs. For the three and nine months ended September 30, 2025, this expense is primarily related to employee severance and termination benefits and lease restructuring activities.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charges associated with legal settlements and associated legal fees related to class actions. The 2026 periods primarily include related charges from the proposed settlement of the 2024 Securities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60"/>
        <w:gridCol w:w="1303"/>
        <w:gridCol w:w="1250"/>
        <w:gridCol w:w="262"/>
        <w:gridCol w:w="655"/>
        <w:gridCol w:w="135"/>
        <w:gridCol w:w="135"/>
        <w:gridCol w:w="135"/>
        <w:gridCol w:w="135"/>
        <w:gridCol w:w="262"/>
        <w:gridCol w:w="655"/>
        <w:gridCol w:w="135"/>
        <w:gridCol w:w="135"/>
        <w:gridCol w:w="135"/>
        <w:gridCol w:w="135"/>
        <w:gridCol w:w="262"/>
        <w:gridCol w:w="826"/>
        <w:gridCol w:w="135"/>
        <w:gridCol w:w="135"/>
        <w:gridCol w:w="135"/>
        <w:gridCol w:w="135"/>
        <w:gridCol w:w="262"/>
        <w:gridCol w:w="786"/>
        <w:gridCol w:w="202"/>
      </w:tblGrid>
      <w:tr>
        <w:tc>
          <w:tcPr>
            <w:tcW w:w="186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ZoomInfo Technologies Inc.</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Reconciliation of GAAP Net Income (Loss) to Non-GAAP Adjusted Net Income</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 share amounts; unaudited)</w:t>
            </w:r>
          </w:p>
        </w:tc>
      </w:tr>
      <w:tr>
        <w:tc>
          <w:tcPr>
            <w:tcW w:w="4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(GAAP)</w:t>
            </w:r>
          </w:p>
        </w:tc>
        <w:tc>
          <w:tcPr>
            <w:tcW w:w="2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2.2</w:t>
            </w:r>
            <w:r>
              <w:rPr>
                <w:color w:val="000000"/>
              </w:rPr>
              <w:t> </w:t>
            </w:r>
          </w:p>
        </w:tc>
        <w:tc>
          <w:tcPr>
            <w:tcW w:w="13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38.7</w:t>
            </w:r>
            <w:r>
              <w:rPr>
                <w:color w:val="000000"/>
              </w:rPr>
              <w:t> </w:t>
            </w:r>
          </w:p>
        </w:tc>
        <w:tc>
          <w:tcPr>
            <w:tcW w:w="13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(612.2)</w:t>
            </w:r>
          </w:p>
        </w:tc>
        <w:tc>
          <w:tcPr>
            <w:tcW w:w="13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89.5</w:t>
            </w:r>
            <w:r>
              <w:rPr>
                <w:color w:val="000000"/>
              </w:rPr>
              <w:t> </w:t>
            </w:r>
          </w:p>
        </w:tc>
        <w:tc>
          <w:tcPr>
            <w:tcW w:w="20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Restructuring and transaction-related expenses</w:t>
            </w:r>
            <w:r>
              <w:rPr>
                <w:rFonts w:ascii="Times New Roman;serif" w:hAnsi="Times New Roman;serif"/>
                <w:b w:val="false"/>
                <w:color w:val="000000"/>
                <w:sz w:val="13"/>
              </w:rPr>
              <w:t>(1)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Litigation settlement</w:t>
            </w:r>
            <w:r>
              <w:rPr>
                <w:rFonts w:ascii="Times New Roman;serif" w:hAnsi="Times New Roman;serif"/>
                <w:b w:val="false"/>
                <w:color w:val="000000"/>
                <w:sz w:val="13"/>
              </w:rPr>
              <w:t>(2)</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 liability remeasurement (gain) loss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(income) loss associated with restructuring and transaction-related expenses</w:t>
            </w:r>
            <w:r>
              <w:rPr>
                <w:rFonts w:ascii="Times New Roman;serif" w:hAnsi="Times New Roman;serif"/>
                <w:b w:val="false"/>
                <w:color w:val="000000"/>
                <w:sz w:val="13"/>
              </w:rPr>
              <w:t>(3)</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Tax impacts of adjustments to net income or loss</w:t>
            </w:r>
            <w:r>
              <w:rPr>
                <w:rFonts w:ascii="Times New Roman;serif" w:hAnsi="Times New Roman;serif"/>
                <w:b w:val="false"/>
                <w:color w:val="000000"/>
                <w:sz w:val="13"/>
              </w:rPr>
              <w:t>(4)</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(Non-GAAP)</w:t>
            </w:r>
          </w:p>
        </w:tc>
        <w:tc>
          <w:tcPr>
            <w:tcW w:w="26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91.1</w:t>
            </w:r>
            <w:r>
              <w:rPr>
                <w:color w:val="000000"/>
              </w:rPr>
              <w:t> </w:t>
            </w:r>
          </w:p>
        </w:tc>
        <w:tc>
          <w:tcPr>
            <w:tcW w:w="13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95.0</w:t>
            </w:r>
            <w:r>
              <w:rPr>
                <w:color w:val="000000"/>
              </w:rPr>
              <w:t> </w:t>
            </w:r>
          </w:p>
        </w:tc>
        <w:tc>
          <w:tcPr>
            <w:tcW w:w="13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265.7</w:t>
            </w:r>
            <w:r>
              <w:rPr>
                <w:color w:val="000000"/>
              </w:rPr>
              <w:t> </w:t>
            </w:r>
          </w:p>
        </w:tc>
        <w:tc>
          <w:tcPr>
            <w:tcW w:w="13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263.0</w:t>
            </w:r>
            <w:r>
              <w:rPr>
                <w:color w:val="000000"/>
              </w:rPr>
              <w:t> </w:t>
            </w:r>
          </w:p>
        </w:tc>
        <w:tc>
          <w:tcPr>
            <w:tcW w:w="20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 (GAAP)</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0.01</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0.12</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0.27</w:t>
            </w: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 per diluted share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 per diluted share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 per diluted share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per diluted share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 per diluted share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transaction-related expenses per diluted share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 per diluted share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 liability remeasurement (gain) loss per diluted share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associated with restructuring and transaction-related expenses per diluted share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impacts of adjustments to net income or loss per diluted share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Adjusted Net Income Per Share (Non-GAAP)</w:t>
            </w:r>
            <w:r>
              <w:rPr>
                <w:rFonts w:ascii="Times New Roman;serif" w:hAnsi="Times New Roman;serif"/>
                <w:b/>
                <w:color w:val="000000"/>
                <w:sz w:val="13"/>
              </w:rPr>
              <w:t>(5)</w:t>
            </w:r>
          </w:p>
        </w:tc>
        <w:tc>
          <w:tcPr>
            <w:tcW w:w="2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0.29</w:t>
            </w:r>
            <w:r>
              <w:rPr>
                <w:color w:val="000000"/>
              </w:rPr>
              <w:t> </w:t>
            </w:r>
          </w:p>
        </w:tc>
        <w:tc>
          <w:tcPr>
            <w:tcW w:w="13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0.28</w:t>
            </w:r>
            <w:r>
              <w:rPr>
                <w:color w:val="000000"/>
              </w:rPr>
              <w:t> </w:t>
            </w:r>
          </w:p>
        </w:tc>
        <w:tc>
          <w:tcPr>
            <w:tcW w:w="13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0.84</w:t>
            </w:r>
            <w:r>
              <w:rPr>
                <w:color w:val="000000"/>
              </w:rPr>
              <w:t> </w:t>
            </w:r>
          </w:p>
        </w:tc>
        <w:tc>
          <w:tcPr>
            <w:tcW w:w="13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0.76</w:t>
            </w:r>
            <w:r>
              <w:rPr>
                <w:color w:val="000000"/>
              </w:rPr>
              <w:t> </w:t>
            </w:r>
          </w:p>
        </w:tc>
        <w:tc>
          <w:tcPr>
            <w:tcW w:w="20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Shares for Adjusted Net Income Per Share</w:t>
            </w:r>
            <w:r>
              <w:rPr>
                <w:rFonts w:ascii="Times New Roman;serif" w:hAnsi="Times New Roman;serif"/>
                <w:b w:val="false"/>
                <w:color w:val="000000"/>
                <w:sz w:val="13"/>
              </w:rPr>
              <w:t>(6)</w:t>
            </w:r>
          </w:p>
        </w:tc>
        <w:tc>
          <w:tcPr>
            <w:tcW w:w="9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3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3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3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20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before="0" w:after="0"/>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costs directly associated with acquisition or disposal activities, including employee severance and termination benefits, contract termination fees and penalties, and other exit or disposal costs. For the three and nine months ended September 30, 2026, this expense is primarily related to the 2026 Restructuring Program as well as lease restructuring activities, which for the nine months ended September 30, 2026 also included right-of-use asset and the related leasehold improvements impairment charges. Restructuring and transaction-related expenses related to the 2026 Restructuring Program include employee severance and termination benefits and other associated costs, as well as transition-related costs. For the three and nine months ended September 30, 2025, this expense is primarily related to employee severance and termination benefits and lease restructuring activities.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charges associated with legal settlements and associated legal fees related to class actions. The 2026 periods primarily include related charges from the proposed settlement of the 2024 Securities Litigation.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(3)Represents the non-operating cost components associated with the Company’s restructuring and transaction-related activities. For the three and nine months ended September 30, 2026, this expense relates to foreign exchange remeasurement gains and losses for the Israel entity due to the 2026 Restructuring Program.</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(4)Represents tax expense associated with Net income (loss) (GAAP) excluded from Adjusted Net Income (Non-GAAP). The Company calculates the tax impacts of adjustments to net income (loss) by multiplying the total gross value of the adjustments, excluding the non-deductible goodwill impairment, by the Company’s U.S. federal and state statutory tax rate. We then recalculate the tax impact of book-tax differences related to equity compensation, the tax receivable agreements, and restructuring and transaction-related expenses. For the three and nine months ended September 30, 2026, the tax impacts of adjustments to net income (loss) between GAAP and Non-GAAP are presented based on the specific rate reconciliation categories established under ASU 2023-09. For the three months ended September 30, 2026, these primarily relate to recognizing $14.5 million of tax benefit related to the amortization of costs associated with corporate structure simplification and adjusting out $3.1 million of tax expense from non-deductible stock-based compensation. For the three months ended September 30, 2025, these primarily relate to recognizing $15.8 million of tax benefit related to the amortization of costs associated with corporate structure simplification, adjusting out $0.1 million of tax expense from the effects of changes in state tax law and apportionment, and adjusting out $2.8 million of tax expense from non-deductible stock-based compensation. For the nine months ended September 30, 2026, these primarily relate to recognizing $45.1 million of tax benefit related to the amortization of costs associated with corporate structure simplification, adjusting out $10.1 million of tax expense from foreign tax effects, and adjusting out $8.3 million of tax expense from non-deductible stock-based compensation. For the nine months ended September 30, 2025, these primarily relate to recognizing $44.6 million of tax benefit related to the amortization of costs associated with corporate structure simplification, adjusting out $13.5 million of tax expense from the effects of changes in state tax law and apportionment, and adjusting out $9.8 million of tax expense from non-deductible stock-based compensation. We believe the exclusion of these adjustments provides investors with useful information about the Company’s underlying results and trends, allowing them to better understand and compare net income (loss) related to ongoing operations and the related current and deferred income tax expense.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(5)The reconciling items presented on a per share basis are calculated using the shares used for Adjusted Net Income Per Share.</w:t>
      </w:r>
    </w:p>
    <w:p>
      <w:pPr>
        <w:pStyle w:val="TextBody"/>
        <w:bidi w:val="0"/>
        <w:spacing w:lineRule="auto" w:line="288"/>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(6)Diluted earnings per share is computed by giving effect to all potential weighted average Common Stock, and any securities that are convertible into Common Stock, including options and restricted stock units. The dilutive effect of outstanding awards and convertible securities is reflected in diluted earnings per share by application of the treasury stock method, excluding deemed repurchases assuming proceeds from unrecognized compensation as required by GAAP. </w:t>
      </w:r>
    </w:p>
    <w:p>
      <w:pPr>
        <w:pStyle w:val="TextBody"/>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5106</Words>
  <Characters>29596</Characters>
  <CharactersWithSpaces>34160</CharactersWithSpaces>
  <Paragraphs>949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