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333-250905</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(to Prospectus dated November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150495</wp:posOffset>
            </wp:positionV>
            <wp:extent cx="205740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ZoomInfo Technologies Inc.</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Class A Common Stock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Issuable Upon Exchange or Settlement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Outstanding Equity Interests From Time to Time</w:t>
      </w:r>
    </w:p>
    <w:p>
      <w:pPr>
        <w:spacing w:after="0" w:line="4" w:lineRule="exact"/>
        <w:rPr>
          <w:sz w:val="24"/>
          <w:szCs w:val="24"/>
          <w:color w:val="auto"/>
        </w:rPr>
      </w:pPr>
    </w:p>
    <w:p>
      <w:pPr>
        <w:ind w:left="3460"/>
        <w:spacing w:after="0"/>
        <w:rPr>
          <w:sz w:val="20"/>
          <w:szCs w:val="20"/>
          <w:color w:val="auto"/>
        </w:rPr>
      </w:pPr>
      <w:r>
        <w:rPr>
          <w:rFonts w:ascii="Arial" w:cs="Arial" w:eastAsia="Arial" w:hAnsi="Arial"/>
          <w:sz w:val="22"/>
          <w:szCs w:val="22"/>
          <w:color w:val="auto"/>
        </w:rPr>
        <w:t>________________________________________</w:t>
      </w:r>
    </w:p>
    <w:p>
      <w:pPr>
        <w:spacing w:after="0" w:line="256" w:lineRule="exact"/>
        <w:rPr>
          <w:sz w:val="24"/>
          <w:szCs w:val="24"/>
          <w:color w:val="auto"/>
        </w:rPr>
      </w:pPr>
    </w:p>
    <w:p>
      <w:pPr>
        <w:jc w:val="both"/>
        <w:ind w:firstLine="648"/>
        <w:spacing w:after="0"/>
        <w:rPr>
          <w:sz w:val="20"/>
          <w:szCs w:val="20"/>
          <w:color w:val="auto"/>
        </w:rPr>
      </w:pPr>
      <w:r>
        <w:rPr>
          <w:rFonts w:ascii="Arial" w:cs="Arial" w:eastAsia="Arial" w:hAnsi="Arial"/>
          <w:sz w:val="19"/>
          <w:szCs w:val="19"/>
          <w:color w:val="auto"/>
        </w:rPr>
        <w:t>This Prospectus Supplement No. 6, dated March 16, 2021 (this “Supplement”), is being filed to update, modify, amend and supplement the information previously included in our prospectus, dated November 27, 2020 (the “Prospectus”), with the information contained in the sections titled “Proposal No. 1―Election of Directors―Nominees for Election to the Board of Directors in 2021,” “Proposal No. 1―Election of Directors―Continuing Members of the Board of Directors,” “The Board of Directors and Certain Governance Matters—Director Independence and Independence Determinations,” “The Board of Directors and Certain Governance Matters—Controlled Company Exception,” “The Board of Directors and Certain Governance Matters— Board Committees and Meetings,” “The Board of Directors and Certain Governance Matters—Executive Officers of the Company,” “Proposal No. 2—Ratification of Independent Registered Public Accounting Firm—Audit and Non-Audit Fees,” “Proposal No. 2—Ratification of Independent Registered Public Accounting Firm—Pre-Approval Policy for Services of Independent Registered Public Accounting Firm,” “Executive and Director Compensation,” “Compensation Committee Interlocks and Insider Participation,” “Equity Compensation Plan Information,” “Ownership of Securities,” “Delinquent Section 16(a) Reports,” and “Transactions with Related Persons” in the Definitive Proxy Statement on Schedule 14A filed with the Securities and Exchange Commission (the “SEC”) by ZoomInfo Technologies Inc. (the “Company”) on March 16, 2021 (the “Statement”). Any document, exhibit or information contained in the Statement that has been deemed furnished and not filed in accordance with SEC rules shall not be included in this Supplement. We have attached the Statement to this Supplement. This Supplement is not complete without, and may not be delivered or used except in connection with, the Prospectus, including all amendments and supplements thereto.</w:t>
      </w:r>
    </w:p>
    <w:p>
      <w:pPr>
        <w:spacing w:after="0" w:line="136" w:lineRule="exact"/>
        <w:rPr>
          <w:sz w:val="24"/>
          <w:szCs w:val="24"/>
          <w:color w:val="auto"/>
        </w:rPr>
      </w:pPr>
    </w:p>
    <w:p>
      <w:pPr>
        <w:ind w:left="3460"/>
        <w:spacing w:after="0"/>
        <w:rPr>
          <w:sz w:val="20"/>
          <w:szCs w:val="20"/>
          <w:color w:val="auto"/>
        </w:rPr>
      </w:pPr>
      <w:r>
        <w:rPr>
          <w:rFonts w:ascii="Arial" w:cs="Arial" w:eastAsia="Arial" w:hAnsi="Arial"/>
          <w:sz w:val="22"/>
          <w:szCs w:val="22"/>
          <w:color w:val="auto"/>
        </w:rPr>
        <w:t>________________________________________</w:t>
      </w:r>
    </w:p>
    <w:p>
      <w:pPr>
        <w:spacing w:after="0" w:line="331" w:lineRule="exact"/>
        <w:rPr>
          <w:sz w:val="24"/>
          <w:szCs w:val="24"/>
          <w:color w:val="auto"/>
        </w:rPr>
      </w:pPr>
    </w:p>
    <w:p>
      <w:pPr>
        <w:jc w:val="both"/>
        <w:spacing w:after="0" w:line="236" w:lineRule="auto"/>
        <w:rPr>
          <w:sz w:val="20"/>
          <w:szCs w:val="20"/>
          <w:color w:val="auto"/>
        </w:rPr>
      </w:pPr>
      <w:r>
        <w:rPr>
          <w:rFonts w:ascii="Arial" w:cs="Arial" w:eastAsia="Arial" w:hAnsi="Arial"/>
          <w:sz w:val="18"/>
          <w:szCs w:val="18"/>
          <w:b w:val="1"/>
          <w:bCs w:val="1"/>
          <w:color w:val="auto"/>
        </w:rPr>
        <w:t>Investing in shares of our Class A common stock involves risks. See “Risk Factors” beginning on 29 of the Prospectus dated November 27, 2020, as well as the section entitled “Risk Factors” included in the Annual Report on Form 10-K attached to the Prospectus Supplement No. 5, dated February 26, 2021.</w:t>
      </w:r>
    </w:p>
    <w:p>
      <w:pPr>
        <w:spacing w:after="0" w:line="136"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16, 2021.</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0"/>
          <w:szCs w:val="20"/>
          <w:color w:val="auto"/>
        </w:rPr>
      </w:pPr>
    </w:p>
    <w:p>
      <w:pPr>
        <w:ind w:left="4580"/>
        <w:spacing w:after="0"/>
        <w:tabs>
          <w:tab w:leader="none" w:pos="658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6060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0"/>
          <w:szCs w:val="20"/>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40"/>
          <w:szCs w:val="40"/>
          <w:b w:val="1"/>
          <w:bCs w:val="1"/>
          <w:color w:val="auto"/>
        </w:rPr>
        <w:t>ZOOMINFO TECHNOLOGIES INC.</w:t>
      </w:r>
    </w:p>
    <w:p>
      <w:pPr>
        <w:spacing w:after="0" w:line="4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ectPr>
          <w:pgSz w:w="11900" w:h="16838" w:orient="portrait"/>
          <w:cols w:equalWidth="0" w:num="1">
            <w:col w:w="10139"/>
          </w:cols>
          <w:pgMar w:left="320" w:top="814" w:right="1440" w:bottom="1440" w:gutter="0" w:footer="0" w:header="0"/>
        </w:sectPr>
      </w:pPr>
    </w:p>
    <w:bookmarkStart w:id="2" w:name="page3"/>
    <w:bookmarkEnd w:id="2"/>
    <w:p>
      <w:pPr>
        <w:ind w:left="494" w:hanging="494"/>
        <w:spacing w:after="0"/>
        <w:tabs>
          <w:tab w:leader="none" w:pos="49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0"/>
          <w:szCs w:val="20"/>
          <w:color w:val="auto"/>
        </w:rPr>
      </w:pPr>
    </w:p>
    <w:p>
      <w:pPr>
        <w:ind w:left="494" w:hanging="494"/>
        <w:spacing w:after="0"/>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right="879" w:hanging="508"/>
        <w:spacing w:after="0" w:line="277" w:lineRule="auto"/>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94" w:hanging="494"/>
        <w:spacing w:after="0"/>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94" w:right="619" w:hanging="494"/>
        <w:spacing w:after="0" w:line="224" w:lineRule="auto"/>
        <w:tabs>
          <w:tab w:leader="none" w:pos="49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MS PGothic" w:cs="MS PGothic" w:eastAsia="MS PGothic" w:hAnsi="MS PGothic"/>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94" w:hanging="508"/>
        <w:spacing w:after="0"/>
        <w:tabs>
          <w:tab w:leader="none" w:pos="994"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113"/>
          </w:cols>
          <w:pgMar w:left="346" w:top="166"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1186180</wp:posOffset>
            </wp:positionV>
            <wp:extent cx="2143125" cy="779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Please join us for ZoomInfo Technologies Inc.’s Annual Meeting of Stockholders on Tuesday, April 27, 2021, at 10:00 a.m., Pacific Time. Due to the public health impact of the coronavirus outbreak (COVID-19) and to support the health and well-being of our stockholders and employees, the Annual Meeting will be held in a virtual meeting format only and will be conducted via live audio webcast. You will be able to attend the Annual Meeting online, vote your shares electronically and submit your questions during the Annual Meeting via a live audio webcast by visiting www.virtualshareholdermeeting.com/ZI2021.</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Attached to this letter are a Notice of Annual Meeting of Stockholders and Proxy Statement, which describe the business to be conducted at the meeting. This Proxy Statement and the enclosed proxy card and annual report are first being sent to stockholders on or about March 16, 2021. We urge you to read the accompanying materials regarding the matters to be voted on at the meeting and to submit your voting instructions by proxy.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you plan to attend the meeting, your vote is important to us. You may vote your shares by proxy on the Internet, by telephone or by completing, signing and promptly returning a proxy card, or you may vote via the Internet at the Annual Meeting. We encourage you to vote by Internet, by telephone or by proxy card in advance even if you plan to attend the Annual Meeting. By doing so, you will ensure that your shares are represented and voted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ZoomInfo Technologies Inc.</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23495</wp:posOffset>
            </wp:positionV>
            <wp:extent cx="1174115" cy="41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41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Henry Schuck</w:t>
      </w:r>
    </w:p>
    <w:p>
      <w:pPr>
        <w:spacing w:after="0" w:line="48"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 and</w:t>
      </w:r>
    </w:p>
    <w:p>
      <w:pPr>
        <w:ind w:left="564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10:00 a.m., Pacific Time, on Tuesday, April 27, 2021</w:t>
      </w:r>
    </w:p>
    <w:p>
      <w:pPr>
        <w:spacing w:after="0" w:line="293" w:lineRule="exact"/>
        <w:rPr>
          <w:sz w:val="20"/>
          <w:szCs w:val="20"/>
          <w:color w:val="auto"/>
        </w:rPr>
      </w:pPr>
    </w:p>
    <w:p>
      <w:pPr>
        <w:jc w:val="both"/>
        <w:ind w:left="2480" w:right="60" w:hanging="1870"/>
        <w:spacing w:after="0" w:line="220" w:lineRule="auto"/>
        <w:rPr>
          <w:sz w:val="20"/>
          <w:szCs w:val="20"/>
          <w:color w:val="auto"/>
        </w:rPr>
      </w:pPr>
      <w:r>
        <w:rPr>
          <w:rFonts w:ascii="Arial" w:cs="Arial" w:eastAsia="Arial" w:hAnsi="Arial"/>
          <w:sz w:val="18"/>
          <w:szCs w:val="18"/>
          <w:b w:val="1"/>
          <w:bCs w:val="1"/>
          <w:color w:val="auto"/>
        </w:rPr>
        <w:t xml:space="preserve">VIRTUAL LOCATION </w:t>
      </w:r>
      <w:r>
        <w:rPr>
          <w:rFonts w:ascii="Arial" w:cs="Arial" w:eastAsia="Arial" w:hAnsi="Arial"/>
          <w:sz w:val="18"/>
          <w:szCs w:val="18"/>
          <w:color w:val="auto"/>
        </w:rPr>
        <w:t>You can attend the Annual Meeting online, vote your shares electronically and submit your questions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by visiting www.virtualshareholdermeeting.com/ZI2021. You will need to have your 16-Digit Control Number included on your proxy card or the instructions that accompanied your proxy materials in order to join the Annual Meeting.</w:t>
      </w:r>
    </w:p>
    <w:p>
      <w:pPr>
        <w:spacing w:after="0" w:line="267" w:lineRule="exact"/>
        <w:rPr>
          <w:sz w:val="20"/>
          <w:szCs w:val="20"/>
          <w:color w:val="auto"/>
        </w:rPr>
      </w:pPr>
    </w:p>
    <w:p>
      <w:pPr>
        <w:ind w:left="660"/>
        <w:spacing w:after="0"/>
        <w:tabs>
          <w:tab w:leader="none" w:pos="2820" w:val="left"/>
        </w:tabs>
        <w:rPr>
          <w:sz w:val="20"/>
          <w:szCs w:val="20"/>
          <w:color w:val="auto"/>
        </w:rPr>
      </w:pPr>
      <w:r>
        <w:rPr>
          <w:rFonts w:ascii="Arial" w:cs="Arial" w:eastAsia="Arial" w:hAnsi="Arial"/>
          <w:sz w:val="18"/>
          <w:szCs w:val="18"/>
          <w:b w:val="1"/>
          <w:bCs w:val="1"/>
          <w:color w:val="auto"/>
        </w:rPr>
        <w:t xml:space="preserve">ITEMS OF BUSINESS </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To elect the director nominees listed in the Proxy Statement.</w:t>
      </w:r>
    </w:p>
    <w:p>
      <w:pPr>
        <w:spacing w:after="0" w:line="297" w:lineRule="exact"/>
        <w:rPr>
          <w:sz w:val="20"/>
          <w:szCs w:val="20"/>
          <w:color w:val="auto"/>
        </w:rPr>
      </w:pPr>
    </w:p>
    <w:p>
      <w:pPr>
        <w:ind w:left="2840" w:hanging="355"/>
        <w:spacing w:after="0"/>
        <w:tabs>
          <w:tab w:leader="none" w:pos="2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2021.</w:t>
      </w:r>
    </w:p>
    <w:p>
      <w:pPr>
        <w:spacing w:after="0" w:line="304" w:lineRule="exact"/>
        <w:rPr>
          <w:rFonts w:ascii="Arial" w:cs="Arial" w:eastAsia="Arial" w:hAnsi="Arial"/>
          <w:sz w:val="17"/>
          <w:szCs w:val="17"/>
          <w:color w:val="auto"/>
        </w:rPr>
      </w:pPr>
    </w:p>
    <w:p>
      <w:pPr>
        <w:ind w:left="2480" w:right="340" w:firstLine="5"/>
        <w:spacing w:after="0" w:line="235" w:lineRule="auto"/>
        <w:tabs>
          <w:tab w:leader="none" w:pos="282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and any adjournments or postponements thereof.</w:t>
      </w:r>
    </w:p>
    <w:p>
      <w:pPr>
        <w:spacing w:after="0" w:line="26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RECORD DATE </w:t>
      </w:r>
      <w:r>
        <w:rPr>
          <w:rFonts w:ascii="Arial" w:cs="Arial" w:eastAsia="Arial" w:hAnsi="Arial"/>
          <w:sz w:val="16"/>
          <w:szCs w:val="16"/>
          <w:color w:val="auto"/>
        </w:rPr>
        <w:t>You may vote at the Annual Meeting if you were a stockholder of record at the close of business on March 5, 2021.</w:t>
      </w:r>
    </w:p>
    <w:p>
      <w:pPr>
        <w:spacing w:after="0" w:line="316" w:lineRule="exact"/>
        <w:rPr>
          <w:sz w:val="20"/>
          <w:szCs w:val="20"/>
          <w:color w:val="auto"/>
        </w:rPr>
      </w:pPr>
    </w:p>
    <w:p>
      <w:pPr>
        <w:ind w:left="2480" w:right="80" w:hanging="1741"/>
        <w:spacing w:after="0" w:line="294" w:lineRule="auto"/>
        <w:rPr>
          <w:sz w:val="20"/>
          <w:szCs w:val="20"/>
          <w:color w:val="auto"/>
        </w:rPr>
      </w:pPr>
      <w:r>
        <w:rPr>
          <w:rFonts w:ascii="Arial" w:cs="Arial" w:eastAsia="Arial" w:hAnsi="Arial"/>
          <w:sz w:val="16"/>
          <w:szCs w:val="16"/>
          <w:b w:val="1"/>
          <w:bCs w:val="1"/>
          <w:color w:val="auto"/>
        </w:rPr>
        <w:t xml:space="preserve">VOTING BY PROXY </w:t>
      </w:r>
      <w:r>
        <w:rPr>
          <w:rFonts w:ascii="Arial" w:cs="Arial" w:eastAsia="Arial" w:hAnsi="Arial"/>
          <w:sz w:val="16"/>
          <w:szCs w:val="16"/>
          <w:color w:val="auto"/>
        </w:rPr>
        <w:t>To ensure your shares are voted, you may vote your shares over the Internet, by telephone or by completing, signing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mailing the enclosed proxy card. Voting procedures are described on the following page and on the proxy card.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3615055</wp:posOffset>
            </wp:positionH>
            <wp:positionV relativeFrom="paragraph">
              <wp:posOffset>14605</wp:posOffset>
            </wp:positionV>
            <wp:extent cx="1594485"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Stark</w:t>
      </w:r>
    </w:p>
    <w:p>
      <w:pPr>
        <w:spacing w:after="0" w:line="7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Secretary and General Counsel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March 16, 2021</w:t>
      </w:r>
    </w:p>
    <w:p>
      <w:pPr>
        <w:spacing w:after="0" w:line="332" w:lineRule="exact"/>
        <w:rPr>
          <w:sz w:val="20"/>
          <w:szCs w:val="20"/>
          <w:color w:val="auto"/>
        </w:rPr>
      </w:pPr>
    </w:p>
    <w:p>
      <w:pPr>
        <w:jc w:val="center"/>
        <w:spacing w:after="0" w:line="311" w:lineRule="auto"/>
        <w:rPr>
          <w:sz w:val="20"/>
          <w:szCs w:val="20"/>
          <w:color w:val="auto"/>
        </w:rPr>
      </w:pPr>
      <w:r>
        <w:rPr>
          <w:rFonts w:ascii="Arial" w:cs="Arial" w:eastAsia="Arial" w:hAnsi="Arial"/>
          <w:sz w:val="16"/>
          <w:szCs w:val="16"/>
          <w:b w:val="1"/>
          <w:bCs w:val="1"/>
          <w:i w:val="1"/>
          <w:iCs w:val="1"/>
          <w:color w:val="auto"/>
        </w:rPr>
        <w:t>Important Notice Regarding the Availability of Proxy Materials for the Stockholder Meeting to Be Held on Tuesday, April 27, 2021: This Proxy Statement and our Annual Report are available free of charge at www.proxyvote.com. A list of the stockholders of record at the close of business on March 5, 2021 will also be available electronically during the Annual Meeting at www.virtualshareholdermeeting.com/ZI2021.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6986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920"/>
          </w:cols>
          <w:pgMar w:left="480" w:top="1417"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PROXY VOTING METHODS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the close of business on March 5, 2021, you were a stockholder of record you may vote your shares over the Internet at the Annual Meeting. If you were a stockholder of record, you may vote your shares in advance over the Internet, by telephone or by mail. You may also revoke your proxies at the times and in the manners described in the General Information section of this Proxy Statement. For shares held through a broker, bank or other nominee, you may submit voting instructions to your broker, bank or other nominee. Please refer to information from your broker, bank or other nominee on how to submit voting instructions.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are a stockholder of record, your Internet, telephone or mail vote must be received by 8:59 p.m., Pacific Time, on April 26, 2021 to be counted. If you hold shares through a broker, bank or other nominee, please refer to information from your broker, bank or nominee for voting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vote by proxy if you are a stockholder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189" w:lineRule="exact"/>
        <w:rPr>
          <w:sz w:val="20"/>
          <w:szCs w:val="20"/>
          <w:color w:val="auto"/>
        </w:rPr>
      </w:pPr>
    </w:p>
    <w:p>
      <w:pPr>
        <w:ind w:left="1060" w:hanging="481"/>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Go to the website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follow the instructions, 24 hours a day, seven days a week.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481"/>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will need the 16-digit number included on your proxy card to obtain your records and to create an electronic voting instruction form.</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175" w:lineRule="exact"/>
        <w:rPr>
          <w:sz w:val="20"/>
          <w:szCs w:val="20"/>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From a touch-tone telephone, dial 1-800-690-6903 and follow the recorded instructions, 24 hours a day, seven days a week.</w:t>
      </w:r>
    </w:p>
    <w:p>
      <w:pPr>
        <w:spacing w:after="0" w:line="373" w:lineRule="exact"/>
        <w:rPr>
          <w:rFonts w:ascii="Arial" w:cs="Arial" w:eastAsia="Arial" w:hAnsi="Arial"/>
          <w:sz w:val="18"/>
          <w:szCs w:val="18"/>
          <w:color w:val="auto"/>
        </w:rPr>
      </w:pPr>
    </w:p>
    <w:p>
      <w:pPr>
        <w:ind w:left="1060" w:hanging="48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need the 16-digit number included on your proxy card in order to vote by telephone.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175" w:lineRule="exact"/>
        <w:rPr>
          <w:sz w:val="20"/>
          <w:szCs w:val="20"/>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 your selections on the proxy card.</w:t>
      </w:r>
    </w:p>
    <w:p>
      <w:pPr>
        <w:spacing w:after="0" w:line="360"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and sign your name exactly as it appears on your proxy card.</w:t>
      </w:r>
    </w:p>
    <w:p>
      <w:pPr>
        <w:spacing w:after="0" w:line="373" w:lineRule="exact"/>
        <w:rPr>
          <w:rFonts w:ascii="Arial" w:cs="Arial" w:eastAsia="Arial" w:hAnsi="Arial"/>
          <w:sz w:val="18"/>
          <w:szCs w:val="18"/>
          <w:color w:val="auto"/>
        </w:rPr>
      </w:pPr>
    </w:p>
    <w:p>
      <w:pPr>
        <w:ind w:left="1060" w:hanging="481"/>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Mail the proxy card in the enclosed postage-paid envelope provided to you.</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TO US. THANK YOU FOR VOTING.</w:t>
      </w:r>
    </w:p>
    <w:p>
      <w:pPr>
        <w:sectPr>
          <w:pgSz w:w="11900" w:h="16838" w:orient="portrait"/>
          <w:cols w:equalWidth="0" w:num="1">
            <w:col w:w="11240"/>
          </w:cols>
          <w:pgMar w:left="320" w:top="14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94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513"/>
        </w:trPr>
        <w:tc>
          <w:tcPr>
            <w:tcW w:w="9460" w:type="dxa"/>
            <w:vAlign w:val="bottom"/>
          </w:tcPr>
          <w:p>
            <w:pPr>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GENERAL INFORMATION</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1</w:t>
              </w:r>
            </w:hyperlink>
          </w:p>
        </w:tc>
      </w:tr>
      <w:tr>
        <w:trPr>
          <w:trHeight w:val="283"/>
        </w:trPr>
        <w:tc>
          <w:tcPr>
            <w:tcW w:w="9460" w:type="dxa"/>
            <w:vAlign w:val="bottom"/>
          </w:tcPr>
          <w:p>
            <w:pPr>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PROPOSAL NO. 1—ELECTION OF DIRECTORS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1">
              <w:r>
                <w:rPr>
                  <w:rFonts w:ascii="Arial" w:cs="Arial" w:eastAsia="Arial" w:hAnsi="Arial"/>
                  <w:sz w:val="18"/>
                  <w:szCs w:val="18"/>
                  <w:u w:val="single" w:color="auto"/>
                  <w:color w:val="0000FF"/>
                  <w:w w:val="99"/>
                </w:rPr>
                <w:t>5</w:t>
              </w:r>
            </w:hyperlink>
          </w:p>
        </w:tc>
      </w:tr>
      <w:tr>
        <w:trPr>
          <w:trHeight w:val="297"/>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2">
              <w:r>
                <w:rPr>
                  <w:rFonts w:ascii="Arial" w:cs="Arial" w:eastAsia="Arial" w:hAnsi="Arial"/>
                  <w:sz w:val="18"/>
                  <w:szCs w:val="18"/>
                  <w:i w:val="1"/>
                  <w:iCs w:val="1"/>
                  <w:u w:val="single" w:color="auto"/>
                  <w:color w:val="0000FF"/>
                </w:rPr>
                <w:t>Nominees for Election to the Board of Directors in 2021</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5</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3">
              <w:r>
                <w:rPr>
                  <w:rFonts w:ascii="Arial" w:cs="Arial" w:eastAsia="Arial" w:hAnsi="Arial"/>
                  <w:sz w:val="18"/>
                  <w:szCs w:val="18"/>
                  <w:i w:val="1"/>
                  <w:iCs w:val="1"/>
                  <w:u w:val="single" w:color="auto"/>
                  <w:color w:val="0000FF"/>
                </w:rPr>
                <w:t>Continuing Members of the Board of Directors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3">
              <w:r>
                <w:rPr>
                  <w:rFonts w:ascii="Arial" w:cs="Arial" w:eastAsia="Arial" w:hAnsi="Arial"/>
                  <w:sz w:val="18"/>
                  <w:szCs w:val="18"/>
                  <w:u w:val="single" w:color="auto"/>
                  <w:color w:val="0000FF"/>
                  <w:w w:val="99"/>
                </w:rPr>
                <w:t>7</w:t>
              </w:r>
            </w:hyperlink>
          </w:p>
        </w:tc>
      </w:tr>
      <w:tr>
        <w:trPr>
          <w:trHeight w:val="311"/>
        </w:trPr>
        <w:tc>
          <w:tcPr>
            <w:tcW w:w="9460" w:type="dxa"/>
            <w:vAlign w:val="bottom"/>
          </w:tcPr>
          <w:p>
            <w:pPr>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THE BOARD OF DIRECTORS AND CERTAIN GOVERNANCE MATTERS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5">
              <w:r>
                <w:rPr>
                  <w:rFonts w:ascii="Arial" w:cs="Arial" w:eastAsia="Arial" w:hAnsi="Arial"/>
                  <w:sz w:val="18"/>
                  <w:szCs w:val="18"/>
                  <w:u w:val="single" w:color="auto"/>
                  <w:color w:val="0000FF"/>
                  <w:w w:val="99"/>
                </w:rPr>
                <w:t>9</w:t>
              </w:r>
            </w:hyperlink>
          </w:p>
        </w:tc>
      </w:tr>
      <w:tr>
        <w:trPr>
          <w:trHeight w:val="297"/>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6">
              <w:r>
                <w:rPr>
                  <w:rFonts w:ascii="Arial" w:cs="Arial" w:eastAsia="Arial" w:hAnsi="Arial"/>
                  <w:sz w:val="18"/>
                  <w:szCs w:val="18"/>
                  <w:i w:val="1"/>
                  <w:iCs w:val="1"/>
                  <w:u w:val="single" w:color="auto"/>
                  <w:color w:val="0000FF"/>
                </w:rPr>
                <w:t>Director Independence and Independence Determinations</w:t>
              </w:r>
            </w:hyperlink>
          </w:p>
        </w:tc>
        <w:tc>
          <w:tcPr>
            <w:tcW w:w="1240" w:type="dxa"/>
            <w:vAlign w:val="bottom"/>
          </w:tcPr>
          <w:p>
            <w:pPr>
              <w:jc w:val="center"/>
              <w:ind w:left="970"/>
              <w:spacing w:after="0"/>
              <w:rPr>
                <w:rFonts w:ascii="Arial" w:cs="Arial" w:eastAsia="Arial" w:hAnsi="Arial"/>
                <w:sz w:val="18"/>
                <w:szCs w:val="18"/>
                <w:u w:val="single" w:color="auto"/>
                <w:color w:val="0000FF"/>
                <w:w w:val="99"/>
              </w:rPr>
            </w:pPr>
            <w:hyperlink w:anchor="page16">
              <w:r>
                <w:rPr>
                  <w:rFonts w:ascii="Arial" w:cs="Arial" w:eastAsia="Arial" w:hAnsi="Arial"/>
                  <w:sz w:val="18"/>
                  <w:szCs w:val="18"/>
                  <w:u w:val="single" w:color="auto"/>
                  <w:color w:val="0000FF"/>
                  <w:w w:val="99"/>
                </w:rPr>
                <w:t>9</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6">
              <w:r>
                <w:rPr>
                  <w:rFonts w:ascii="Arial" w:cs="Arial" w:eastAsia="Arial" w:hAnsi="Arial"/>
                  <w:sz w:val="18"/>
                  <w:szCs w:val="18"/>
                  <w:i w:val="1"/>
                  <w:iCs w:val="1"/>
                  <w:u w:val="single" w:color="auto"/>
                  <w:color w:val="0000FF"/>
                </w:rPr>
                <w:t>Director Nomination Process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6">
              <w:r>
                <w:rPr>
                  <w:rFonts w:ascii="Arial" w:cs="Arial" w:eastAsia="Arial" w:hAnsi="Arial"/>
                  <w:sz w:val="18"/>
                  <w:szCs w:val="18"/>
                  <w:u w:val="single" w:color="auto"/>
                  <w:color w:val="0000FF"/>
                  <w:w w:val="89"/>
                </w:rPr>
                <w:t>10</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8">
              <w:r>
                <w:rPr>
                  <w:rFonts w:ascii="Arial" w:cs="Arial" w:eastAsia="Arial" w:hAnsi="Arial"/>
                  <w:sz w:val="18"/>
                  <w:szCs w:val="18"/>
                  <w:i w:val="1"/>
                  <w:iCs w:val="1"/>
                  <w:u w:val="single" w:color="auto"/>
                  <w:color w:val="0000FF"/>
                </w:rPr>
                <w:t>Controlled Company Exception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11</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8">
              <w:r>
                <w:rPr>
                  <w:rFonts w:ascii="Arial" w:cs="Arial" w:eastAsia="Arial" w:hAnsi="Arial"/>
                  <w:sz w:val="18"/>
                  <w:szCs w:val="18"/>
                  <w:i w:val="1"/>
                  <w:iCs w:val="1"/>
                  <w:u w:val="single" w:color="auto"/>
                  <w:color w:val="0000FF"/>
                </w:rPr>
                <w:t>Board Structure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11</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8">
              <w:r>
                <w:rPr>
                  <w:rFonts w:ascii="Arial" w:cs="Arial" w:eastAsia="Arial" w:hAnsi="Arial"/>
                  <w:sz w:val="18"/>
                  <w:szCs w:val="18"/>
                  <w:i w:val="1"/>
                  <w:iCs w:val="1"/>
                  <w:u w:val="single" w:color="auto"/>
                  <w:color w:val="0000FF"/>
                </w:rPr>
                <w:t>Executive Sessions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11</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8">
              <w:r>
                <w:rPr>
                  <w:rFonts w:ascii="Arial" w:cs="Arial" w:eastAsia="Arial" w:hAnsi="Arial"/>
                  <w:sz w:val="18"/>
                  <w:szCs w:val="18"/>
                  <w:i w:val="1"/>
                  <w:iCs w:val="1"/>
                  <w:u w:val="single" w:color="auto"/>
                  <w:color w:val="0000FF"/>
                </w:rPr>
                <w:t>Communications with the Board</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8">
              <w:r>
                <w:rPr>
                  <w:rFonts w:ascii="Arial" w:cs="Arial" w:eastAsia="Arial" w:hAnsi="Arial"/>
                  <w:sz w:val="18"/>
                  <w:szCs w:val="18"/>
                  <w:u w:val="single" w:color="auto"/>
                  <w:color w:val="0000FF"/>
                  <w:w w:val="89"/>
                </w:rPr>
                <w:t>12</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19">
              <w:r>
                <w:rPr>
                  <w:rFonts w:ascii="Arial" w:cs="Arial" w:eastAsia="Arial" w:hAnsi="Arial"/>
                  <w:sz w:val="18"/>
                  <w:szCs w:val="18"/>
                  <w:i w:val="1"/>
                  <w:iCs w:val="1"/>
                  <w:u w:val="single" w:color="auto"/>
                  <w:color w:val="0000FF"/>
                </w:rPr>
                <w:t>Board Committees and Meetings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19">
              <w:r>
                <w:rPr>
                  <w:rFonts w:ascii="Arial" w:cs="Arial" w:eastAsia="Arial" w:hAnsi="Arial"/>
                  <w:sz w:val="18"/>
                  <w:szCs w:val="18"/>
                  <w:u w:val="single" w:color="auto"/>
                  <w:color w:val="0000FF"/>
                  <w:w w:val="89"/>
                </w:rPr>
                <w:t>12</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1">
              <w:r>
                <w:rPr>
                  <w:rFonts w:ascii="Arial" w:cs="Arial" w:eastAsia="Arial" w:hAnsi="Arial"/>
                  <w:sz w:val="18"/>
                  <w:szCs w:val="18"/>
                  <w:i w:val="1"/>
                  <w:iCs w:val="1"/>
                  <w:u w:val="single" w:color="auto"/>
                  <w:color w:val="0000FF"/>
                </w:rPr>
                <w:t>Committee Charters and Corporate Governance Guidelines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1">
              <w:r>
                <w:rPr>
                  <w:rFonts w:ascii="Arial" w:cs="Arial" w:eastAsia="Arial" w:hAnsi="Arial"/>
                  <w:sz w:val="18"/>
                  <w:szCs w:val="18"/>
                  <w:u w:val="single" w:color="auto"/>
                  <w:color w:val="0000FF"/>
                  <w:w w:val="89"/>
                </w:rPr>
                <w:t>14</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2">
              <w:r>
                <w:rPr>
                  <w:rFonts w:ascii="Arial" w:cs="Arial" w:eastAsia="Arial" w:hAnsi="Arial"/>
                  <w:sz w:val="18"/>
                  <w:szCs w:val="18"/>
                  <w:i w:val="1"/>
                  <w:iCs w:val="1"/>
                  <w:u w:val="single" w:color="auto"/>
                  <w:color w:val="0000FF"/>
                </w:rPr>
                <w:t>Code of Business Conduct &amp; Ethics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15</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2">
              <w:r>
                <w:rPr>
                  <w:rFonts w:ascii="Arial" w:cs="Arial" w:eastAsia="Arial" w:hAnsi="Arial"/>
                  <w:sz w:val="18"/>
                  <w:szCs w:val="18"/>
                  <w:i w:val="1"/>
                  <w:iCs w:val="1"/>
                  <w:u w:val="single" w:color="auto"/>
                  <w:color w:val="0000FF"/>
                </w:rPr>
                <w:t>Oversight of Risk Management</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15</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2">
              <w:r>
                <w:rPr>
                  <w:rFonts w:ascii="Arial" w:cs="Arial" w:eastAsia="Arial" w:hAnsi="Arial"/>
                  <w:sz w:val="18"/>
                  <w:szCs w:val="18"/>
                  <w:i w:val="1"/>
                  <w:iCs w:val="1"/>
                  <w:u w:val="single" w:color="auto"/>
                  <w:color w:val="0000FF"/>
                </w:rPr>
                <w:t>Hedging Policy</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15</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3">
              <w:r>
                <w:rPr>
                  <w:rFonts w:ascii="Arial" w:cs="Arial" w:eastAsia="Arial" w:hAnsi="Arial"/>
                  <w:sz w:val="18"/>
                  <w:szCs w:val="18"/>
                  <w:i w:val="1"/>
                  <w:iCs w:val="1"/>
                  <w:u w:val="single" w:color="auto"/>
                  <w:color w:val="0000FF"/>
                </w:rPr>
                <w:t>Executive Officers of the Company</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16</w:t>
              </w:r>
            </w:hyperlink>
          </w:p>
        </w:tc>
      </w:tr>
      <w:tr>
        <w:trPr>
          <w:trHeight w:val="311"/>
        </w:trPr>
        <w:tc>
          <w:tcPr>
            <w:tcW w:w="9460" w:type="dxa"/>
            <w:vAlign w:val="bottom"/>
          </w:tcPr>
          <w:p>
            <w:pPr>
              <w:spacing w:after="0"/>
              <w:rPr>
                <w:rFonts w:ascii="Arial" w:cs="Arial" w:eastAsia="Arial" w:hAnsi="Arial"/>
                <w:sz w:val="18"/>
                <w:szCs w:val="18"/>
                <w:b w:val="1"/>
                <w:bCs w:val="1"/>
                <w:u w:val="single" w:color="auto"/>
                <w:color w:val="0000FF"/>
              </w:rPr>
            </w:pPr>
            <w:hyperlink w:anchor="page23">
              <w:r>
                <w:rPr>
                  <w:rFonts w:ascii="Arial" w:cs="Arial" w:eastAsia="Arial" w:hAnsi="Arial"/>
                  <w:sz w:val="18"/>
                  <w:szCs w:val="18"/>
                  <w:b w:val="1"/>
                  <w:bCs w:val="1"/>
                  <w:u w:val="single" w:color="auto"/>
                  <w:color w:val="0000FF"/>
                </w:rPr>
                <w:t>PROPOSAL NO. 2—RATIFICATION OF INDEPENDENT REGISTERED PUBLIC ACCOUNTING FIRM</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3">
              <w:r>
                <w:rPr>
                  <w:rFonts w:ascii="Arial" w:cs="Arial" w:eastAsia="Arial" w:hAnsi="Arial"/>
                  <w:sz w:val="18"/>
                  <w:szCs w:val="18"/>
                  <w:u w:val="single" w:color="auto"/>
                  <w:color w:val="0000FF"/>
                  <w:w w:val="89"/>
                </w:rPr>
                <w:t>17</w:t>
              </w:r>
            </w:hyperlink>
          </w:p>
        </w:tc>
      </w:tr>
      <w:tr>
        <w:trPr>
          <w:trHeight w:val="297"/>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4">
              <w:r>
                <w:rPr>
                  <w:rFonts w:ascii="Arial" w:cs="Arial" w:eastAsia="Arial" w:hAnsi="Arial"/>
                  <w:sz w:val="18"/>
                  <w:szCs w:val="18"/>
                  <w:i w:val="1"/>
                  <w:iCs w:val="1"/>
                  <w:u w:val="single" w:color="auto"/>
                  <w:color w:val="0000FF"/>
                </w:rPr>
                <w:t>Audit and Non-Audit Fees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17</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4">
              <w:r>
                <w:rPr>
                  <w:rFonts w:ascii="Arial" w:cs="Arial" w:eastAsia="Arial" w:hAnsi="Arial"/>
                  <w:sz w:val="18"/>
                  <w:szCs w:val="18"/>
                  <w:i w:val="1"/>
                  <w:iCs w:val="1"/>
                  <w:u w:val="single" w:color="auto"/>
                  <w:color w:val="0000FF"/>
                </w:rPr>
                <w:t>Pre-Approval Policy for Services of Independent Registered Public Accounting Firm</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4">
              <w:r>
                <w:rPr>
                  <w:rFonts w:ascii="Arial" w:cs="Arial" w:eastAsia="Arial" w:hAnsi="Arial"/>
                  <w:sz w:val="18"/>
                  <w:szCs w:val="18"/>
                  <w:u w:val="single" w:color="auto"/>
                  <w:color w:val="0000FF"/>
                  <w:w w:val="89"/>
                </w:rPr>
                <w:t>18</w:t>
              </w:r>
            </w:hyperlink>
          </w:p>
        </w:tc>
      </w:tr>
      <w:tr>
        <w:trPr>
          <w:trHeight w:val="310"/>
        </w:trPr>
        <w:tc>
          <w:tcPr>
            <w:tcW w:w="9460" w:type="dxa"/>
            <w:vAlign w:val="bottom"/>
          </w:tcPr>
          <w:p>
            <w:pPr>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REPORT OF THE AUDIT COMMITTEE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5">
              <w:r>
                <w:rPr>
                  <w:rFonts w:ascii="Arial" w:cs="Arial" w:eastAsia="Arial" w:hAnsi="Arial"/>
                  <w:sz w:val="18"/>
                  <w:szCs w:val="18"/>
                  <w:u w:val="single" w:color="auto"/>
                  <w:color w:val="0000FF"/>
                  <w:w w:val="89"/>
                </w:rPr>
                <w:t>19</w:t>
              </w:r>
            </w:hyperlink>
          </w:p>
        </w:tc>
      </w:tr>
      <w:tr>
        <w:trPr>
          <w:trHeight w:val="284"/>
        </w:trPr>
        <w:tc>
          <w:tcPr>
            <w:tcW w:w="9460" w:type="dxa"/>
            <w:vAlign w:val="bottom"/>
          </w:tcPr>
          <w:p>
            <w:pPr>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EXECUTIVE AND DIRECTOR COMPENSATION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6">
              <w:r>
                <w:rPr>
                  <w:rFonts w:ascii="Arial" w:cs="Arial" w:eastAsia="Arial" w:hAnsi="Arial"/>
                  <w:sz w:val="18"/>
                  <w:szCs w:val="18"/>
                  <w:u w:val="single" w:color="auto"/>
                  <w:color w:val="0000FF"/>
                  <w:w w:val="89"/>
                </w:rPr>
                <w:t>20</w:t>
              </w:r>
            </w:hyperlink>
          </w:p>
        </w:tc>
      </w:tr>
      <w:tr>
        <w:trPr>
          <w:trHeight w:val="297"/>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7">
              <w:r>
                <w:rPr>
                  <w:rFonts w:ascii="Arial" w:cs="Arial" w:eastAsia="Arial" w:hAnsi="Arial"/>
                  <w:sz w:val="18"/>
                  <w:szCs w:val="18"/>
                  <w:i w:val="1"/>
                  <w:iCs w:val="1"/>
                  <w:u w:val="single" w:color="auto"/>
                  <w:color w:val="0000FF"/>
                </w:rPr>
                <w:t>Emerging Growth Company Status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20</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7">
              <w:r>
                <w:rPr>
                  <w:rFonts w:ascii="Arial" w:cs="Arial" w:eastAsia="Arial" w:hAnsi="Arial"/>
                  <w:sz w:val="18"/>
                  <w:szCs w:val="18"/>
                  <w:i w:val="1"/>
                  <w:iCs w:val="1"/>
                  <w:u w:val="single" w:color="auto"/>
                  <w:color w:val="0000FF"/>
                </w:rPr>
                <w:t>Summary Compensation Table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7">
              <w:r>
                <w:rPr>
                  <w:rFonts w:ascii="Arial" w:cs="Arial" w:eastAsia="Arial" w:hAnsi="Arial"/>
                  <w:sz w:val="18"/>
                  <w:szCs w:val="18"/>
                  <w:u w:val="single" w:color="auto"/>
                  <w:color w:val="0000FF"/>
                  <w:w w:val="89"/>
                </w:rPr>
                <w:t>20</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28">
              <w:r>
                <w:rPr>
                  <w:rFonts w:ascii="Arial" w:cs="Arial" w:eastAsia="Arial" w:hAnsi="Arial"/>
                  <w:sz w:val="18"/>
                  <w:szCs w:val="18"/>
                  <w:i w:val="1"/>
                  <w:iCs w:val="1"/>
                  <w:u w:val="single" w:color="auto"/>
                  <w:color w:val="0000FF"/>
                </w:rPr>
                <w:t>Narrative Disclosure to Summary Compensation Table</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21</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31">
              <w:r>
                <w:rPr>
                  <w:rFonts w:ascii="Arial" w:cs="Arial" w:eastAsia="Arial" w:hAnsi="Arial"/>
                  <w:sz w:val="18"/>
                  <w:szCs w:val="18"/>
                  <w:i w:val="1"/>
                  <w:iCs w:val="1"/>
                  <w:u w:val="single" w:color="auto"/>
                  <w:color w:val="0000FF"/>
                </w:rPr>
                <w:t>Outstanding Equity Awards at 2020 Fiscal Year-End</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1">
              <w:r>
                <w:rPr>
                  <w:rFonts w:ascii="Arial" w:cs="Arial" w:eastAsia="Arial" w:hAnsi="Arial"/>
                  <w:sz w:val="18"/>
                  <w:szCs w:val="18"/>
                  <w:u w:val="single" w:color="auto"/>
                  <w:color w:val="0000FF"/>
                  <w:w w:val="89"/>
                </w:rPr>
                <w:t>24</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32">
              <w:r>
                <w:rPr>
                  <w:rFonts w:ascii="Arial" w:cs="Arial" w:eastAsia="Arial" w:hAnsi="Arial"/>
                  <w:sz w:val="18"/>
                  <w:szCs w:val="18"/>
                  <w:i w:val="1"/>
                  <w:iCs w:val="1"/>
                  <w:u w:val="single" w:color="auto"/>
                  <w:color w:val="0000FF"/>
                </w:rPr>
                <w:t>Termination and Change in Control Provisions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25</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34">
              <w:r>
                <w:rPr>
                  <w:rFonts w:ascii="Arial" w:cs="Arial" w:eastAsia="Arial" w:hAnsi="Arial"/>
                  <w:sz w:val="18"/>
                  <w:szCs w:val="18"/>
                  <w:i w:val="1"/>
                  <w:iCs w:val="1"/>
                  <w:u w:val="single" w:color="auto"/>
                  <w:color w:val="0000FF"/>
                </w:rPr>
                <w:t>Performance-Based Awards under our 2020 Omnibus Incentive Plan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27</w:t>
              </w:r>
            </w:hyperlink>
          </w:p>
        </w:tc>
      </w:tr>
      <w:tr>
        <w:trPr>
          <w:trHeight w:val="270"/>
        </w:trPr>
        <w:tc>
          <w:tcPr>
            <w:tcW w:w="9460" w:type="dxa"/>
            <w:vAlign w:val="bottom"/>
          </w:tcPr>
          <w:p>
            <w:pPr>
              <w:ind w:left="180"/>
              <w:spacing w:after="0"/>
              <w:rPr>
                <w:rFonts w:ascii="Arial" w:cs="Arial" w:eastAsia="Arial" w:hAnsi="Arial"/>
                <w:sz w:val="18"/>
                <w:szCs w:val="18"/>
                <w:i w:val="1"/>
                <w:iCs w:val="1"/>
                <w:u w:val="single" w:color="auto"/>
                <w:color w:val="0000FF"/>
              </w:rPr>
            </w:pPr>
            <w:hyperlink w:anchor="page35">
              <w:r>
                <w:rPr>
                  <w:rFonts w:ascii="Arial" w:cs="Arial" w:eastAsia="Arial" w:hAnsi="Arial"/>
                  <w:sz w:val="18"/>
                  <w:szCs w:val="18"/>
                  <w:i w:val="1"/>
                  <w:iCs w:val="1"/>
                  <w:u w:val="single" w:color="auto"/>
                  <w:color w:val="0000FF"/>
                </w:rPr>
                <w:t>Director Compensation in Fiscal 2020</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28</w:t>
              </w:r>
            </w:hyperlink>
          </w:p>
        </w:tc>
      </w:tr>
      <w:tr>
        <w:trPr>
          <w:trHeight w:val="310"/>
        </w:trPr>
        <w:tc>
          <w:tcPr>
            <w:tcW w:w="9460" w:type="dxa"/>
            <w:vAlign w:val="bottom"/>
          </w:tcPr>
          <w:p>
            <w:pPr>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COMPENSATION COMMITTEE INTERLOCKS AND INSIDER PARTICIPATION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30</w:t>
              </w:r>
            </w:hyperlink>
          </w:p>
        </w:tc>
      </w:tr>
      <w:tr>
        <w:trPr>
          <w:trHeight w:val="284"/>
        </w:trPr>
        <w:tc>
          <w:tcPr>
            <w:tcW w:w="9460" w:type="dxa"/>
            <w:vAlign w:val="bottom"/>
          </w:tcPr>
          <w:p>
            <w:pPr>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EQUITY COMPENSATION PLAN INFORMATION</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30</w:t>
              </w:r>
            </w:hyperlink>
          </w:p>
        </w:tc>
      </w:tr>
      <w:tr>
        <w:trPr>
          <w:trHeight w:val="283"/>
        </w:trPr>
        <w:tc>
          <w:tcPr>
            <w:tcW w:w="9460" w:type="dxa"/>
            <w:vAlign w:val="bottom"/>
          </w:tcPr>
          <w:p>
            <w:pPr>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OWNERSHIP OF SECURITIES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31</w:t>
              </w:r>
            </w:hyperlink>
          </w:p>
        </w:tc>
      </w:tr>
      <w:tr>
        <w:trPr>
          <w:trHeight w:val="283"/>
        </w:trPr>
        <w:tc>
          <w:tcPr>
            <w:tcW w:w="9460" w:type="dxa"/>
            <w:vAlign w:val="bottom"/>
          </w:tcPr>
          <w:p>
            <w:pPr>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DELINQUENT SECTION 16(a) REPORTS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35</w:t>
              </w:r>
            </w:hyperlink>
          </w:p>
        </w:tc>
      </w:tr>
      <w:tr>
        <w:trPr>
          <w:trHeight w:val="284"/>
        </w:trPr>
        <w:tc>
          <w:tcPr>
            <w:tcW w:w="9460" w:type="dxa"/>
            <w:vAlign w:val="bottom"/>
          </w:tcPr>
          <w:p>
            <w:pPr>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TRANSACTIONS WITH RELATED PERSONS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36</w:t>
              </w:r>
            </w:hyperlink>
          </w:p>
        </w:tc>
      </w:tr>
      <w:tr>
        <w:trPr>
          <w:trHeight w:val="283"/>
        </w:trPr>
        <w:tc>
          <w:tcPr>
            <w:tcW w:w="9460" w:type="dxa"/>
            <w:vAlign w:val="bottom"/>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STOCKHOLDER PROPOSALS FOR THE 2022 ANNUAL MEETING</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44</w:t>
              </w:r>
            </w:hyperlink>
          </w:p>
        </w:tc>
      </w:tr>
      <w:tr>
        <w:trPr>
          <w:trHeight w:val="283"/>
        </w:trPr>
        <w:tc>
          <w:tcPr>
            <w:tcW w:w="9460" w:type="dxa"/>
            <w:vAlign w:val="bottom"/>
          </w:tcPr>
          <w:p>
            <w:pPr>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OTHER BUSINESS</w:t>
              </w:r>
            </w:hyperlink>
          </w:p>
        </w:tc>
        <w:tc>
          <w:tcPr>
            <w:tcW w:w="1240" w:type="dxa"/>
            <w:vAlign w:val="bottom"/>
          </w:tcPr>
          <w:p>
            <w:pPr>
              <w:jc w:val="center"/>
              <w:ind w:left="970"/>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700"/>
          </w:cols>
          <w:pgMar w:left="520" w:top="769" w:right="6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911860</wp:posOffset>
            </wp:positionV>
            <wp:extent cx="214312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805 Broadway Street, Suite 900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Vancouver, Washington 98660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(800) 914-1220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27,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being provided with these materials?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proxy statement and the enclosed proxy card and annual report are first being sent to stockholders on or about March 16, 2021. We have delivered these proxy materials to you in connection with the solicitation by the Board of Directors (the “Board” or “Board of Directors”) of ZoomInfo Technologies Inc. (“we,” “our,” “us” and the “Company”) of proxies to be voted at our Annual Meeting of Stockholders to be held on April 27, 2021 (the “Annual Meeting”), and at any postponements or adjournments of the Annual Meeting. You are invited to attend the Annual Meeting and vote your shares via the Internet or to vote your shares in advance by proxy via the Internet, by telephone or by mail.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proposals scheduled to be voted on at the Annual Meeting:</w:t>
      </w:r>
    </w:p>
    <w:p>
      <w:pPr>
        <w:spacing w:after="0" w:line="171" w:lineRule="exact"/>
        <w:rPr>
          <w:sz w:val="20"/>
          <w:szCs w:val="20"/>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1: Election of the director nominees listed in this Proxy Statement.</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Proposal No. 2: Ratification of the appointment of KPMG LLP as our independent registered public accounting firm for 2021.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Stockholders as of the close of business on March 5, 2021 (the “Record Date”) may vote at the Annual Meeting or any postponement or adjournment thereof. As of that date, there were 101,554,566 shares of our Class A common stock, 207,393,591 shares of our Class B common stock and 82,253,336 shares of our Class C common stock outstanding. Holders of our Class A common stock have one vote for each share of Class A common stock held by you as of the Record Date and holders of our Class B common stock and Class C common stock have ten votes for each share of Class B or Class C common stock, as applicable, held by you as of the Record Date, in each case including shares:</w:t>
      </w:r>
    </w:p>
    <w:p>
      <w:pPr>
        <w:spacing w:after="0" w:line="122" w:lineRule="exact"/>
        <w:rPr>
          <w:sz w:val="20"/>
          <w:szCs w:val="20"/>
          <w:color w:val="auto"/>
        </w:rPr>
      </w:pPr>
    </w:p>
    <w:p>
      <w:pPr>
        <w:ind w:left="1060" w:hanging="48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Held directly in your name as “stockholder of record” (also referred to as “registered stockholder”); and</w:t>
      </w:r>
    </w:p>
    <w:p>
      <w:pPr>
        <w:spacing w:after="0" w:line="76" w:lineRule="exact"/>
        <w:rPr>
          <w:rFonts w:ascii="Arial" w:cs="Arial" w:eastAsia="Arial" w:hAnsi="Arial"/>
          <w:sz w:val="18"/>
          <w:szCs w:val="18"/>
          <w:color w:val="auto"/>
        </w:rPr>
      </w:pPr>
    </w:p>
    <w:p>
      <w:pPr>
        <w:ind w:left="1060" w:right="500" w:hanging="481"/>
        <w:spacing w:after="0" w:line="25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presence in person or by proxy of stockholders entitled to cast a majority of all the votes entitled to be cast at such meeting on any matter constitutes a quorum. Abstentions and shares represented by “broker non-votes” that are present and entitled to vote at the Annual Meeting are counted for purposes of determining a quorum.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is considered a non-routine matter, and a broker will lack the authority to vote uninstructed shares at their discretion on such proposal. Proposal No. 2 is considered a discretionary matter, and a broker will be permitted to exercise its discretion to vote uninstructed shares on this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approve each proposal?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1, under our Amended and Restated Bylaws (the “Bylaws”), directors are elected by a plurality vote, which means that the director nominees with the greatest number of votes cast, even if less than a majority, will be elected. There is no cumulative voting.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Proposal No. 2, under our Bylaws, approval of the proposal requires a majority of the voting power of the shares of stock present in person or represented by proxy and entitled to vote on the proposal.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important to note that the proposal to ratify the appointment of KPMG LLP as our independent registered public accounting firm for 2021 (Proposal No. 2) is non-binding and advisory. While the ratification of KPMG LLP as our independent registered public accounting firm is not required by our Bylaws or otherwise, if our stockholders fail to ratify the selection, we will consider it notice to the Board and the Audit Committee to consider the selection of a different firm.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Broker non-votes will have no effect on the outcome of Proposal No. 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ratification of our independent registered public accounting firm (Proposal No. 2), you may vote “FOR,” “AGAINST” or “ABSTAIN.” Abstentions will be counted as a vote “AGAINST” Proposal No. 2.</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recommends that you vote your shares:</w:t>
      </w:r>
    </w:p>
    <w:p>
      <w:pPr>
        <w:spacing w:after="0" w:line="171" w:lineRule="exact"/>
        <w:rPr>
          <w:sz w:val="20"/>
          <w:szCs w:val="20"/>
          <w:color w:val="auto"/>
        </w:rPr>
      </w:pPr>
    </w:p>
    <w:p>
      <w:pPr>
        <w:ind w:left="1060" w:hanging="481"/>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each of the director nominees set forth in this Proxy Statement.</w:t>
      </w:r>
    </w:p>
    <w:p>
      <w:pPr>
        <w:spacing w:after="0" w:line="252" w:lineRule="exact"/>
        <w:rPr>
          <w:rFonts w:ascii="Arial" w:cs="Arial" w:eastAsia="Arial" w:hAnsi="Arial"/>
          <w:sz w:val="18"/>
          <w:szCs w:val="18"/>
          <w:color w:val="auto"/>
        </w:rPr>
      </w:pPr>
    </w:p>
    <w:p>
      <w:pPr>
        <w:ind w:left="1100" w:hanging="494"/>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9" w:name="page10"/>
    <w:bookmarkEnd w:id="9"/>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Broadridge Financial Solutions, Inc. or its designee will tabulate the votes and act as inspectors of election.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without attending the Annual Meeting?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you are a stockholder of record, you may vote by authorizing a proxy to vote on your behalf at the Annual Meeting. Specifically, you may authorize a proxy:</w:t>
      </w:r>
    </w:p>
    <w:p>
      <w:pPr>
        <w:spacing w:after="0" w:line="130" w:lineRule="exact"/>
        <w:rPr>
          <w:sz w:val="20"/>
          <w:szCs w:val="20"/>
          <w:color w:val="auto"/>
        </w:rPr>
      </w:pPr>
    </w:p>
    <w:p>
      <w:pPr>
        <w:ind w:left="1060" w:right="280" w:hanging="481"/>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By Internet</w:t>
      </w:r>
      <w:r>
        <w:rPr>
          <w:rFonts w:ascii="Arial" w:cs="Arial" w:eastAsia="Arial" w:hAnsi="Arial"/>
          <w:sz w:val="16"/>
          <w:szCs w:val="16"/>
          <w:color w:val="auto"/>
        </w:rPr>
        <w:t>—If you have Internet access, you may submit your proxy by going to</w:t>
      </w:r>
      <w:r>
        <w:rPr>
          <w:rFonts w:ascii="Arial" w:cs="Arial" w:eastAsia="Arial" w:hAnsi="Arial"/>
          <w:sz w:val="16"/>
          <w:szCs w:val="16"/>
          <w:i w:val="1"/>
          <w:iCs w:val="1"/>
          <w:color w:val="auto"/>
        </w:rPr>
        <w:t xml:space="preserve"> www.proxyvote.com </w:t>
      </w:r>
      <w:r>
        <w:rPr>
          <w:rFonts w:ascii="Arial" w:cs="Arial" w:eastAsia="Arial" w:hAnsi="Arial"/>
          <w:sz w:val="16"/>
          <w:szCs w:val="16"/>
          <w:color w:val="auto"/>
        </w:rPr>
        <w:t>and by following the instructions</w:t>
      </w:r>
      <w:r>
        <w:rPr>
          <w:rFonts w:ascii="Arial" w:cs="Arial" w:eastAsia="Arial" w:hAnsi="Arial"/>
          <w:sz w:val="16"/>
          <w:szCs w:val="16"/>
          <w:i w:val="1"/>
          <w:iCs w:val="1"/>
          <w:color w:val="auto"/>
        </w:rPr>
        <w:t xml:space="preserve"> </w:t>
      </w:r>
      <w:r>
        <w:rPr>
          <w:rFonts w:ascii="Arial" w:cs="Arial" w:eastAsia="Arial" w:hAnsi="Arial"/>
          <w:sz w:val="16"/>
          <w:szCs w:val="16"/>
          <w:color w:val="auto"/>
        </w:rPr>
        <w:t>on how to complete an electronic proxy card. You will need the 16-digit number included on your proxy card in order to vote by Internet.</w:t>
      </w:r>
    </w:p>
    <w:p>
      <w:pPr>
        <w:spacing w:after="0" w:line="191" w:lineRule="exact"/>
        <w:rPr>
          <w:rFonts w:ascii="Arial" w:cs="Arial" w:eastAsia="Arial" w:hAnsi="Arial"/>
          <w:sz w:val="16"/>
          <w:szCs w:val="16"/>
          <w:color w:val="auto"/>
        </w:rPr>
      </w:pPr>
    </w:p>
    <w:p>
      <w:pPr>
        <w:ind w:left="1100" w:right="460" w:hanging="494"/>
        <w:spacing w:after="0" w:line="308" w:lineRule="auto"/>
        <w:tabs>
          <w:tab w:leader="none" w:pos="110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By Telephone</w:t>
      </w:r>
      <w:r>
        <w:rPr>
          <w:rFonts w:ascii="Arial" w:cs="Arial" w:eastAsia="Arial" w:hAnsi="Arial"/>
          <w:sz w:val="17"/>
          <w:szCs w:val="17"/>
          <w:color w:val="auto"/>
        </w:rPr>
        <w:t>—If you have access to a touch-tone telephone, you may submit your proxy by dialing 1-800-690-6903 and by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recorded instructions. You will need the 16-digit number included on your proxy card in order to vote by telephone.</w:t>
      </w:r>
    </w:p>
    <w:p>
      <w:pPr>
        <w:spacing w:after="0" w:line="213" w:lineRule="exact"/>
        <w:rPr>
          <w:rFonts w:ascii="Arial" w:cs="Arial" w:eastAsia="Arial" w:hAnsi="Arial"/>
          <w:sz w:val="17"/>
          <w:szCs w:val="17"/>
          <w:color w:val="auto"/>
        </w:rPr>
      </w:pPr>
    </w:p>
    <w:p>
      <w:pPr>
        <w:ind w:left="1060" w:right="240" w:hanging="481"/>
        <w:spacing w:after="0" w:line="25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—You may vote by mail by signing and dating the enclosed proxy card where indicated and by mailing or otherwise returning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card in the postage-paid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358"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Internet and telephone voting facilities will close at 8:59 p.m., Pacific Time, on April 26, 2021, for the voting of shares held by stockholders of record as of the Record Date. Proxy cards with respect to shares held of record must be received no later than April 26, 2021.</w:t>
      </w:r>
    </w:p>
    <w:p>
      <w:pPr>
        <w:spacing w:after="0" w:line="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and vote my shares at the Virtual Annual Meeting?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year’s Annual Meeting will be a completely “virtual” meeting of stockholders. You may attend the Annual Meeting via the Internet. Any stockholder can attend the Annual Meeting live online at www.virtualshareholdermeeting.com/ZI2021. If you virtually attend the Annual Meeting you can vote your shares electronically, and submit your questions during the Annual Meeting, by visiting www.virtualshareholdermeeting.com/ZI2021. A summary of the information you need to attend the Annual Meeting and vote via the Internet is provided below:</w:t>
      </w:r>
    </w:p>
    <w:p>
      <w:pPr>
        <w:spacing w:after="0" w:line="117" w:lineRule="exact"/>
        <w:rPr>
          <w:sz w:val="20"/>
          <w:szCs w:val="20"/>
          <w:color w:val="auto"/>
        </w:rPr>
      </w:pPr>
    </w:p>
    <w:p>
      <w:pPr>
        <w:ind w:left="1060" w:right="78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instructions on how to attend and participate via the internet, including how to demonstrate proof of stock ownership, are posted at www.virtualshareholdermeeting.com/ZI2021;</w:t>
      </w:r>
    </w:p>
    <w:p>
      <w:pPr>
        <w:spacing w:after="0" w:line="53" w:lineRule="exact"/>
        <w:rPr>
          <w:rFonts w:ascii="Arial" w:cs="Arial" w:eastAsia="Arial" w:hAnsi="Arial"/>
          <w:sz w:val="18"/>
          <w:szCs w:val="18"/>
          <w:color w:val="auto"/>
        </w:rPr>
      </w:pPr>
    </w:p>
    <w:p>
      <w:pPr>
        <w:ind w:left="1060" w:right="298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assistance with questions regarding how to attend and participate via the internet will be provided at www.virtualshareholdermeeting.com/ZI2021 on the day of the Annual Meeting;</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stockholders may vote and submit questions while attending the Annual Meeting via the internet; and</w:t>
      </w:r>
    </w:p>
    <w:p>
      <w:pPr>
        <w:spacing w:after="0" w:line="76" w:lineRule="exact"/>
        <w:rPr>
          <w:rFonts w:ascii="Arial" w:cs="Arial" w:eastAsia="Arial" w:hAnsi="Arial"/>
          <w:sz w:val="18"/>
          <w:szCs w:val="18"/>
          <w:color w:val="auto"/>
        </w:rPr>
      </w:pPr>
    </w:p>
    <w:p>
      <w:pPr>
        <w:ind w:left="1060" w:right="400" w:hanging="481"/>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will need the 16-digit number that is included in your proxy card or the instructions that accompanied your proxy materials in order to enter the Annual Meeting and to vote during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Will I be able to participate in the online Annual Meeting on the same basis I would be able to participate in a live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light of the public health concerns due to the COVID-19 pandemic and to support the health and well-being of our stockholders and employees, the Annual Meeting will be held in a virtual meeting format only and will be conducted via live audio webcast. The online meeting format for the Annual Meeting will enable full and equal participation by all our stockholders from any place in the world at little to no cost.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designed the format of the online Annual Meeting to ensure that our stockholders who attend our Annual Meeting will be afforded the same rights and opportunities to participate as they would at an in-person meeting and to enhance stockholder access, participation and communication through online tools. We plan to take the following steps to provide for such an experience:</w:t>
      </w:r>
    </w:p>
    <w:p>
      <w:pPr>
        <w:spacing w:after="0" w:line="130" w:lineRule="exact"/>
        <w:rPr>
          <w:sz w:val="20"/>
          <w:szCs w:val="20"/>
          <w:color w:val="auto"/>
        </w:rPr>
      </w:pPr>
    </w:p>
    <w:p>
      <w:pPr>
        <w:ind w:left="1060" w:hanging="48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up to 15 minutes in advance of the meeting;</w:t>
      </w:r>
    </w:p>
    <w:p>
      <w:pPr>
        <w:spacing w:after="0" w:line="76" w:lineRule="exact"/>
        <w:rPr>
          <w:rFonts w:ascii="Arial" w:cs="Arial" w:eastAsia="Arial" w:hAnsi="Arial"/>
          <w:sz w:val="18"/>
          <w:szCs w:val="18"/>
          <w:color w:val="auto"/>
        </w:rPr>
      </w:pPr>
    </w:p>
    <w:p>
      <w:pPr>
        <w:ind w:left="1060" w:right="48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stockholders with the ability to submit appropriate questions real-time via the meeting website, limiting questions to one per stockholder unless time otherwise permits; and</w:t>
      </w:r>
    </w:p>
    <w:p>
      <w:pPr>
        <w:spacing w:after="0" w:line="53" w:lineRule="exact"/>
        <w:rPr>
          <w:rFonts w:ascii="Arial" w:cs="Arial" w:eastAsia="Arial" w:hAnsi="Arial"/>
          <w:sz w:val="18"/>
          <w:szCs w:val="18"/>
          <w:color w:val="auto"/>
        </w:rPr>
      </w:pPr>
    </w:p>
    <w:p>
      <w:pPr>
        <w:ind w:left="1060" w:right="840" w:hanging="481"/>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answering as many questions submitted in accordance with the meeting rules of conduct as appropriate in the time allotted for the meeting.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 on or about the same time?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change my vote or revoke my proxy?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Whether you have voted by Internet, telephone or mail, if you are a stockholder of record, you may change your vote and revoke your proxy by:</w:t>
      </w:r>
    </w:p>
    <w:p>
      <w:pPr>
        <w:spacing w:after="0" w:line="183" w:lineRule="exact"/>
        <w:rPr>
          <w:sz w:val="20"/>
          <w:szCs w:val="20"/>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sending a written statement to that effect to our Secretary, provided such statement is received no later than April 26, 2021;</w:t>
      </w:r>
    </w:p>
    <w:p>
      <w:pPr>
        <w:spacing w:after="0" w:line="76" w:lineRule="exact"/>
        <w:rPr>
          <w:rFonts w:ascii="Arial" w:cs="Arial" w:eastAsia="Arial" w:hAnsi="Arial"/>
          <w:sz w:val="18"/>
          <w:szCs w:val="18"/>
          <w:color w:val="auto"/>
        </w:rPr>
      </w:pPr>
    </w:p>
    <w:p>
      <w:pPr>
        <w:ind w:left="1060" w:right="80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Internet or telephone at a later time than your previous vote and before the closing of those voting facilities at 8:59 p.m., Pacific Time, on April 26, 2021;</w:t>
      </w:r>
    </w:p>
    <w:p>
      <w:pPr>
        <w:spacing w:after="0" w:line="53" w:lineRule="exact"/>
        <w:rPr>
          <w:rFonts w:ascii="Arial" w:cs="Arial" w:eastAsia="Arial" w:hAnsi="Arial"/>
          <w:sz w:val="18"/>
          <w:szCs w:val="18"/>
          <w:color w:val="auto"/>
        </w:rPr>
      </w:pPr>
    </w:p>
    <w:p>
      <w:pPr>
        <w:ind w:left="1060" w:right="320" w:hanging="481"/>
        <w:spacing w:after="0" w:line="23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 properly signed proxy card, which has a later date than your previous vote, and that is received no later than April 26, 2021; or</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If you hold shares in street name, please refer to information from your bank, broker or other nominee on how to revoke or submit new voting instructions.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pay for the cost of this proxy solicitation?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11" w:name="page12"/>
    <w:bookmarkEnd w:id="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1—ELECTION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Amended and Restated Certificate of Incorporation provides for a classified Board of Directors divided into three classes. Mitesh Dhruv, Keith Enright and Henry Schuck constitute a class with a term that expires at the Annual Meeting of Stockholders in 2021 (the “Class I Directors”); Mark Mader, Patrick McCarter and Jason Mironov constitute a class with a term that expires at the Annual Meeting of Stockholders in 2022 (the “Class II Directors”); and Todd Crockett, Ashley Evans and D. Randall Winn constitute a class with a term that expires at the Annual Meeting of Stockholders in 2023 (the “Class III Directors”).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recommendation of the Nominating and Corporate Governance Committee, the full Board of Directors has considered and nominated the following slate of nominees to serve as Class I Directors for a three-year term expiring in 2024: Mitesh Dhruv, Keith Enright and Henry Schuck. Action will be taken at the Annual Meeting for the election of these three Class I Director nominees.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If any of these nominees ceases to be a candidate for election by the time of the Annual Meeting (a contingency which the Board does not expect to occur), such proxies may be voted by the proxyholders in accordance with the recommendation of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to the Board of Directors in 2021</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“Ownership of Securities”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80" w:type="dxa"/>
            <w:vAlign w:val="bottom"/>
          </w:tcPr>
          <w:p>
            <w:pPr>
              <w:ind w:left="1160"/>
              <w:spacing w:after="0"/>
              <w:rPr>
                <w:sz w:val="20"/>
                <w:szCs w:val="20"/>
                <w:color w:val="auto"/>
              </w:rPr>
            </w:pPr>
            <w:r>
              <w:rPr>
                <w:rFonts w:ascii="Arial" w:cs="Arial" w:eastAsia="Arial" w:hAnsi="Arial"/>
                <w:sz w:val="18"/>
                <w:szCs w:val="18"/>
                <w:b w:val="1"/>
                <w:bCs w:val="1"/>
                <w:color w:val="auto"/>
              </w:rPr>
              <w:t>Class I – Nominees for term expiring in 2024</w:t>
            </w:r>
          </w:p>
        </w:tc>
      </w:tr>
      <w:tr>
        <w:trPr>
          <w:trHeight w:val="234"/>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1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660" w:type="dxa"/>
            <w:vAlign w:val="bottom"/>
          </w:tcPr>
          <w:p>
            <w:pPr>
              <w:ind w:left="20"/>
              <w:spacing w:after="0"/>
              <w:rPr>
                <w:sz w:val="20"/>
                <w:szCs w:val="20"/>
                <w:color w:val="auto"/>
              </w:rPr>
            </w:pPr>
            <w:r>
              <w:rPr>
                <w:rFonts w:ascii="Arial" w:cs="Arial" w:eastAsia="Arial" w:hAnsi="Arial"/>
                <w:sz w:val="18"/>
                <w:szCs w:val="18"/>
                <w:color w:val="auto"/>
              </w:rPr>
              <w:t>Mitesh Dhruv</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43</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Dhruv has served as a member of the board of directors of ZoomInfo Technologies Inc. since February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Mr. Dhruv currently serves as Chief Financial Officer of RingCentral, Inc., a cloud-based communications and</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collaboration solutions provider. Prior to joining RingCentral, Inc. in 2012, Mr. Dhruv worked at Bank of America</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Merrill Lynch as an equity research analyst and at PricewaterhouseCoopers. Mr. Dhruv is a CPA, Chartered</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Accountant, and CFA® charterholder, and holds an undergraduate degree in accounting from the University of</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Mumbai, India.</w:t>
            </w:r>
          </w:p>
        </w:tc>
      </w:tr>
      <w:tr>
        <w:trPr>
          <w:trHeight w:val="445"/>
        </w:trPr>
        <w:tc>
          <w:tcPr>
            <w:tcW w:w="1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Nomination considerations: Mr. Dhruv’s extensive financial and accounting experience, including as the Chief</w:t>
            </w:r>
          </w:p>
        </w:tc>
      </w:tr>
      <w:tr>
        <w:trPr>
          <w:trHeight w:val="216"/>
        </w:trPr>
        <w:tc>
          <w:tcPr>
            <w:tcW w:w="1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3"/>
              </w:rPr>
              <w:t>Financial Officer of RingCentral and his accounting and financial certifications, his knowledge and experience in</w:t>
            </w:r>
          </w:p>
        </w:tc>
      </w:tr>
      <w:tr>
        <w:trPr>
          <w:trHeight w:val="230"/>
        </w:trPr>
        <w:tc>
          <w:tcPr>
            <w:tcW w:w="1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our industry and with SaaS companies, and his experience in management of a public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spacing w:after="0"/>
              <w:rPr>
                <w:sz w:val="20"/>
                <w:szCs w:val="20"/>
                <w:color w:val="auto"/>
              </w:rPr>
            </w:pPr>
            <w:r>
              <w:rPr>
                <w:rFonts w:ascii="Arial" w:cs="Arial" w:eastAsia="Arial" w:hAnsi="Arial"/>
                <w:sz w:val="18"/>
                <w:szCs w:val="18"/>
                <w:color w:val="auto"/>
              </w:rPr>
              <w:t>Keith Enright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Mr. Enright has served as a member of the board of directors of ZoomInfo Technologies Inc. since March 2020</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4"/>
              </w:rPr>
              <w:t>and served as a member of the Board of Managers of ZoomInfo Holdings LLC from March 2020 to June 2020.</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Mr. Enright currently serves as the Chief Privacy Officer of Google LLC, a multinational technology company</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that specializes in Internet-related services and products, which include online advertising technologies, a search</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engine, cloud computing, software, and hardware. Prior to joining Google in 2011, Mr. Enright was the Chief</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Privacy Officer and Vice President, Privacy of Macy’s Inc. Mr. Enright holds a Bachelor of Arts Degree from the</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University of Massachusetts at Amherst and a Juris Doctor degree from The George Washington University Law</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School.</w:t>
            </w:r>
          </w:p>
        </w:tc>
      </w:tr>
      <w:tr>
        <w:trPr>
          <w:trHeight w:val="445"/>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6"/>
              </w:rPr>
              <w:t>Nomination considerations: Mr. Enright’s extensive experience with data privacy, including as Chief Privacy</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Officer for Google LLC, and his significant core business skills.</w:t>
            </w:r>
          </w:p>
        </w:tc>
      </w:tr>
      <w:tr>
        <w:trPr>
          <w:trHeight w:val="499"/>
        </w:trPr>
        <w:tc>
          <w:tcPr>
            <w:tcW w:w="1680" w:type="dxa"/>
            <w:vAlign w:val="bottom"/>
          </w:tcPr>
          <w:p>
            <w:pPr>
              <w:spacing w:after="0"/>
              <w:rPr>
                <w:sz w:val="20"/>
                <w:szCs w:val="20"/>
                <w:color w:val="auto"/>
              </w:rPr>
            </w:pPr>
            <w:r>
              <w:rPr>
                <w:rFonts w:ascii="Arial" w:cs="Arial" w:eastAsia="Arial" w:hAnsi="Arial"/>
                <w:sz w:val="18"/>
                <w:szCs w:val="18"/>
                <w:color w:val="auto"/>
              </w:rPr>
              <w:t>Henry Schuck</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8500" w:type="dxa"/>
            <w:vAlign w:val="bottom"/>
          </w:tcPr>
          <w:p>
            <w:pPr>
              <w:ind w:left="220"/>
              <w:spacing w:after="0"/>
              <w:rPr>
                <w:sz w:val="20"/>
                <w:szCs w:val="20"/>
                <w:color w:val="auto"/>
              </w:rPr>
            </w:pPr>
            <w:r>
              <w:rPr>
                <w:rFonts w:ascii="Arial" w:cs="Arial" w:eastAsia="Arial" w:hAnsi="Arial"/>
                <w:sz w:val="18"/>
                <w:szCs w:val="18"/>
                <w:color w:val="auto"/>
              </w:rPr>
              <w:t>Mr. Schuck has served as Chief Executive Officer, Chairman of the Board and a director of ZoomInfo</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3"/>
              </w:rPr>
              <w:t>Technologies Inc. since its formation in November 2019 and served as Chief Executive Officer and a director of</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8"/>
              </w:rPr>
              <w:t>ZoomInfo Holdings LLC (formerly known as DiscoverOrg Holdings, LLC) since founding it in 2007. Prior to</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4"/>
              </w:rPr>
              <w:t>founding ZoomInfo Holdings LLC, Mr. Schuck was VP of Research &amp; Marketing at iProfile, a sales intelligence</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1"/>
              </w:rPr>
              <w:t>firm focused on the IT market. Mr. Schuck is a cum laude graduate of the University of Nevada, Las Vegas with a</w:t>
            </w:r>
          </w:p>
        </w:tc>
      </w:tr>
      <w:tr>
        <w:trPr>
          <w:trHeight w:val="216"/>
        </w:trPr>
        <w:tc>
          <w:tcPr>
            <w:tcW w:w="1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5"/>
              </w:rPr>
              <w:t>B.S. in Business Administration and a B.S. in Hospitality Management and holds a J.D., cum laude, from The</w:t>
            </w:r>
          </w:p>
        </w:tc>
      </w:tr>
      <w:tr>
        <w:trPr>
          <w:trHeight w:val="230"/>
        </w:trPr>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rPr>
              <w:t>Ohio State University Moritz College of Law.</w:t>
            </w:r>
          </w:p>
        </w:tc>
      </w:tr>
      <w:tr>
        <w:trPr>
          <w:trHeight w:val="459"/>
        </w:trPr>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500" w:type="dxa"/>
            <w:vAlign w:val="bottom"/>
          </w:tcPr>
          <w:p>
            <w:pPr>
              <w:ind w:left="220"/>
              <w:spacing w:after="0"/>
              <w:rPr>
                <w:sz w:val="20"/>
                <w:szCs w:val="20"/>
                <w:color w:val="auto"/>
              </w:rPr>
            </w:pPr>
            <w:r>
              <w:rPr>
                <w:rFonts w:ascii="Arial" w:cs="Arial" w:eastAsia="Arial" w:hAnsi="Arial"/>
                <w:sz w:val="18"/>
                <w:szCs w:val="18"/>
                <w:color w:val="auto"/>
                <w:w w:val="92"/>
              </w:rPr>
              <w:t>Nomination considerations: Mr. Schuck’s perspective and the experience he brings as our co-founder and CEO.</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 THE ELECTION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40" w:top="14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Continuing Members of the Board of Directors</w:t>
      </w:r>
    </w:p>
    <w:p>
      <w:pPr>
        <w:spacing w:after="0" w:line="1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80" w:type="dxa"/>
            <w:vAlign w:val="bottom"/>
          </w:tcPr>
          <w:p>
            <w:pPr>
              <w:ind w:left="1060"/>
              <w:spacing w:after="0"/>
              <w:rPr>
                <w:sz w:val="20"/>
                <w:szCs w:val="20"/>
                <w:color w:val="auto"/>
              </w:rPr>
            </w:pPr>
            <w:r>
              <w:rPr>
                <w:rFonts w:ascii="Arial" w:cs="Arial" w:eastAsia="Arial" w:hAnsi="Arial"/>
                <w:sz w:val="18"/>
                <w:szCs w:val="18"/>
                <w:b w:val="1"/>
                <w:bCs w:val="1"/>
                <w:color w:val="auto"/>
              </w:rPr>
              <w:t>Class II – Directors whose term expires in 2022</w:t>
            </w:r>
          </w:p>
        </w:tc>
      </w:tr>
      <w:tr>
        <w:trPr>
          <w:trHeight w:val="234"/>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780" w:type="dxa"/>
            <w:vAlign w:val="bottom"/>
          </w:tcPr>
          <w:p>
            <w:pPr>
              <w:ind w:left="20"/>
              <w:spacing w:after="0"/>
              <w:rPr>
                <w:sz w:val="20"/>
                <w:szCs w:val="20"/>
                <w:color w:val="auto"/>
              </w:rPr>
            </w:pPr>
            <w:r>
              <w:rPr>
                <w:rFonts w:ascii="Arial" w:cs="Arial" w:eastAsia="Arial" w:hAnsi="Arial"/>
                <w:sz w:val="18"/>
                <w:szCs w:val="18"/>
                <w:color w:val="auto"/>
              </w:rPr>
              <w:t>Mark Mader</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50</w:t>
            </w: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Mr. Mader has served as a member of the board of directors of ZoomInfo Technologies Inc. since February 2020</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February 2020 to June 2020.</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Mr. Mader currently serves as President, Chief Executive Officer and director of Smartsheet Inc., a SaaS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collaboration and work management provider. Prior to joining Smartsheet Inc. in 2006, Mr. Mader served in</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various leadership positions from 1995 to 2005 at Onyx Software Corporation, a customer relationship</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management software company acquired by M2M Holdings, including as Senior Vice President of Global</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Services. From 1993 to 1995, Mr. Mader was a senior associate at Greenwich Associates, a financial consulting</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firm. Mr. Mader holds a B.A. in Geography from Dartmouth College.</w:t>
            </w:r>
          </w:p>
        </w:tc>
      </w:tr>
      <w:tr>
        <w:trPr>
          <w:trHeight w:val="445"/>
        </w:trPr>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Nomination considerations: Mr. Mader’s extensive knowledge and experience in our industry and with SaaS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companies, and his experience leading a public company as President, Chief Executive Officer and director of</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Smartsheet.</w:t>
            </w:r>
          </w:p>
        </w:tc>
      </w:tr>
      <w:tr>
        <w:trPr>
          <w:trHeight w:val="499"/>
        </w:trPr>
        <w:tc>
          <w:tcPr>
            <w:tcW w:w="1780" w:type="dxa"/>
            <w:vAlign w:val="bottom"/>
          </w:tcPr>
          <w:p>
            <w:pPr>
              <w:ind w:left="20"/>
              <w:spacing w:after="0"/>
              <w:rPr>
                <w:sz w:val="20"/>
                <w:szCs w:val="20"/>
                <w:color w:val="auto"/>
              </w:rPr>
            </w:pPr>
            <w:r>
              <w:rPr>
                <w:rFonts w:ascii="Arial" w:cs="Arial" w:eastAsia="Arial" w:hAnsi="Arial"/>
                <w:sz w:val="18"/>
                <w:szCs w:val="18"/>
                <w:color w:val="auto"/>
              </w:rPr>
              <w:t>Patrick McCarter</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45</w:t>
            </w:r>
          </w:p>
        </w:tc>
        <w:tc>
          <w:tcPr>
            <w:tcW w:w="8480" w:type="dxa"/>
            <w:vAlign w:val="bottom"/>
          </w:tcPr>
          <w:p>
            <w:pPr>
              <w:ind w:left="180"/>
              <w:spacing w:after="0"/>
              <w:rPr>
                <w:sz w:val="20"/>
                <w:szCs w:val="20"/>
                <w:color w:val="auto"/>
              </w:rPr>
            </w:pPr>
            <w:r>
              <w:rPr>
                <w:rFonts w:ascii="Arial" w:cs="Arial" w:eastAsia="Arial" w:hAnsi="Arial"/>
                <w:sz w:val="18"/>
                <w:szCs w:val="18"/>
                <w:color w:val="auto"/>
                <w:w w:val="94"/>
              </w:rPr>
              <w:t>Mr. McCarter has served as a member of the board of directors of ZoomInfo Technologies Inc. since February</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2020 and served as a member of the Board of Managers of ZoomInfo Holdings LLC from 2018 to June 2020. Mr.</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McCarter currently serves as a Managing Director and the head of the Global Technology, Media and</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2"/>
              </w:rPr>
              <w:t>Telecommunications group for The Carlyle Group, a private equity firm and an affiliate of the Company, which he</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9"/>
              </w:rPr>
              <w:t>joined in 2001. Mr. McCarter serves as a director of CommScope Holding Company, Inc. In addition, Mr.</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5"/>
              </w:rPr>
              <w:t>McCarter  currently  serves  on  the  board  of  several  private  companies,  including  HireVue,  Inc.,  Veritas</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6"/>
              </w:rPr>
              <w:t>Technologies Corporation, and Ampere Computing. Mr. McCarter holds a B.S. in Industrial Engineering and</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Economics from Northwestern University and an MBA from Harvard Business School.</w:t>
            </w:r>
          </w:p>
        </w:tc>
      </w:tr>
      <w:tr>
        <w:trPr>
          <w:trHeight w:val="445"/>
        </w:trPr>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Nomination considerations: Mr. McCarter’s extensive core business skills, including financial and strategic</w:t>
            </w:r>
          </w:p>
        </w:tc>
      </w:tr>
      <w:tr>
        <w:trPr>
          <w:trHeight w:val="216"/>
        </w:trPr>
        <w:tc>
          <w:tcPr>
            <w:tcW w:w="1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8"/>
              </w:rPr>
              <w:t>planning, and many years of management experience at portfolio companies through his involvement with</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Carlyle.</w:t>
            </w:r>
          </w:p>
        </w:tc>
      </w:tr>
      <w:tr>
        <w:trPr>
          <w:trHeight w:val="499"/>
        </w:trPr>
        <w:tc>
          <w:tcPr>
            <w:tcW w:w="1780" w:type="dxa"/>
            <w:vAlign w:val="bottom"/>
          </w:tcPr>
          <w:p>
            <w:pPr>
              <w:ind w:left="20"/>
              <w:spacing w:after="0"/>
              <w:rPr>
                <w:sz w:val="20"/>
                <w:szCs w:val="20"/>
                <w:color w:val="auto"/>
              </w:rPr>
            </w:pPr>
            <w:r>
              <w:rPr>
                <w:rFonts w:ascii="Arial" w:cs="Arial" w:eastAsia="Arial" w:hAnsi="Arial"/>
                <w:sz w:val="18"/>
                <w:szCs w:val="18"/>
                <w:color w:val="auto"/>
              </w:rPr>
              <w:t>Jason Mironov</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37</w:t>
            </w:r>
          </w:p>
        </w:tc>
        <w:tc>
          <w:tcPr>
            <w:tcW w:w="8480" w:type="dxa"/>
            <w:vAlign w:val="bottom"/>
          </w:tcPr>
          <w:p>
            <w:pPr>
              <w:ind w:left="180"/>
              <w:spacing w:after="0"/>
              <w:rPr>
                <w:sz w:val="20"/>
                <w:szCs w:val="20"/>
                <w:color w:val="auto"/>
              </w:rPr>
            </w:pPr>
            <w:r>
              <w:rPr>
                <w:rFonts w:ascii="Arial" w:cs="Arial" w:eastAsia="Arial" w:hAnsi="Arial"/>
                <w:sz w:val="18"/>
                <w:szCs w:val="18"/>
                <w:color w:val="auto"/>
                <w:w w:val="91"/>
              </w:rPr>
              <w:t>Mr. Mironov has served as a member of the board of directors of ZoomInfo Technologies Inc. since February 2020</w:t>
            </w:r>
          </w:p>
        </w:tc>
      </w:tr>
      <w:tr>
        <w:trPr>
          <w:trHeight w:val="230"/>
        </w:trPr>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2014 to June 2020. Mr.</w:t>
            </w:r>
          </w:p>
        </w:tc>
      </w:tr>
    </w:tbl>
    <w:p>
      <w:pPr>
        <w:jc w:val="both"/>
        <w:ind w:left="2940" w:right="20"/>
        <w:spacing w:after="0" w:line="273" w:lineRule="auto"/>
        <w:rPr>
          <w:sz w:val="20"/>
          <w:szCs w:val="20"/>
          <w:color w:val="auto"/>
        </w:rPr>
      </w:pPr>
      <w:r>
        <w:rPr>
          <w:rFonts w:ascii="Arial" w:cs="Arial" w:eastAsia="Arial" w:hAnsi="Arial"/>
          <w:sz w:val="17"/>
          <w:szCs w:val="17"/>
          <w:color w:val="auto"/>
        </w:rPr>
        <w:t>Mironov currently serves as a Managing Director at TA Associates, a private equity firm and an affiliate of the Company, which he joined in 2012. In addition, Mr. Mironov currently serves on the boards of several private companies, including Procare Software, LLC, and Conservice. Mr. Mironov holds a B.B.A. from the University of Michigan Ross School of Business and a MBA from Harvard Business School.</w:t>
      </w:r>
    </w:p>
    <w:p>
      <w:pPr>
        <w:spacing w:after="0" w:line="203" w:lineRule="exact"/>
        <w:rPr>
          <w:sz w:val="20"/>
          <w:szCs w:val="20"/>
          <w:color w:val="auto"/>
        </w:rPr>
      </w:pPr>
    </w:p>
    <w:p>
      <w:pPr>
        <w:jc w:val="both"/>
        <w:ind w:left="2940" w:right="20"/>
        <w:spacing w:after="0" w:line="263" w:lineRule="auto"/>
        <w:rPr>
          <w:sz w:val="20"/>
          <w:szCs w:val="20"/>
          <w:color w:val="auto"/>
        </w:rPr>
      </w:pPr>
      <w:r>
        <w:rPr>
          <w:rFonts w:ascii="Arial" w:cs="Arial" w:eastAsia="Arial" w:hAnsi="Arial"/>
          <w:sz w:val="18"/>
          <w:szCs w:val="18"/>
          <w:color w:val="auto"/>
        </w:rPr>
        <w:t>Nomination considerations: Mr. Mironov’s extensive core business skills, including financial and strategic planning, and his extensive management experience with financial services and technology companies, including his involvement with TA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500" w:type="dxa"/>
            <w:vAlign w:val="bottom"/>
          </w:tcPr>
          <w:p>
            <w:pPr>
              <w:ind w:left="1040"/>
              <w:spacing w:after="0"/>
              <w:rPr>
                <w:sz w:val="20"/>
                <w:szCs w:val="20"/>
                <w:color w:val="auto"/>
              </w:rPr>
            </w:pPr>
            <w:r>
              <w:rPr>
                <w:rFonts w:ascii="Arial" w:cs="Arial" w:eastAsia="Arial" w:hAnsi="Arial"/>
                <w:sz w:val="18"/>
                <w:szCs w:val="18"/>
                <w:b w:val="1"/>
                <w:bCs w:val="1"/>
                <w:color w:val="auto"/>
              </w:rPr>
              <w:t>Class III – Directors whose term expires in 2023</w:t>
            </w:r>
          </w:p>
        </w:tc>
      </w:tr>
      <w:tr>
        <w:trPr>
          <w:trHeight w:val="234"/>
        </w:trPr>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9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Age</w:t>
            </w:r>
          </w:p>
        </w:tc>
        <w:tc>
          <w:tcPr>
            <w:tcW w:w="85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222"/>
        </w:trPr>
        <w:tc>
          <w:tcPr>
            <w:tcW w:w="1760" w:type="dxa"/>
            <w:vAlign w:val="bottom"/>
          </w:tcPr>
          <w:p>
            <w:pPr>
              <w:ind w:left="20"/>
              <w:spacing w:after="0"/>
              <w:rPr>
                <w:sz w:val="20"/>
                <w:szCs w:val="20"/>
                <w:color w:val="auto"/>
              </w:rPr>
            </w:pPr>
            <w:r>
              <w:rPr>
                <w:rFonts w:ascii="Arial" w:cs="Arial" w:eastAsia="Arial" w:hAnsi="Arial"/>
                <w:sz w:val="18"/>
                <w:szCs w:val="18"/>
                <w:color w:val="auto"/>
              </w:rPr>
              <w:t>Todd Crockett</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51</w:t>
            </w:r>
          </w:p>
        </w:tc>
        <w:tc>
          <w:tcPr>
            <w:tcW w:w="8500" w:type="dxa"/>
            <w:vAlign w:val="bottom"/>
          </w:tcPr>
          <w:p>
            <w:pPr>
              <w:ind w:left="180"/>
              <w:spacing w:after="0"/>
              <w:rPr>
                <w:sz w:val="20"/>
                <w:szCs w:val="20"/>
                <w:color w:val="auto"/>
              </w:rPr>
            </w:pPr>
            <w:r>
              <w:rPr>
                <w:rFonts w:ascii="Arial" w:cs="Arial" w:eastAsia="Arial" w:hAnsi="Arial"/>
                <w:sz w:val="18"/>
                <w:szCs w:val="18"/>
                <w:color w:val="auto"/>
                <w:w w:val="90"/>
              </w:rPr>
              <w:t>Mr. Crockett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2014 to June 2020. Mr.</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Crockett currently serves as a Managing Director of TA Associates, a private equity firm and an affiliate of the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Company, which he joined in 1994, and is a member of TA Associates’ Management Committee and Core</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Investment Committee. Mr. Crockett also currently serves on the boards of several private companies, including</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MAO  Corporation,  Orion  Adviser  Solutions,  Procare  Software,  LLC,  Russell  Investments,  and  Wealth</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6"/>
              </w:rPr>
              <w:t>Enhancement Group. Mr. Crockett holds a B.A. from Princeton University and a MBA from Harvard Business</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School.</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Nomination considerations: Mr. Crockett’s extensive core business and leadership skills, including financial and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strategic planning, and his significant management experience, including his involvement with TA Associates.</w:t>
            </w:r>
          </w:p>
        </w:tc>
      </w:tr>
      <w:tr>
        <w:trPr>
          <w:trHeight w:val="499"/>
        </w:trPr>
        <w:tc>
          <w:tcPr>
            <w:tcW w:w="1760" w:type="dxa"/>
            <w:vAlign w:val="bottom"/>
          </w:tcPr>
          <w:p>
            <w:pPr>
              <w:ind w:left="20"/>
              <w:spacing w:after="0"/>
              <w:rPr>
                <w:sz w:val="20"/>
                <w:szCs w:val="20"/>
                <w:color w:val="auto"/>
              </w:rPr>
            </w:pPr>
            <w:r>
              <w:rPr>
                <w:rFonts w:ascii="Arial" w:cs="Arial" w:eastAsia="Arial" w:hAnsi="Arial"/>
                <w:sz w:val="18"/>
                <w:szCs w:val="18"/>
                <w:color w:val="auto"/>
              </w:rPr>
              <w:t>Ashley Evans</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41</w:t>
            </w: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Ms. Evans has served as a member of the board of directors of ZoomInfo Technologies Inc. since February 2020</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7"/>
              </w:rPr>
              <w:t>and served as a member of the Board of Managers of ZoomInfo Holdings LLC from 2018 to June 2020. Ms.</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1"/>
              </w:rPr>
              <w:t>Evans is a Managing Director in the Technology, Media and Telecom group of The Carlyle Group, a private equity</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4"/>
              </w:rPr>
              <w:t>firm and an affiliate of the Company, which she joined in 2006. Ms. Evans also currently serves on the board of</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5"/>
              </w:rPr>
              <w:t>private companies, including HireVue, Inc., Jagex, TriNetX and Veritas Technologies Corporation. Ms. Evans</w:t>
            </w:r>
          </w:p>
        </w:tc>
      </w:tr>
      <w:tr>
        <w:trPr>
          <w:trHeight w:val="216"/>
        </w:trPr>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8"/>
              </w:rPr>
              <w:t>holds an A.B. from Harvard College, a M.Phil from the University of Cambridge, and a MBA from Stanford</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University.</w:t>
            </w:r>
          </w:p>
        </w:tc>
      </w:tr>
      <w:tr>
        <w:trPr>
          <w:trHeight w:val="445"/>
        </w:trPr>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Nomination considerations: Ms. Evans’ significant core business skills, including financial and strategic planning,</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rPr>
              <w:t>and her extensive management experience, including her involvement with Carlyle.</w:t>
            </w:r>
          </w:p>
        </w:tc>
      </w:tr>
      <w:tr>
        <w:trPr>
          <w:trHeight w:val="499"/>
        </w:trPr>
        <w:tc>
          <w:tcPr>
            <w:tcW w:w="1760" w:type="dxa"/>
            <w:vAlign w:val="bottom"/>
          </w:tcPr>
          <w:p>
            <w:pPr>
              <w:ind w:left="20"/>
              <w:spacing w:after="0"/>
              <w:rPr>
                <w:sz w:val="20"/>
                <w:szCs w:val="20"/>
                <w:color w:val="auto"/>
              </w:rPr>
            </w:pPr>
            <w:r>
              <w:rPr>
                <w:rFonts w:ascii="Arial" w:cs="Arial" w:eastAsia="Arial" w:hAnsi="Arial"/>
                <w:sz w:val="18"/>
                <w:szCs w:val="18"/>
                <w:color w:val="auto"/>
              </w:rPr>
              <w:t>D. Randall Winn</w:t>
            </w:r>
          </w:p>
        </w:tc>
        <w:tc>
          <w:tcPr>
            <w:tcW w:w="980" w:type="dxa"/>
            <w:vAlign w:val="bottom"/>
          </w:tcPr>
          <w:p>
            <w:pPr>
              <w:jc w:val="center"/>
              <w:ind w:left="230"/>
              <w:spacing w:after="0"/>
              <w:rPr>
                <w:sz w:val="20"/>
                <w:szCs w:val="20"/>
                <w:color w:val="auto"/>
              </w:rPr>
            </w:pPr>
            <w:r>
              <w:rPr>
                <w:rFonts w:ascii="Arial" w:cs="Arial" w:eastAsia="Arial" w:hAnsi="Arial"/>
                <w:sz w:val="18"/>
                <w:szCs w:val="18"/>
                <w:color w:val="auto"/>
                <w:w w:val="89"/>
              </w:rPr>
              <w:t>51</w:t>
            </w:r>
          </w:p>
        </w:tc>
        <w:tc>
          <w:tcPr>
            <w:tcW w:w="8500" w:type="dxa"/>
            <w:vAlign w:val="bottom"/>
          </w:tcPr>
          <w:p>
            <w:pPr>
              <w:ind w:left="180"/>
              <w:spacing w:after="0"/>
              <w:rPr>
                <w:sz w:val="20"/>
                <w:szCs w:val="20"/>
                <w:color w:val="auto"/>
              </w:rPr>
            </w:pPr>
            <w:r>
              <w:rPr>
                <w:rFonts w:ascii="Arial" w:cs="Arial" w:eastAsia="Arial" w:hAnsi="Arial"/>
                <w:sz w:val="18"/>
                <w:szCs w:val="18"/>
                <w:color w:val="auto"/>
                <w:w w:val="93"/>
              </w:rPr>
              <w:t>Mr. Winn has served as a member of the board of directors of ZoomInfo Technologies Inc. since February 2020</w:t>
            </w:r>
          </w:p>
        </w:tc>
      </w:tr>
      <w:tr>
        <w:trPr>
          <w:trHeight w:val="230"/>
        </w:trPr>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500" w:type="dxa"/>
            <w:vAlign w:val="bottom"/>
          </w:tcPr>
          <w:p>
            <w:pPr>
              <w:ind w:left="180"/>
              <w:spacing w:after="0"/>
              <w:rPr>
                <w:sz w:val="20"/>
                <w:szCs w:val="20"/>
                <w:color w:val="auto"/>
              </w:rPr>
            </w:pPr>
            <w:r>
              <w:rPr>
                <w:rFonts w:ascii="Arial" w:cs="Arial" w:eastAsia="Arial" w:hAnsi="Arial"/>
                <w:sz w:val="18"/>
                <w:szCs w:val="18"/>
                <w:color w:val="auto"/>
                <w:w w:val="92"/>
              </w:rPr>
              <w:t>and served as a member of the Board of Managers of ZoomInfo Holdings LLC from 2014 to June 2020. Mr. Winn</w:t>
            </w:r>
          </w:p>
        </w:tc>
      </w:tr>
    </w:tbl>
    <w:p>
      <w:pPr>
        <w:jc w:val="both"/>
        <w:ind w:left="2920" w:right="20"/>
        <w:spacing w:after="0" w:line="268" w:lineRule="auto"/>
        <w:rPr>
          <w:sz w:val="20"/>
          <w:szCs w:val="20"/>
          <w:color w:val="auto"/>
        </w:rPr>
      </w:pPr>
      <w:r>
        <w:rPr>
          <w:rFonts w:ascii="Arial" w:cs="Arial" w:eastAsia="Arial" w:hAnsi="Arial"/>
          <w:sz w:val="17"/>
          <w:szCs w:val="17"/>
          <w:color w:val="auto"/>
        </w:rPr>
        <w:t>currently serves as a Managing Member of 22C Capital, a principal investment firm and an affiliate of the Company, which he founded in 2017 and also serves as Managing Member of FiveW Capital LLC.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210" w:lineRule="exact"/>
        <w:rPr>
          <w:sz w:val="20"/>
          <w:szCs w:val="20"/>
          <w:color w:val="auto"/>
        </w:rPr>
      </w:pPr>
    </w:p>
    <w:p>
      <w:pPr>
        <w:jc w:val="both"/>
        <w:ind w:left="2920" w:right="20"/>
        <w:spacing w:after="0" w:line="342" w:lineRule="auto"/>
        <w:rPr>
          <w:sz w:val="20"/>
          <w:szCs w:val="20"/>
          <w:color w:val="auto"/>
        </w:rPr>
      </w:pPr>
      <w:r>
        <w:rPr>
          <w:rFonts w:ascii="Arial" w:cs="Arial" w:eastAsia="Arial" w:hAnsi="Arial"/>
          <w:sz w:val="16"/>
          <w:szCs w:val="16"/>
          <w:color w:val="auto"/>
        </w:rPr>
        <w:t>Nomination considerations: Mr. Winn’s deep knowledge of our industry, extensive financial and business skills, including strategic planning, and his significant management and leadership experience, including with CapitalIQ.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AND CERTAIN GOVERNANCE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manages or directs our business and affairs, as provided by Delaware law, and conducts its business through meetings of the Board of Directors and four standing committees: the Audit Committee; the Compensation Committee; the Nominating and Corporate Governance Committee; and the Privacy, Security, and Technology Committee.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evaluates the Company’s corporate governance policies on an ongoing basis with a view towards maintaining the best corporate governance practices in the context of the Company’s current business environment and aligning our governance practices closely with the interests of our stockholders. Our Board and management value the perspective of our stockholders and encourage stockholders to communicate with the Board as described under “―Communications with the Board” below.</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stockholders agreement described under “Transactions with Related Persons—Stockholders Agreement” provides that certain affiliates of investment funds associated with TA Associates (“TA Associates”), investment funds associated with Carlyle (“Carlyle”), and Henry Schuck, our Chief Executive Officer, and Kirk Brown (our “Founders”) have the right to designate nominees to our board of directors subject to the maintenance of certain ownership requirements in us. Ms. Evans and Mr. McCarter are director nominees of Carlyle, Messrs. Crockett and Mironov are director nominees of TA Associates, and Mr. Schuck is a director nominee of the Founders, in each case pursuant to the stockholders agreement entered into among us and certain affiliates of TA Associates, Carlyle, and our Founders in connection with our initial public offering (the “IPO”). The stockholders agreement provides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Independence Determinations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Corporate Governance Guidelines and Nasdaq rules, a director is not independent unless our Board of Directors affirmatively determines that he or she does not have a have a relationship which, in the opinion of our Board of Directors, would interfere with the exercise of independent judgment in carrying out the responsibilities of a director.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Governance Guidelines define independence in accordance with the independence definition in the current Nasdaq corporate governance standards for listed companies. Our Corporate Governance Guidelines require our Board of Directors to review the independence of all directors at least annually, subject to a determination by us to rely on the exemption available to controlled companies and the applicable transition period under the applicable Nasdaq rules.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 director has a relationship with the Company that is relevant to his or her independence and is not addressed by the objective tests set forth in the Nasdaq independence definition, our Board of Directors will determine, considering all relevant facts and circumstances, whether such relationship is material.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has affirmatively determined that each of Ms. Evans and Messrs. Crockett, Dhruv, Enright, Mader, Mironov, McCarter and Winn is independent under the guidelines for director independence set forth in the Corporate Governance Guidelines and under all applicable Nasdaq guidelines, including with respect to committee membership. Our Board also has determined that each of Messrs. Dhruv, Mader and Winn is “independent” for purposes of Section 10A(m)(3) of the Securities Exchange Act of 1934, as amended (the “Exchange Act”), and that each of Messrs. Crockett, McCarter and Winn is “independent” for purposes of Section 10C(a)(3) of the Exchange Act. In making its independence determinations, our Board of Directors considered and reviewed all information known to it (including information identified through annual directors’ questionnaires).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Nominating and Corporate Governance Committee weighs the characteristics, experience, independence and skills of potential candidates for election to the Board and recommends nominees for director to the Board for election. In considering candidates for the Board, the Nominating and Corporate Governance Committee also assesses the size, composition and combined expertise of the Board. As the application of these factors involves the exercise of judgment, the Nominating and Corporate Governance Committee does not have a standard set of fixed qualifications that is applicable to all director candidates, although the Nominating and Corporate Governance Committee does at a minimum assess each candidate’s strength of character, judgment, familiarity with the Company’s business and industry, independence of thought and his or her ability to work collegially with the other members of the Board. In addition, although the Board considers diversity of viewpoints, background and experiences, the Board does not have a formal diversity policy. In identifying prospective director candidates, the Nominating and Corporate Governance Committee may seek referrals from other members of the Board, management, stockholders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utilizes the same criteria for evaluating candidates regardless of the source of the referral. When considering director candidates, the Nominating and Corporate Governance Committee seeks individuals with backgrounds and qualities that, when combined with those of our incumbent directors, provide a blend of skills and experience to further enhance the Board’s effectiveness.</w:t>
      </w:r>
    </w:p>
    <w:p>
      <w:pPr>
        <w:spacing w:after="0" w:line="1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recommending that, or determining whether, members of the Board should stand for re-election, the Nominating and Corporate Governance Committee also may assess the contributions of incumbent directors in the context of the Board evaluation process and other perceived needs of the Board.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process described above, the Nominating and Corporate Governance Committee also nominates a number of individuals designated by TA Associates, Carlyle, and our Founders as required under the provisions of the stockholders agreement described under “Transactions With Related Persons—Stockholders Agreement.” Ms. Evans and Mr. McCarter are director nominees of Carlyle, Messrs. Crockett and Mironov are director nominees of TA Associates, and Mr. Schuck is a director nominee of the Founders pursuant to the stockholders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considering whether the nominees have the experience, qualifications, attributes and skills, taken as a whole, to enable the Board to satisfy its oversight responsibilities effectively in light of our business and structure, the Board focused primarily on the information discussed in each board member’s biographical information set forth above. This process resulted in the Board’s nomination of the incumbent directors named in this Proxy Statement and proposed for election by you at the upcoming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directors provide an appropriate mix of experience and skills relevant to the size and nature of our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Nominating and Corporate Governance Committee and the Board include diversity of “viewpoints, background and experience” as part of several criteria that they consider in connection with selecting candidates for the Board. While neither the Board nor the Nominating and Corporate Governance Committee has a formal diversity policy, one of many factors that the Board and the Nominating and Corporate Governance Committee carefully consider is the importance to the Company of ethnic and gender diversity in board composition. Of the nine current members of our Board, two are diverse, including one who is female and one who is ethnically diverse. Moreover, an ethnically diverse director and a female director each holds a Board leadership role.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but must include all information relating to such person that is required to be disclosed in solicitations of proxies for election of directors in an election contest, or is otherwise required, in each case pursuant to Section 14(a) of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Act, and the rules and regulations promulgated thereunder, including such person’s written consent to being named in the Company’s proxy statement as a nominee of the stockholder and to serving as a director if elected. Stockholders wishing to propose a candidate for consideration may do so by submitting the above information to the attention of the Secretary, ZoomInfo Technologies Inc., at 805 Broadway Street, Suite 900, Vancouver, Washington 98660. All recommendations for nomination received by the Secretary that satisfy our Bylaw requirements relating to director nominations will be presented to the Nominating and Corporate Governance Committee for its consideration. Stockholders also must satisfy the notification, timeliness, consent and information requirements set forth in our Bylaws. These requirements are also described under “Stockholder Proposals for the 2022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Exception</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March 5, 2021, the parties to our stockholders agreement, described in “Certain Relationships and Related Person Transactions—Stockholders Agreement,” beneficially owned approximately 87.1% of the combined voting power of our Class A, Class B, and Class C common stock. As a result, we are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 We have utilized and may continue to utilize these exemptions from time to time in the future. 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is led by Mr. Schuck, our Chairman of the Board and Chief Executive Officer. The Board maintains the flexibility to determine whether the roles of Chairman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 Mr. Schuck, one of our Founders,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Corporate Governance Guidelines provide that whenever the Chairman of our Board is also the Chief Executive Officer or is a director who does not otherwise qualify as an “independent director,” the independent directors may, but are not obligated to, elect from among themselves a Lead Director. The independent directors have not elected a Lead Director at this time.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Executive sessions, which are meetings of the non-management members of the Board, are regularly scheduled throughout the year. In addition, at least once a year, the independent directors meet in a private session that excludes management and any non-independent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our Corporate Governance Guidelines, stockholders and other interested parties who wish to communicate with a member or members of our Board of Directors, including each of the committees of the Board, or with the non-management or independent directors as a group, may do so by addressing such communications or concerns to the General Counsel of the Company, at 805 Broadway Street, Suite 900, Vancouver, Washington 98660, who will forward such communication to the appropriate party.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summarizes the current membership of each of the Board’s committees and the number of meetings held by each committee during the year ended December 31, 2020.</w:t>
      </w:r>
    </w:p>
    <w:tbl>
      <w:tblPr>
        <w:tblLayout w:type="fixed"/>
        <w:tblInd w:w="4200" w:type="dxa"/>
        <w:tblCellMar>
          <w:top w:w="0" w:type="dxa"/>
          <w:left w:w="0" w:type="dxa"/>
          <w:bottom w:w="0" w:type="dxa"/>
          <w:right w:w="0" w:type="dxa"/>
        </w:tblCellMar>
      </w:tblPr>
      <w:tr>
        <w:trPr>
          <w:trHeight w:val="145"/>
        </w:trPr>
        <w:tc>
          <w:tcPr>
            <w:tcW w:w="12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4"/>
              </w:rPr>
              <w:t>Nominating and</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rPr>
              <w:t>Audit</w:t>
            </w:r>
          </w:p>
        </w:tc>
        <w:tc>
          <w:tcPr>
            <w:tcW w:w="19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2"/>
              </w:rPr>
              <w:t>Compensation</w:t>
            </w:r>
          </w:p>
        </w:tc>
        <w:tc>
          <w:tcPr>
            <w:tcW w:w="186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5"/>
              </w:rPr>
              <w:t>Corporate</w:t>
            </w:r>
          </w:p>
        </w:tc>
        <w:tc>
          <w:tcPr>
            <w:tcW w:w="17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Privacy, Security and</w:t>
            </w:r>
          </w:p>
        </w:tc>
        <w:tc>
          <w:tcPr>
            <w:tcW w:w="0" w:type="dxa"/>
            <w:vAlign w:val="bottom"/>
          </w:tcPr>
          <w:p>
            <w:pPr>
              <w:spacing w:after="0"/>
              <w:rPr>
                <w:sz w:val="1"/>
                <w:szCs w:val="1"/>
                <w:color w:val="auto"/>
              </w:rPr>
            </w:pPr>
          </w:p>
        </w:tc>
      </w:tr>
      <w:tr>
        <w:trPr>
          <w:trHeight w:val="135"/>
        </w:trPr>
        <w:tc>
          <w:tcPr>
            <w:tcW w:w="1260" w:type="dxa"/>
            <w:vAlign w:val="bottom"/>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186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w w:val="93"/>
              </w:rPr>
              <w:t>Governance</w:t>
            </w: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260" w:type="dxa"/>
            <w:vAlign w:val="bottom"/>
          </w:tcPr>
          <w:p>
            <w:pPr>
              <w:jc w:val="center"/>
              <w:ind w:right="508"/>
              <w:spacing w:after="0"/>
              <w:rPr>
                <w:sz w:val="20"/>
                <w:szCs w:val="20"/>
                <w:color w:val="auto"/>
              </w:rPr>
            </w:pPr>
            <w:r>
              <w:rPr>
                <w:rFonts w:ascii="Arial" w:cs="Arial" w:eastAsia="Arial" w:hAnsi="Arial"/>
                <w:sz w:val="14"/>
                <w:szCs w:val="14"/>
                <w:b w:val="1"/>
                <w:bCs w:val="1"/>
                <w:color w:val="auto"/>
                <w:w w:val="93"/>
              </w:rPr>
              <w:t>Committee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86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Committee</w:t>
            </w:r>
          </w:p>
        </w:tc>
        <w:tc>
          <w:tcPr>
            <w:tcW w:w="176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Technology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Crockett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Mitesh Dhruv</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Keith Enright</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Ashley Evans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Mader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McCarter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Mironov</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Henry Schuck</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Randall Winn</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Number of meetings held in 2020: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060"/>
        <w:spacing w:after="0"/>
        <w:tabs>
          <w:tab w:leader="none" w:pos="398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74930</wp:posOffset>
            </wp:positionV>
            <wp:extent cx="711517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pacing w:after="0" w:line="16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Chair</w:t>
      </w:r>
    </w:p>
    <w:p>
      <w:pPr>
        <w:spacing w:after="0" w:line="154" w:lineRule="exact"/>
        <w:rPr>
          <w:sz w:val="20"/>
          <w:szCs w:val="20"/>
          <w:color w:val="auto"/>
        </w:rPr>
      </w:pPr>
    </w:p>
    <w:p>
      <w:pPr>
        <w:ind w:left="3860"/>
        <w:spacing w:after="0"/>
        <w:tabs>
          <w:tab w:leader="none" w:pos="590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109220</wp:posOffset>
            </wp:positionV>
            <wp:extent cx="711517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48285"/>
                    </a:xfrm>
                    <a:prstGeom prst="rect">
                      <a:avLst/>
                    </a:prstGeom>
                    <a:noFill/>
                  </pic:spPr>
                </pic:pic>
              </a:graphicData>
            </a:graphic>
          </wp:anchor>
        </w:drawing>
      </w:r>
    </w:p>
    <w:p>
      <w:pPr>
        <w:spacing w:after="0" w:line="165"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Chair</w:t>
      </w:r>
    </w:p>
    <w:p>
      <w:pPr>
        <w:spacing w:after="0" w:line="185" w:lineRule="exact"/>
        <w:rPr>
          <w:sz w:val="20"/>
          <w:szCs w:val="20"/>
          <w:color w:val="auto"/>
        </w:rPr>
      </w:pPr>
    </w:p>
    <w:p>
      <w:pPr>
        <w:ind w:left="160"/>
        <w:spacing w:after="0"/>
        <w:tabs>
          <w:tab w:leader="none" w:pos="2060" w:val="left"/>
          <w:tab w:leader="none" w:pos="4000" w:val="left"/>
          <w:tab w:leader="none" w:pos="59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3"/>
          <w:szCs w:val="13"/>
          <w:color w:val="auto"/>
        </w:rPr>
        <w:t>2</w:t>
      </w:r>
    </w:p>
    <w:p>
      <w:pPr>
        <w:spacing w:after="0" w:line="231" w:lineRule="exact"/>
        <w:rPr>
          <w:sz w:val="20"/>
          <w:szCs w:val="20"/>
          <w:color w:val="auto"/>
        </w:rPr>
      </w:pPr>
    </w:p>
    <w:p>
      <w:pPr>
        <w:sectPr>
          <w:pgSz w:w="11900" w:h="16838" w:orient="portrait"/>
          <w:cols w:equalWidth="0" w:num="2">
            <w:col w:w="3620" w:space="720"/>
            <w:col w:w="6900"/>
          </w:cols>
          <w:pgMar w:left="320" w:top="1440" w:right="339" w:bottom="1440" w:gutter="0" w:footer="0" w:header="0"/>
          <w:type w:val="continuous"/>
        </w:sect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are expected to attend annual meetings of stockholders. During the year ended December 31, 2020, the Board held four meetings. In 2020, all of our directors attended at least 75% of the meetings of the Board and committees during the time in which he or she served as a member of the Board or such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consists of Messrs. Dhruv, Mader and Winn, with Mr. Dhruv serving as chair. All members of the Audit Committee have been determined to be “independent,” consistent with our Audit Committee charter, Corporate Governance Guidelines and the Nasdaq listing standards applicable to boards of directors in general and audit committees in particular. Our Board of Directors also has determined that Mr. Dhruv qualifies as an audit committee financial expert as defined by applicable Securities and Exchange Commission (“SEC”) regulations.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Audit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Highlights: Committee Charters: Audit Committee Charter, and include providing assistance to the Board with respect to its oversight of the following:</w:t>
      </w:r>
    </w:p>
    <w:p>
      <w:pPr>
        <w:spacing w:after="0" w:line="168" w:lineRule="exact"/>
        <w:rPr>
          <w:sz w:val="20"/>
          <w:szCs w:val="20"/>
          <w:color w:val="auto"/>
        </w:rPr>
      </w:pPr>
    </w:p>
    <w:p>
      <w:pPr>
        <w:ind w:left="1060" w:right="26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the Company’s financial statements, including oversight of the Company’s financial reporting processes and financial statement audits;</w:t>
      </w:r>
    </w:p>
    <w:p>
      <w:pPr>
        <w:spacing w:after="0" w:line="53" w:lineRule="exact"/>
        <w:rPr>
          <w:rFonts w:ascii="Arial" w:cs="Arial" w:eastAsia="Arial" w:hAnsi="Arial"/>
          <w:sz w:val="18"/>
          <w:szCs w:val="18"/>
          <w:color w:val="auto"/>
        </w:rPr>
      </w:pPr>
    </w:p>
    <w:p>
      <w:pPr>
        <w:ind w:left="1060" w:right="260" w:hanging="481"/>
        <w:spacing w:after="0" w:line="235"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applicable to financial statements and accounting and financial reporting processes;</w:t>
      </w:r>
    </w:p>
    <w:p>
      <w:pPr>
        <w:spacing w:after="0" w:line="53"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independent registered public accounting firm’s qualifications, performance and independence;</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w:t>
      </w:r>
    </w:p>
    <w:p>
      <w:pPr>
        <w:spacing w:after="0" w:line="76" w:lineRule="exact"/>
        <w:rPr>
          <w:rFonts w:ascii="Arial" w:cs="Arial" w:eastAsia="Arial" w:hAnsi="Arial"/>
          <w:sz w:val="18"/>
          <w:szCs w:val="18"/>
          <w:color w:val="auto"/>
        </w:rPr>
      </w:pPr>
    </w:p>
    <w:p>
      <w:pPr>
        <w:ind w:left="1060" w:hanging="48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assessment and management, particularly with respect to financial risk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also prepares the report of the committee required by the rules and regulations of the SEC to be included in our annual proxy statement.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reporting and disclosure matters, the responsibilities and duties of the Audit Committee include reviewing and discussing with management and the independent registered public accounting firm our annual audited financial statements and quarterly financial statements prior to inclusion in our Annual Report on Form 10-K, Quarterly Reports on Form 10-Q or other public filings in accordance with applicable rules and regulations of the SEC.</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charter of the Audit Committee permits the committee to delegate any or all of its authority to one or more subcommittees. In addition, the Audit Committee has the authority under its charter to engage independent counsel and other advisors as it deems necessary or advisable.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Messrs. Crockett, McCarter and Winn, with Mr. Winn serving as chair. All members of the Compensation Committee have been determined to be “independent” as defined by our Corporate Governance Guidelines and the Nasdaq listing standards applicable to boards of directors in general and compensation committees in particular.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duties and responsibilities of the Compensation Committee are set forth in its charter, which may be found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Governance Highlights: Committee Charters: Compensation Committee Charter, and include the following:</w:t>
      </w:r>
    </w:p>
    <w:p>
      <w:pPr>
        <w:spacing w:after="0" w:line="157" w:lineRule="exact"/>
        <w:rPr>
          <w:sz w:val="20"/>
          <w:szCs w:val="20"/>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reviewing of the overall compensation philosophy of the Company;</w:t>
      </w:r>
    </w:p>
    <w:p>
      <w:pPr>
        <w:spacing w:after="0" w:line="252" w:lineRule="exact"/>
        <w:rPr>
          <w:rFonts w:ascii="Arial" w:cs="Arial" w:eastAsia="Arial" w:hAnsi="Arial"/>
          <w:sz w:val="18"/>
          <w:szCs w:val="18"/>
          <w:color w:val="auto"/>
        </w:rPr>
      </w:pPr>
    </w:p>
    <w:p>
      <w:pPr>
        <w:jc w:val="both"/>
        <w:ind w:left="1100" w:right="220" w:hanging="494"/>
        <w:spacing w:after="0" w:line="219"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108" w:lineRule="exact"/>
        <w:rPr>
          <w:rFonts w:ascii="Arial" w:cs="Arial" w:eastAsia="Arial" w:hAnsi="Arial"/>
          <w:sz w:val="18"/>
          <w:szCs w:val="18"/>
          <w:color w:val="auto"/>
        </w:rPr>
      </w:pPr>
    </w:p>
    <w:p>
      <w:pPr>
        <w:ind w:left="1100" w:right="240" w:hanging="494"/>
        <w:spacing w:after="0" w:line="235" w:lineRule="auto"/>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21" w:lineRule="exact"/>
        <w:rPr>
          <w:rFonts w:ascii="Arial" w:cs="Arial" w:eastAsia="Arial" w:hAnsi="Arial"/>
          <w:sz w:val="18"/>
          <w:szCs w:val="18"/>
          <w:color w:val="auto"/>
        </w:rPr>
      </w:pPr>
    </w:p>
    <w:p>
      <w:pPr>
        <w:ind w:left="1100" w:hanging="494"/>
        <w:spacing w:after="0"/>
        <w:tabs>
          <w:tab w:leader="none" w:pos="11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recommending the compensation of our directors;</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with respect to our equity compensation plans; and</w:t>
      </w:r>
    </w:p>
    <w:p>
      <w:pPr>
        <w:spacing w:after="0" w:line="238" w:lineRule="exact"/>
        <w:rPr>
          <w:rFonts w:ascii="Arial" w:cs="Arial" w:eastAsia="Arial" w:hAnsi="Arial"/>
          <w:sz w:val="18"/>
          <w:szCs w:val="18"/>
          <w:color w:val="auto"/>
        </w:rPr>
      </w:pPr>
    </w:p>
    <w:p>
      <w:pPr>
        <w:ind w:left="1060" w:hanging="481"/>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monitoring our regulatory compliance with respect to compensation matters.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charter of the Compensation Committee permits the committee to delegate any or all of its authority to one or more subcommittees and to delegate to one or more of our officers the authority to make awards to persons other than any Section 16 officer under our incentive compensation or other equity-based plan, subject to compliance with the plan and the laws of our state of incorporation. In addition, the Compensation Committee has the authority under its charter to retain outside consultants or advisors, as it deems necessary or advisable.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IPO, our Compensation Committee has been responsible for making all executive compensation determinations. Mr. Schuck works closely with the Compensation Committee in managing the executive compensation program and attends some meetings of the Compensation Committee. He does not participate in the determination of his own compensation.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2020, the Compensation Committee retained Compensia, Inc. (“Compensia”) to advise the Compensation Committee with respect to executive officer compensation, including executive and non-employee director compensation programs, individual compensation levels, the peer companies used to assess compensation levels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marketplace trends in executive compensation. In addition, Compensia advised the Compensation Committee with respect to our post-IPO equity compensation program design, the design of our potential employee stock purchase plan, severance and change in control terms, and our company-wide equity strategy. Compensia does not provide any services to the Company other than advising on executive officer and non-employee director compensation. In February 2021, the Compensation Committee determined that Compensia is independent from management and that Compensia’s work has not raised any conflicts of interest.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Mr. Crockett and Ms. Evans, with Ms. Evans serving as chair. All members of the Nominating and Corporate Governance Committee have been determined to be “independent” as defined by our Corporate Governance Guidelines and the Nasdaq listing standards applicable to boards of directors in general.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duties and responsibilities of the Nominating and Corporate Governance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Nominating and Corporate Governance Committee Charter, and include providing assistance to the Board with respect to the following:</w:t>
      </w:r>
    </w:p>
    <w:p>
      <w:pPr>
        <w:spacing w:after="0" w:line="130" w:lineRule="exact"/>
        <w:rPr>
          <w:sz w:val="20"/>
          <w:szCs w:val="20"/>
          <w:color w:val="auto"/>
        </w:rPr>
      </w:pPr>
    </w:p>
    <w:p>
      <w:pPr>
        <w:ind w:left="1060" w:right="280" w:hanging="481"/>
        <w:spacing w:after="0" w:line="22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directors, consistent with the criteria approved by the Board, from time to time, and selecting, or recommending that the Board select, the director nominees for the next annual meeting of stockholders or to fill vacancies or newly created directorships that may occur between such meetings;</w:t>
      </w:r>
    </w:p>
    <w:p>
      <w:pPr>
        <w:spacing w:after="0" w:line="230" w:lineRule="exact"/>
        <w:rPr>
          <w:rFonts w:ascii="Arial" w:cs="Arial" w:eastAsia="Arial" w:hAnsi="Arial"/>
          <w:sz w:val="18"/>
          <w:szCs w:val="18"/>
          <w:color w:val="auto"/>
        </w:rPr>
      </w:pPr>
    </w:p>
    <w:p>
      <w:pPr>
        <w:ind w:left="1100" w:right="360" w:hanging="494"/>
        <w:spacing w:after="0" w:line="235"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applicable to the Company and assisting the Board in complying with them;</w:t>
      </w:r>
    </w:p>
    <w:p>
      <w:pPr>
        <w:spacing w:after="0" w:line="107" w:lineRule="exact"/>
        <w:rPr>
          <w:rFonts w:ascii="Arial" w:cs="Arial" w:eastAsia="Arial" w:hAnsi="Arial"/>
          <w:sz w:val="18"/>
          <w:szCs w:val="18"/>
          <w:color w:val="auto"/>
        </w:rPr>
      </w:pPr>
    </w:p>
    <w:p>
      <w:pPr>
        <w:ind w:left="1100" w:hanging="494"/>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overseeing the evaluation of the Board and management;</w:t>
      </w:r>
    </w:p>
    <w:p>
      <w:pPr>
        <w:spacing w:after="0" w:line="144" w:lineRule="exact"/>
        <w:rPr>
          <w:rFonts w:ascii="Arial" w:cs="Arial" w:eastAsia="Arial" w:hAnsi="Arial"/>
          <w:sz w:val="18"/>
          <w:szCs w:val="18"/>
          <w:color w:val="auto"/>
        </w:rPr>
      </w:pPr>
    </w:p>
    <w:p>
      <w:pPr>
        <w:ind w:left="1100" w:right="340" w:hanging="494"/>
        <w:spacing w:after="0" w:line="235"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recommending to the Board the members of the Board to serve on the various committees of the Board and evaluating the functions and performance of such committees; and</w:t>
      </w:r>
    </w:p>
    <w:p>
      <w:pPr>
        <w:spacing w:after="0" w:line="121" w:lineRule="exact"/>
        <w:rPr>
          <w:rFonts w:ascii="Arial" w:cs="Arial" w:eastAsia="Arial" w:hAnsi="Arial"/>
          <w:sz w:val="18"/>
          <w:szCs w:val="18"/>
          <w:color w:val="auto"/>
        </w:rPr>
      </w:pPr>
    </w:p>
    <w:p>
      <w:pPr>
        <w:ind w:left="1100" w:hanging="494"/>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otherwise taking a leadership role in shaping the corporate governance of the Company.</w:t>
      </w:r>
    </w:p>
    <w:p>
      <w:pPr>
        <w:spacing w:after="0" w:line="3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Nominating and Corporate Governance Committee permits the committee to delegate any or all of its authority to one or more subcommittees. In addition, the Nominating and Corporate Governance Committee has the authority under its charter to retain outside counsel or other experts as it deems necessary or advisable.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Security and Technology Committee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Privacy, Security and Technology Committee consists of Ms. Evans and Messrs. Enright, Mironov and Schuck, with Mr. Enright serving as chair. The purpose and responsibilities of the Privacy, Security and Technology Committee are set forth in its charter, which may be found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Governance Highlights: Committee Charters: Privacy, Security and Technology Committee Charter, and include reviewing and discussing with Company management the Company’s major risk exposures relating to privacy, cybersecurity, and technology, and the steps the Company takes to detect, monitor, and actively manage such exposures.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of the Privacy, Security and Technology Committee permits the committee to delegate any or all of its authority to one or more subcommittees consisting of one or more independent members. In addition, the Privacy, Security and Technology Committee has the authority under its charter to retain external consultants and other advisors as it deems appropriate to support its work.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and Corporate Governance Guidelines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21" w:name="page22"/>
    <w:bookmarkEnd w:id="21"/>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appropriate in light of emerging practices, revised accordingly, upon recommendation to and approval by our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Corporate Governance Guidelines, Audit Committee, Compensation Committee, Nominating and Corporate Governance Committee, and Privacy, Security and Technology Committee charters, and other corporate governance information are available on our website at </w:t>
      </w:r>
      <w:r>
        <w:rPr>
          <w:rFonts w:ascii="Arial" w:cs="Arial" w:eastAsia="Arial" w:hAnsi="Arial"/>
          <w:sz w:val="18"/>
          <w:szCs w:val="18"/>
          <w:i w:val="1"/>
          <w:iCs w:val="1"/>
          <w:color w:val="auto"/>
        </w:rPr>
        <w:t>ir.zoominfo.com</w:t>
      </w:r>
      <w:r>
        <w:rPr>
          <w:rFonts w:ascii="Arial" w:cs="Arial" w:eastAsia="Arial" w:hAnsi="Arial"/>
          <w:sz w:val="18"/>
          <w:szCs w:val="18"/>
          <w:color w:val="auto"/>
        </w:rPr>
        <w:t xml:space="preserve"> under Governance. Any stockholder also may request them in print, without charge, by contacting the Secretary of ZoomInfo Technologies Inc., at 805 Broadway Street, Suite 900, Vancouver, Washington 98660.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maintain a Code of Business Conduct and Ethics that is applicable to all of our directors, officers and employees, including our Chairman and Chief Executive Officer, Chief Financial Officer, Chief Accounting Officer and other senior officers. The Code of Business Conduct &amp; Ethics sets forth our policies and expectations on a number of topics, including conflicts of interest, corporate opportunities, confidentiality, compliance with laws (including insider trading laws), use of our assets and business conduct and fair dealing. This Code of Business Conduct and Ethics also satisfies the requirements for a code of ethics, as defined by Item 406 of Regulation S-K promulgated by the SEC. The Code of Business Conduct and Ethics may be found on our website at </w:t>
      </w:r>
      <w:r>
        <w:rPr>
          <w:rFonts w:ascii="Arial" w:cs="Arial" w:eastAsia="Arial" w:hAnsi="Arial"/>
          <w:sz w:val="16"/>
          <w:szCs w:val="16"/>
          <w:i w:val="1"/>
          <w:iCs w:val="1"/>
          <w:color w:val="auto"/>
        </w:rPr>
        <w:t>ir.zoominfo.com</w:t>
      </w:r>
      <w:r>
        <w:rPr>
          <w:rFonts w:ascii="Arial" w:cs="Arial" w:eastAsia="Arial" w:hAnsi="Arial"/>
          <w:sz w:val="16"/>
          <w:szCs w:val="16"/>
          <w:color w:val="auto"/>
        </w:rPr>
        <w:t xml:space="preserve"> under Governance: Governance Highlights: Governance Documents: Code of Business Conduct and Ethics.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disclose within four business days any substantive changes in or waivers of the Code of Business Conduct and Ethics granted to our principal executive officer, principal financial officer, principal accounting officer or controller, or persons performing similar functions, by posting such information on our website as set forth above rather than by filing a Form 8-K. In the case of a waiver for an executive officer or a director, the required disclosure also will be made available on our website within four business days of the date of such waiver.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Risk Management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Securities Trading Policy requires executive officers and directors to consult the Company’s General Counsel prior to engaging in transactions involving the Company’s securities. In order to protect the Company from exposure under insider trading laws, executive officers and directors are encouraged to enter into pre-programmed trading plans under Exchange Act Rule 10b5-1. The Company’s Securities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prohibits directors and employees (including officers) from trading in options, warrants, puts and calls or similar instruments on the Company’s securities or selling such securities short. In addition, directors and employees (including officers) are prohibited from engaging in any transactions (including variable forward contracts, equity swaps, collars and exchange funds) that are designed to hedge or offset any decrease in the market value of the Company’s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Set forth below is certain information regarding each of our current executive officers other than Mr. Schuck, whose biographical information is presented under “Nominees for Election to the Board of Directors in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84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Principal occupation and other information</w:t>
            </w:r>
          </w:p>
        </w:tc>
      </w:tr>
      <w:tr>
        <w:trPr>
          <w:trHeight w:val="169"/>
        </w:trPr>
        <w:tc>
          <w:tcPr>
            <w:tcW w:w="1720" w:type="dxa"/>
            <w:vAlign w:val="bottom"/>
          </w:tcPr>
          <w:p>
            <w:pPr>
              <w:ind w:left="20"/>
              <w:spacing w:after="0" w:line="169" w:lineRule="exact"/>
              <w:rPr>
                <w:sz w:val="20"/>
                <w:szCs w:val="20"/>
                <w:color w:val="auto"/>
              </w:rPr>
            </w:pPr>
            <w:r>
              <w:rPr>
                <w:rFonts w:ascii="Arial" w:cs="Arial" w:eastAsia="Arial" w:hAnsi="Arial"/>
                <w:sz w:val="18"/>
                <w:szCs w:val="18"/>
                <w:color w:val="auto"/>
              </w:rPr>
              <w:t>Cameron Hyzer</w:t>
            </w:r>
          </w:p>
        </w:tc>
        <w:tc>
          <w:tcPr>
            <w:tcW w:w="104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89"/>
              </w:rPr>
              <w:t>46</w:t>
            </w:r>
          </w:p>
        </w:tc>
        <w:tc>
          <w:tcPr>
            <w:tcW w:w="8480" w:type="dxa"/>
            <w:vAlign w:val="bottom"/>
          </w:tcPr>
          <w:p>
            <w:pPr>
              <w:ind w:left="180"/>
              <w:spacing w:after="0" w:line="169" w:lineRule="exact"/>
              <w:rPr>
                <w:sz w:val="20"/>
                <w:szCs w:val="20"/>
                <w:color w:val="auto"/>
              </w:rPr>
            </w:pPr>
            <w:r>
              <w:rPr>
                <w:rFonts w:ascii="Arial" w:cs="Arial" w:eastAsia="Arial" w:hAnsi="Arial"/>
                <w:sz w:val="18"/>
                <w:szCs w:val="18"/>
                <w:color w:val="auto"/>
                <w:w w:val="95"/>
              </w:rPr>
              <w:t>Mr. Hyzer has served as Chief Financial Officer of ZoomInfo Holdings LLC since 2018 and as Chief Financial</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Officer of ZoomInfo Technologies Inc. since its formation in November 2019. Prior to joining ZoomInfo Holdings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LLC, Mr. Hyzer served as the Chief Financial Officer and an Executive Managing Director of Eze Software Group</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LLC, a global provider of order management and investment technology to hedge funds and asset managers, from</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3"/>
              </w:rPr>
              <w:t>2013 to 2018 through its sale to SS&amp;C Technologies, Inc. Prior to that, Mr. Hyzer served as Managing Director,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Controller and Treasurer of ConvergEx Group, a provider of global agency brokerage and investment technology,</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1"/>
              </w:rPr>
              <w:t>from 2007 to 2013 and Vice President of Finance at Eze Castle Software from 2005 to 2007. Earlier in his career,</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9"/>
              </w:rPr>
              <w:t>Mr. Hyzer served in executive and financial roles at other software and information companies, including</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6"/>
              </w:rPr>
              <w:t>Thomson Financial and Cramer Systems, and started his career in investment banking and private equity at</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Broadview International LLC and Broadview Capital Partners, LLC. Mr. Hyzer holds a B.S. in Economics from</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8"/>
              </w:rPr>
              <w:t>the University of Pennsylvania Wharton School and a B.S. in Electrical Engineering from the University of</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Pennsylvania School of Engineering and Applied Science. Mr. Hyzer is also a CFA® charterholder.</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Chris Hays</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50</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0"/>
              </w:rPr>
              <w:t>Mr. Hays has served as our Chief Operating Officer since February 2021. Prior to that, he served as Chief Revenue</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Officer of ZoomInfo Holdings LLC since February 2019 and as Chief Revenue Officer of ZoomInfo Technologies</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Inc. since its formation in November 2019. From 2016 to 2019, Mr. Hays served as Senior Director of Sales &amp;</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Marketing Operations, VP of Sales Operations and Chief Operating Officer of ZoomInfo Holdings LLC. Prior to</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rPr>
              <w:t>joining ZoomInfo OpCo, Mr. Hays co-founded Inside Sales Team, a provider of sales software and lead</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management, in 2008 and served as Head of Revenue Operations from 2008 to 2015. Prior to founding Inside</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Sales Team, Mr. Hays served as Director of Services Revenue at Avaya, a company specializing in business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communications and services, from 2000 to 2008 and as Enterprise Sales representative of Lucent from 1995 to</w:t>
            </w:r>
          </w:p>
        </w:tc>
      </w:tr>
      <w:tr>
        <w:trPr>
          <w:trHeight w:val="229"/>
        </w:trPr>
        <w:tc>
          <w:tcPr>
            <w:tcW w:w="1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2000. Mr. Hays holds a B.A. from the State University of New York Albany.</w:t>
            </w: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Nir Keren</w:t>
            </w:r>
          </w:p>
        </w:tc>
        <w:tc>
          <w:tcPr>
            <w:tcW w:w="1040" w:type="dxa"/>
            <w:vAlign w:val="bottom"/>
          </w:tcPr>
          <w:p>
            <w:pPr>
              <w:jc w:val="center"/>
              <w:ind w:left="290"/>
              <w:spacing w:after="0" w:line="176" w:lineRule="exact"/>
              <w:rPr>
                <w:sz w:val="20"/>
                <w:szCs w:val="20"/>
                <w:color w:val="auto"/>
              </w:rPr>
            </w:pPr>
            <w:r>
              <w:rPr>
                <w:rFonts w:ascii="Arial" w:cs="Arial" w:eastAsia="Arial" w:hAnsi="Arial"/>
                <w:sz w:val="18"/>
                <w:szCs w:val="18"/>
                <w:color w:val="auto"/>
                <w:w w:val="89"/>
              </w:rPr>
              <w:t>35</w:t>
            </w: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2"/>
              </w:rPr>
              <w:t>Mr. Keren has served as Chief Technology Officer of ZoomInfo Technologies Inc. since 2020, ZoomInfo Holdings</w:t>
            </w:r>
          </w:p>
        </w:tc>
      </w:tr>
      <w:tr>
        <w:trPr>
          <w:trHeight w:val="176"/>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7"/>
              </w:rPr>
              <w:t>LLC since 2019, and at Zoom Information Inc. since 2015. Prior to joining Zoom Information Inc., Mr. Keren</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4"/>
              </w:rPr>
              <w:t>founded and served as Chief Technology Officer of adSAP, a company specializing in algorithms for Ad Tech,</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7"/>
              </w:rPr>
              <w:t>from 2015 to 2016. Prior to founding adSAP, Mr. Keren founded and served as Chief Technology Officer of</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rPr>
              <w:t>ONDiGO, a modern-day mobile CRM, from 2012 to 2015. Prior to founding ONDiGO, Mr. Keren was an</w:t>
            </w:r>
          </w:p>
        </w:tc>
      </w:tr>
      <w:tr>
        <w:trPr>
          <w:trHeight w:val="175"/>
        </w:trPr>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80" w:type="dxa"/>
            <w:vAlign w:val="bottom"/>
          </w:tcPr>
          <w:p>
            <w:pPr>
              <w:ind w:left="180"/>
              <w:spacing w:after="0" w:line="176" w:lineRule="exact"/>
              <w:rPr>
                <w:sz w:val="20"/>
                <w:szCs w:val="20"/>
                <w:color w:val="auto"/>
              </w:rPr>
            </w:pPr>
            <w:r>
              <w:rPr>
                <w:rFonts w:ascii="Arial" w:cs="Arial" w:eastAsia="Arial" w:hAnsi="Arial"/>
                <w:sz w:val="18"/>
                <w:szCs w:val="18"/>
                <w:color w:val="auto"/>
                <w:w w:val="95"/>
              </w:rPr>
              <w:t>embedded software engineer for Ceragon Networks in Tel Aviv from 2010 to 2012. Mr. Keren holds a B.Sc. in</w:t>
            </w:r>
          </w:p>
        </w:tc>
      </w:tr>
      <w:tr>
        <w:trPr>
          <w:trHeight w:val="230"/>
        </w:trPr>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80" w:type="dxa"/>
            <w:vAlign w:val="bottom"/>
          </w:tcPr>
          <w:p>
            <w:pPr>
              <w:ind w:left="180"/>
              <w:spacing w:after="0"/>
              <w:rPr>
                <w:sz w:val="20"/>
                <w:szCs w:val="20"/>
                <w:color w:val="auto"/>
              </w:rPr>
            </w:pPr>
            <w:r>
              <w:rPr>
                <w:rFonts w:ascii="Arial" w:cs="Arial" w:eastAsia="Arial" w:hAnsi="Arial"/>
                <w:sz w:val="18"/>
                <w:szCs w:val="18"/>
                <w:color w:val="auto"/>
              </w:rPr>
              <w:t>Electrical and Computer Engineering from Ben-Gurion University.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PROPOSAL NO. 2—RATIFICATION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has appointed KPMG LLP to serve as our independent registered public accounting firm for 2021.</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ratification is not required by our Bylaws or otherwise, the Board is submitting the selection of KPMG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representative of KPMG LLP is expected to attend the Annual Meeting. The representative will also have the opportunity to make a statement if he or she desires to do so, and the representative is expected to be available to respond to appropriate questions.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shares represented by your proxy will be voted “FOR” the ratification of the selection of KPMG LLP unless you specify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the audit of the 2020 financial statements, we entered into an agreement with KPMG LLP which sets forth the terms by which KPMG LLP will perform audit services for the Company.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fees for professional services rendered by our independent registered public accounting firm, KPMG LLP for the audits of our annual consolidated financial statements for the years ended December 31, 2020 and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gridSpan w:val="2"/>
          </w:tcPr>
          <w:p>
            <w:pPr>
              <w:ind w:left="7560"/>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tcPr>
          <w:p>
            <w:pPr>
              <w:jc w:val="right"/>
              <w:ind w:right="913"/>
              <w:spacing w:after="0"/>
              <w:rPr>
                <w:sz w:val="20"/>
                <w:szCs w:val="20"/>
                <w:color w:val="auto"/>
              </w:rPr>
            </w:pPr>
            <w:r>
              <w:rPr>
                <w:rFonts w:ascii="Arial" w:cs="Arial" w:eastAsia="Arial" w:hAnsi="Arial"/>
                <w:sz w:val="14"/>
                <w:szCs w:val="14"/>
                <w:b w:val="1"/>
                <w:bCs w:val="1"/>
                <w:color w:val="auto"/>
              </w:rPr>
              <w:t>2019</w:t>
            </w:r>
          </w:p>
        </w:tc>
      </w:tr>
      <w:tr>
        <w:trPr>
          <w:trHeight w:val="256"/>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14"/>
                <w:szCs w:val="14"/>
                <w:color w:val="auto"/>
              </w:rPr>
              <w:t>(1)</w:t>
            </w:r>
          </w:p>
        </w:tc>
        <w:tc>
          <w:tcPr>
            <w:tcW w:w="13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$1,129,944</w:t>
            </w:r>
          </w:p>
        </w:tc>
        <w:tc>
          <w:tcPr>
            <w:tcW w:w="80" w:type="dxa"/>
            <w:vAlign w:val="bottom"/>
            <w:tcBorders>
              <w:top w:val="single" w:sz="8" w:color="CCEEFF"/>
            </w:tcBorders>
            <w:shd w:val="clear" w:color="auto" w:fill="CCEEFF"/>
          </w:tcPr>
          <w:p>
            <w:pPr>
              <w:spacing w:after="0"/>
              <w:rPr>
                <w:sz w:val="22"/>
                <w:szCs w:val="22"/>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$231,206</w:t>
            </w:r>
          </w:p>
        </w:tc>
      </w:tr>
      <w:tr>
        <w:trPr>
          <w:trHeight w:val="230"/>
        </w:trPr>
        <w:tc>
          <w:tcPr>
            <w:tcW w:w="7940" w:type="dxa"/>
            <w:vAlign w:val="bottom"/>
            <w:gridSpan w:val="2"/>
          </w:tcPr>
          <w:p>
            <w:pPr>
              <w:ind w:left="20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4"/>
                <w:szCs w:val="14"/>
                <w:color w:val="auto"/>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$1,929,105</w:t>
            </w:r>
          </w:p>
        </w:tc>
        <w:tc>
          <w:tcPr>
            <w:tcW w:w="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14"/>
                <w:szCs w:val="14"/>
                <w:color w:val="auto"/>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$2,513,924</w:t>
            </w:r>
          </w:p>
        </w:tc>
        <w:tc>
          <w:tcPr>
            <w:tcW w:w="80" w:type="dxa"/>
            <w:vAlign w:val="bottom"/>
            <w:shd w:val="clear" w:color="auto" w:fill="CCEEFF"/>
          </w:tcPr>
          <w:p>
            <w:pPr>
              <w:spacing w:after="0"/>
              <w:rPr>
                <w:sz w:val="23"/>
                <w:szCs w:val="23"/>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$133,065</w:t>
            </w:r>
          </w:p>
        </w:tc>
      </w:tr>
      <w:tr>
        <w:trPr>
          <w:trHeight w:val="230"/>
        </w:trPr>
        <w:tc>
          <w:tcPr>
            <w:tcW w:w="7940" w:type="dxa"/>
            <w:vAlign w:val="bottom"/>
            <w:gridSpan w:val="2"/>
          </w:tcPr>
          <w:p>
            <w:pPr>
              <w:ind w:left="200"/>
              <w:spacing w:after="0"/>
              <w:rPr>
                <w:sz w:val="20"/>
                <w:szCs w:val="20"/>
                <w:color w:val="auto"/>
              </w:rPr>
            </w:pPr>
            <w:r>
              <w:rPr>
                <w:rFonts w:ascii="Arial" w:cs="Arial" w:eastAsia="Arial" w:hAnsi="Arial"/>
                <w:sz w:val="18"/>
                <w:szCs w:val="18"/>
                <w:color w:val="auto"/>
              </w:rPr>
              <w:t>All other fees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$5,572,973</w:t>
            </w:r>
          </w:p>
        </w:tc>
        <w:tc>
          <w:tcPr>
            <w:tcW w:w="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986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440" w:right="260" w:hanging="414"/>
        <w:spacing w:after="0" w:line="22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the audit of the Company’s annual financial statements, reviews of financial statements, comfort letters and other services related to SEC matters. The fees are for services that are normally provided in connection with statutory or regulatory filings or engagements.</w:t>
      </w:r>
    </w:p>
    <w:p>
      <w:pPr>
        <w:spacing w:after="0" w:line="1" w:lineRule="exact"/>
        <w:rPr>
          <w:rFonts w:ascii="Arial" w:cs="Arial" w:eastAsia="Arial" w:hAnsi="Arial"/>
          <w:sz w:val="15"/>
          <w:szCs w:val="15"/>
          <w:color w:val="auto"/>
        </w:rPr>
      </w:pPr>
    </w:p>
    <w:p>
      <w:pPr>
        <w:ind w:left="440" w:right="540" w:hanging="414"/>
        <w:spacing w:after="0" w:line="23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fees billed in 2020 for services performed that are related to the Company’s SEC filings (including costs relating to preparation of the Company’s registration statement filings) and other research and consultation services.</w:t>
      </w:r>
    </w:p>
    <w:p>
      <w:pPr>
        <w:spacing w:after="0" w:line="1" w:lineRule="exact"/>
        <w:rPr>
          <w:rFonts w:ascii="Arial" w:cs="Arial" w:eastAsia="Arial" w:hAnsi="Arial"/>
          <w:sz w:val="15"/>
          <w:szCs w:val="15"/>
          <w:color w:val="auto"/>
        </w:rPr>
      </w:pPr>
    </w:p>
    <w:p>
      <w:pPr>
        <w:ind w:left="440" w:right="260" w:hanging="414"/>
        <w:spacing w:after="0" w:line="234" w:lineRule="auto"/>
        <w:tabs>
          <w:tab w:leader="none" w:pos="4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the aggregate fees recognized in each of the last two fiscal years for professional services rendered for tax compliance, tax advice and tax planning.</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services shown in this table for 2020 were pre-approved by the Audit Committee. All of the services shown in this table for 2019 were pre-approved by the Audit Committee of the Board of Managers of ZoomInfo Holdings LLC. Each Audit Committee considered whether providing the non-audit services shown in this table was compatible with maintaining KPMG LLP’s independence and concluded that it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for Services of Independent Registered Public Accounting Firm</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has established procedures relating to the approval of all audit and non-audit services that are to be performed by our independent registered public accounting firm and pre-approves all audit and permitted non-audit services provided by any independent registered public accounting firm prior to each engagement.</w:t>
      </w:r>
    </w:p>
    <w:p>
      <w:pPr>
        <w:spacing w:after="0" w:line="40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KPMG LLP AS OUR INDEPENDENT REGISTERED PUBLIC ACCOUNTING FIRM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2020 filed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Mitesh Dhruv,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Mader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Randall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qualify as an “emerging growth company” under the Jumpstart Our Business Startups Act of 2012. As a result, we are permitted to and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stockholders for advisory votes, such as “say-on-pay” and “say-on-frequency” of say-on-pay votes.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remain an emerging growth company until the earliest to occur of: (i) December 31, 2025; (ii) the last day of the fiscal year during which our annual gross revenues are $1.07 billion or more; (iii) the date on which we have, during the previous three-year period, issued more than $1.0 billion in non-convertible debt securities; or (iv) the end of any fiscal year in which we become a “large accelerated filer,” which means that we have been public for at least 12 months, have filed at least one annual report and the market value of our voting and non-voting common equity held by non-affiliates exceeds $700 million as of the last day of our most recently completed second fiscal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or paid to each of our Chief Executive Officer, Henry Schuck; our Chief Operating Officer, Chris Hays; and our Chief Technology Officer, Nir Keren, whom we refer to as our “Named Executive Officers” or “NEOs”, for their service for the fiscal years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Non-Equity Incentive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9"/>
        </w:trPr>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Stock Awards</w:t>
            </w:r>
          </w:p>
        </w:tc>
        <w:tc>
          <w:tcPr>
            <w:tcW w:w="15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1"/>
              </w:rPr>
              <w:t>Plan Compensation</w:t>
            </w:r>
          </w:p>
        </w:tc>
        <w:tc>
          <w:tcPr>
            <w:tcW w:w="148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98"/>
              </w:rPr>
              <w:t>All Other</w:t>
            </w:r>
          </w:p>
        </w:tc>
        <w:tc>
          <w:tcPr>
            <w:tcW w:w="1040" w:type="dxa"/>
            <w:vAlign w:val="bottom"/>
          </w:tcPr>
          <w:p>
            <w:pPr>
              <w:spacing w:after="0"/>
              <w:rPr>
                <w:sz w:val="13"/>
                <w:szCs w:val="13"/>
                <w:color w:val="auto"/>
              </w:rPr>
            </w:pPr>
          </w:p>
        </w:tc>
      </w:tr>
      <w:tr>
        <w:trPr>
          <w:trHeight w:val="242"/>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21"/>
                <w:szCs w:val="21"/>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Salary ($)</w:t>
            </w:r>
            <w:r>
              <w:rPr>
                <w:rFonts w:ascii="Arial" w:cs="Arial" w:eastAsia="Arial" w:hAnsi="Arial"/>
                <w:sz w:val="18"/>
                <w:szCs w:val="18"/>
                <w:b w:val="1"/>
                <w:bCs w:val="1"/>
                <w:color w:val="auto"/>
                <w:w w:val="92"/>
                <w:vertAlign w:val="superscript"/>
              </w:rPr>
              <w:t>(1)</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(2)</w:t>
            </w:r>
          </w:p>
        </w:tc>
        <w:tc>
          <w:tcPr>
            <w:tcW w:w="1060" w:type="dxa"/>
            <w:vAlign w:val="bottom"/>
          </w:tcPr>
          <w:p>
            <w:pPr>
              <w:jc w:val="center"/>
              <w:spacing w:after="0" w:line="242" w:lineRule="exact"/>
              <w:rPr>
                <w:sz w:val="20"/>
                <w:szCs w:val="20"/>
                <w:color w:val="auto"/>
              </w:rPr>
            </w:pPr>
            <w:r>
              <w:rPr>
                <w:rFonts w:ascii="Arial" w:cs="Arial" w:eastAsia="Arial" w:hAnsi="Arial"/>
                <w:sz w:val="28"/>
                <w:szCs w:val="28"/>
                <w:b w:val="1"/>
                <w:bCs w:val="1"/>
                <w:color w:val="auto"/>
                <w:w w:val="82"/>
                <w:vertAlign w:val="subscript"/>
              </w:rPr>
              <w:t>($)</w:t>
            </w:r>
            <w:r>
              <w:rPr>
                <w:rFonts w:ascii="Arial" w:cs="Arial" w:eastAsia="Arial" w:hAnsi="Arial"/>
                <w:sz w:val="9"/>
                <w:szCs w:val="9"/>
                <w:b w:val="1"/>
                <w:bCs w:val="1"/>
                <w:color w:val="auto"/>
                <w:w w:val="82"/>
              </w:rPr>
              <w:t xml:space="preserve"> (3)</w:t>
            </w:r>
          </w:p>
        </w:tc>
        <w:tc>
          <w:tcPr>
            <w:tcW w:w="80" w:type="dxa"/>
            <w:vAlign w:val="bottom"/>
          </w:tcPr>
          <w:p>
            <w:pPr>
              <w:spacing w:after="0"/>
              <w:rPr>
                <w:sz w:val="21"/>
                <w:szCs w:val="21"/>
                <w:color w:val="auto"/>
              </w:rPr>
            </w:pPr>
          </w:p>
        </w:tc>
        <w:tc>
          <w:tcPr>
            <w:tcW w:w="1400" w:type="dxa"/>
            <w:vAlign w:val="bottom"/>
          </w:tcPr>
          <w:p>
            <w:pPr>
              <w:jc w:val="center"/>
              <w:spacing w:after="0" w:line="242" w:lineRule="exact"/>
              <w:rPr>
                <w:sz w:val="20"/>
                <w:szCs w:val="20"/>
                <w:color w:val="auto"/>
              </w:rPr>
            </w:pPr>
            <w:r>
              <w:rPr>
                <w:rFonts w:ascii="Arial" w:cs="Arial" w:eastAsia="Arial" w:hAnsi="Arial"/>
                <w:sz w:val="28"/>
                <w:szCs w:val="28"/>
                <w:b w:val="1"/>
                <w:bCs w:val="1"/>
                <w:color w:val="auto"/>
                <w:w w:val="82"/>
                <w:vertAlign w:val="subscript"/>
              </w:rPr>
              <w:t>($)</w:t>
            </w:r>
            <w:r>
              <w:rPr>
                <w:rFonts w:ascii="Arial" w:cs="Arial" w:eastAsia="Arial" w:hAnsi="Arial"/>
                <w:sz w:val="9"/>
                <w:szCs w:val="9"/>
                <w:b w:val="1"/>
                <w:bCs w:val="1"/>
                <w:color w:val="auto"/>
                <w:w w:val="82"/>
              </w:rPr>
              <w:t>(4)</w:t>
            </w:r>
          </w:p>
        </w:tc>
        <w:tc>
          <w:tcPr>
            <w:tcW w:w="1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18"/>
                <w:szCs w:val="18"/>
                <w:b w:val="1"/>
                <w:bCs w:val="1"/>
                <w:color w:val="auto"/>
                <w:w w:val="90"/>
                <w:vertAlign w:val="superscript"/>
              </w:rPr>
              <w:t>(5)</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Total ($)</w:t>
            </w:r>
          </w:p>
        </w:tc>
      </w:tr>
      <w:tr>
        <w:trPr>
          <w:trHeight w:val="191"/>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Henry Schuck</w:t>
            </w: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23"/>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474,832</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3,765,600</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603,500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9,750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4,853,682</w:t>
            </w:r>
          </w:p>
        </w:tc>
      </w:tr>
      <w:tr>
        <w:trPr>
          <w:trHeight w:val="201"/>
        </w:trPr>
        <w:tc>
          <w:tcPr>
            <w:tcW w:w="2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371,539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350,000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3,780,583</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65,880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4,568,002</w:t>
            </w:r>
          </w:p>
        </w:tc>
      </w:tr>
      <w:tr>
        <w:trPr>
          <w:trHeight w:val="224"/>
        </w:trPr>
        <w:tc>
          <w:tcPr>
            <w:tcW w:w="2780" w:type="dxa"/>
            <w:vAlign w:val="bottom"/>
          </w:tcPr>
          <w:p>
            <w:pPr>
              <w:ind w:left="20"/>
              <w:spacing w:after="0"/>
              <w:rPr>
                <w:sz w:val="20"/>
                <w:szCs w:val="20"/>
                <w:color w:val="auto"/>
              </w:rPr>
            </w:pPr>
            <w:r>
              <w:rPr>
                <w:rFonts w:ascii="Arial" w:cs="Arial" w:eastAsia="Arial" w:hAnsi="Arial"/>
                <w:sz w:val="14"/>
                <w:szCs w:val="14"/>
                <w:color w:val="auto"/>
              </w:rPr>
              <w:t>Chris Hays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2780" w:type="dxa"/>
            <w:vAlign w:val="bottom"/>
          </w:tcPr>
          <w:p>
            <w:pPr>
              <w:ind w:left="180"/>
              <w:spacing w:after="0"/>
              <w:rPr>
                <w:sz w:val="20"/>
                <w:szCs w:val="20"/>
                <w:color w:val="auto"/>
              </w:rPr>
            </w:pPr>
            <w:r>
              <w:rPr>
                <w:rFonts w:ascii="Arial" w:cs="Arial" w:eastAsia="Arial" w:hAnsi="Arial"/>
                <w:sz w:val="14"/>
                <w:szCs w:val="14"/>
                <w:i w:val="1"/>
                <w:iCs w:val="1"/>
                <w:color w:val="auto"/>
              </w:rPr>
              <w:t>Chief Operating Officer</w:t>
            </w: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366,923</w:t>
            </w:r>
          </w:p>
        </w:tc>
        <w:tc>
          <w:tcPr>
            <w:tcW w:w="1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1,766,190</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1,000,000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6"/>
              </w:rPr>
              <w:t>9,175</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3,142,288</w:t>
            </w:r>
          </w:p>
        </w:tc>
      </w:tr>
      <w:tr>
        <w:trPr>
          <w:trHeight w:val="195"/>
        </w:trPr>
        <w:tc>
          <w:tcPr>
            <w:tcW w:w="2780" w:type="dxa"/>
            <w:vAlign w:val="bottom"/>
          </w:tcPr>
          <w:p>
            <w:pPr>
              <w:spacing w:after="0"/>
              <w:rPr>
                <w:sz w:val="16"/>
                <w:szCs w:val="16"/>
                <w:color w:val="auto"/>
              </w:rPr>
            </w:pPr>
          </w:p>
        </w:tc>
        <w:tc>
          <w:tcPr>
            <w:tcW w:w="680" w:type="dxa"/>
            <w:vAlign w:val="bottom"/>
            <w:gridSpan w:val="2"/>
          </w:tcPr>
          <w:p>
            <w:pPr>
              <w:ind w:left="240"/>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362,901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4"/>
              </w:rPr>
              <w:t>112,500</w:t>
            </w:r>
          </w:p>
        </w:tc>
        <w:tc>
          <w:tcPr>
            <w:tcW w:w="1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3,958,003</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1,000,000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6"/>
              </w:rPr>
              <w:t>1,973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5,435,377</w:t>
            </w: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Nir Keren</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5"/>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Chief Technology Officer</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365,932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100,000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4,000,017</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224,973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135,593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4,826,515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w:t>
      </w:r>
    </w:p>
    <w:p>
      <w:pPr>
        <w:spacing w:after="0" w:line="6"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amount reported in this column for fiscal 2020 for Mr. Keren represents the portion of the retention bonus to which he was entitled under his offer letter that was earned as of February 1, 2020. For a description of the terms of Mr. Keren’s Offer Letter, see “—Narrative Disclosure to Summary Compensation Table—Employment Agreements and Offer Letter.”</w:t>
      </w:r>
    </w:p>
    <w:p>
      <w:pPr>
        <w:jc w:val="both"/>
        <w:ind w:left="340" w:hanging="332"/>
        <w:spacing w:after="0" w:line="260"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stock awards granted, computed in accordance with Financial Accounting Standards Board Accounting Standards Codification Topic 718, Compensation—Stock Compensation (“Topic 718”), without taking into account estimated forfeitures. The fiscal 2020 stock awards consist of grants of time-vesting Class P Units, LTIP Units and restricted stock units issued under the ZoomInfo Technologies Inc. 2020 Omnibus Incentive Plan (the “2020 Omnibus Incentive Plan”). Terms of the fiscal 2020 stock awards are summarized in the “Narrative Disclosure to Summary Compensation Table” below. The assumptions made when calculating the amounts are found in Note 16: “Equity-based Compensation” to our audited consolidated financial statements included in Part II, Item 8 of our Annual Report on Form 10-K for the fiscal year ended December 31, 2020.</w:t>
      </w:r>
    </w:p>
    <w:p>
      <w:pPr>
        <w:ind w:left="340" w:right="20" w:hanging="332"/>
        <w:spacing w:after="0" w:line="241"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in this column for fiscal 2020 include cash incentive bonuses earned by our NEOs in 2020. See “—Narrative Disclosure to Summary Compensation Table—Non-Equity Incentive Plan Compensation” below.</w:t>
      </w:r>
    </w:p>
    <w:p>
      <w:pPr>
        <w:ind w:left="340" w:hanging="332"/>
        <w:spacing w:after="0" w:line="255" w:lineRule="auto"/>
        <w:tabs>
          <w:tab w:leader="none" w:pos="33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amounts reported for 2020 represent our 401(k) Plan (as defined below) matching contributions on behalf of Messrs. Schuck and Hays in the following amounts: Mr. Schuck, $9,750; and Mr. Hays, $9,175. The amount reported for 2020 for Mr. Keren includes, a 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7" w:name="page28"/>
    <w:bookmarkEnd w:id="27"/>
    <w:p>
      <w:pPr>
        <w:jc w:val="both"/>
        <w:ind w:left="340"/>
        <w:spacing w:after="0" w:line="249" w:lineRule="auto"/>
        <w:rPr>
          <w:sz w:val="20"/>
          <w:szCs w:val="20"/>
          <w:color w:val="auto"/>
        </w:rPr>
      </w:pPr>
      <w:r>
        <w:rPr>
          <w:rFonts w:ascii="Arial" w:cs="Arial" w:eastAsia="Arial" w:hAnsi="Arial"/>
          <w:sz w:val="14"/>
          <w:szCs w:val="14"/>
          <w:color w:val="auto"/>
        </w:rPr>
        <w:t>allowance of $45,003, the aggregate incremental cost to the Company of company-provided meals and gifts, $413 in tax gross-up payments in respect of perquisites, $44,172 in disability insurance benefits, contributions to pension and severance funds, commuting allowance and recreation pay as required under Israeli law, an additional $19,557 contribution of pension amounts for Mr. Keren above the amounts required under Israeli law and a $24,703 contribution to Mr. Keren’s study fund. These amounts were payable in New Israeli Shekels and translated to U.S. dollars at the average monthly USD to NIS exchange rate for 2020 of $1.00 = NIS 3.4424 For a description of our 401(k) Plan, see “—Narrative Disclosure to Summary Compensation Table—Other Compensation—Retirement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and Offer Letter</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entered into an employment agreement with each of Mr. Schuck and Mr. Hays and an offer letter agreement with Mr. Keren, in each case, that governs the terms of employment of each such named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IPO, we entered into an employment agreement with Mr. Schuck, pursuant to which he continues to serve as the Chief Executive Officer of the Company and Chairman of our board of directors. Mr. Schuck’s employment agreement, effective as of the date of the IPO,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the IPO, and (iv) mutual non-disparagement for the longest period legally enforceable.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Schuck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entered into a new employment agreement with Mr. Hays on August 10, 2020, superseding his prior employment agreement, pursuant to which he continues to serve as the Chief Operating Officer of the Company.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Mr. Hays’ employment agreement provides that he is entitled to a base salary of $360,000. Mr. Hays is eligible for an annual cash incentive bonus, with a target bonus amount of $200,000 and a maximum bonus amount of $1 million based upon the achievement of specific performance for such fiscal year, as approved by the Compensation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Mr. Hays is also entitled to participate in all employment benefit plans, practices, and programs available for the benefit of senior executives of the Company generally. Additionally, Mr. Hays’ employment agreement provides for reimbursement for reasonable out-of-pocket expenses incurred by him in the furtherance of the Company’s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Hays’ employment may be terminated at any time and for any reason by either the Company or Mr. Hays, provided that either party is required to give 30 days’ advance written notice of any termination of employment (provided that the Company is entitled to pay the executive base salary payments in lieu of such notice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Hays is subject to the following restrictive covenants: (i) confidentiality during employment and for three years following termination; (ii) non-solicitation of customers and non-solicitation of employees for 24 months following termination; (iii) if enforceable under applicable law, non-competition during employment and until the later of 12 months following the termination date and 24 months following the effective date of the IPO; and (iv) mutual non-disparagement for the longest period legally enforceable.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Hays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offer letter agreement with Mr. Keren on February 1, 2019, pursuant to which he serves as our Chief Technology Officer. Mr. Keren is entitled to an annual salary of $350,000. In addition, he is entitled to a one-time bonus of $100,000 after one year of service commencing February 1, 2019, and an additional one-time bonus of $100,000 after two years of service. He is also eligible to receive an annual performance bonus based upon successful completion of measurable business objectives.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“—Termination and Change in Control Provisions” for a description of the severance benefits to which Mr. Keren is entitled in the event of a qualifying termination of his employment.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make incentive cash bonus opportunities available to our NEOs to motivate their achievement of performance goals and tie a portion of their cash compensation to performance.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2020, pursuant to the terms of his employment agreement, Mr. Schuck was eligible to receive a target cash incentive bonus of $425,000 based upon our achievement of specified targets for net new annual recurring revenue (“ARR”) and adjusted operating income targets, with a 50% weighting given to each performance metric. Mr. Schuck’s payout could range ratably from 0% of target up to a maximum of 200% of target depending on our performance with respect to these metrics. Based on the Company’s performance during 2020, which exceeded the performance targets, Mr. Schuck earned a cash incentive bonus of $603,500.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pursuant to the terms of his employment agreement, Mr. Hays was eligible to receive a target cash incentive bonus of $200,000 and a maximum cash incentive bonus of $1 million. Mr. Hays was eligible to earn up to $200,000 based upon his achievement of certain individual performance objectives relating to the development of our sales organization and customer revenue and growth. He was eligible to earn up to an additional $800,000 based upon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21"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achievement of specified targets for net new ARR. Based on the Company’s and his individual performance during 2020, Mr. Hays received the maximum potential amount and earned a cash incentive bonus of $1,000,000.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2020, Mr. Keren was eligible to receive a cash incentive bonus in a target amount of $163,260. 80% of his bonus opportunity was based upon our achievement of specified targets for net new ARR and adjusted operating income targets, with a 50% weighting given to each performance metric. The other 20% was based on his achievement of individual performance objectives relating to the increase in annual contract values with respect to certain new products. Mr. Keren’s payout could range ratably from 0% of target up to a maximum of 200% of target depending on performance. Based on the Company’s and his individual performance during 2020, Mr. Keren earned a cash incentive bonus of $224,973.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Awards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and in order to incentivize their future performance and retention, we made grants to Messrs. Schuck and Hays of Class P Units in ZoomInfo OpCo, to Mr. Hays of LTIP Units in ZoomInfo OpCo and to Mr. Keren of Restricted Stock Units (“RSUs”) covering shares of our Class A common stock.</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Class P Units are “profits interests” having economic characteristics similar to a stock right and have the right to share in any increase in the equity value of ZoomInfo OpCo above a certain participation threshold (i.e., the distribution threshold). Vested Class P units are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Each vested LTIP Unit will be automatically converted into Class A Common Units of ZoomInfo OpCo. which are then exchangeable for shares of our Class A common stock on a one-for-one basis at the discretion of the holder, subject to exchange rate adjustments for stock splits, stock dividends, and reclassifications.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Class P Unit, LTIP Unit and RSU grants to our named executive officers in connection with the IPO were in the following amounts and with the following vesting terms: (i) Mr. Schuck received 450,000 Class P Units vesting in three equal installments on each of the second, third and fourth anniversaries of the grant date; (ii) Mr. Hays received 90,000 Class P Units and 47,620 LTIP Units, each vesting in three equal installments on the dates that are two and a half, three and a half, and four and a half years following the grant date; and (iii) Mr. Keren received 190,477 RSUs of which one-third will vest on June 3, 2021 and the remaining two thirds will vest in equal quarterly installments over the 24 months following June 3, 2021. Each of the Class P Unit agreements for named executive officers provides for a participation threshold (i.e., strike price) equal to the initial public offering price per share in the IPO.</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vesting terms with respect to outstanding Class P Units, LTIP Units and RSUs in the event of a change in control or certain terminations of employment, see “―Termination and Change in Control Provisions―Equity Awards” below.</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Perquisites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Executive perquisites are not part of our general compensation philosophy; however, we provide limited perquisites and personal benefits that are not generally available to all employees when necessary to attract top talent.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21" w:right="339" w:bottom="1440" w:gutter="0" w:footer="0" w:header="0"/>
        </w:sectPr>
      </w:pPr>
    </w:p>
    <w:bookmarkStart w:id="30" w:name="page31"/>
    <w:bookmarkEnd w:id="30"/>
    <w:p>
      <w:pPr>
        <w:jc w:val="both"/>
        <w:spacing w:after="0" w:line="263" w:lineRule="auto"/>
        <w:rPr>
          <w:sz w:val="20"/>
          <w:szCs w:val="20"/>
          <w:color w:val="auto"/>
        </w:rPr>
      </w:pPr>
      <w:r>
        <w:rPr>
          <w:rFonts w:ascii="Arial" w:cs="Arial" w:eastAsia="Arial" w:hAnsi="Arial"/>
          <w:sz w:val="18"/>
          <w:szCs w:val="18"/>
          <w:color w:val="auto"/>
        </w:rPr>
        <w:t>example, in 2020, we provided Mr. Keren with a car allowance in the amount of $45,003 and contributed $24,703 to his study fund, which is a perquisite that is customary in Israel (in each case paid in New Israeli Shekels and translated to U.S. dollars at the average monthly USD to NIS exchange rate for 2020 of $1.00 = NIS 3.4424).</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Messrs. Schuck and Hays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In 2020, we matched 50% of the employee’s contribution to the 401(k) plan up to the first 7% of their contribution. Previously, we matched 35% of the employee's contribution to the 401(k) plan up to the first 6% of their contribution. We may also make discretionary profit-sharing contributions to eligible participants. We do not have a defined benefit plan or any non-qualified deferred compensation arrangements.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Keren is ineligible to participate in our 401(k) Plan, however we contribute pension and severance amounts for him as required by Israeli law and voluntarily contribute an additional pension amount equal to 6.5% of his base salary.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of perquisites and other personal benefits provided to the NEOs is reflected in the “All Other Compensation” column of the “Summary Compensation Table” and the accompanying footnote.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outstanding equity awards made to the NEOs as of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Shares or Units of</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Market Value of Shares or</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Stock That Have Not Vested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Units of Stock That Have Not</w:t>
            </w:r>
          </w:p>
        </w:tc>
        <w:tc>
          <w:tcPr>
            <w:tcW w:w="0" w:type="dxa"/>
            <w:vAlign w:val="bottom"/>
          </w:tcPr>
          <w:p>
            <w:pPr>
              <w:spacing w:after="0"/>
              <w:rPr>
                <w:sz w:val="1"/>
                <w:szCs w:val="1"/>
                <w:color w:val="auto"/>
              </w:rPr>
            </w:pPr>
          </w:p>
        </w:tc>
      </w:tr>
      <w:tr>
        <w:trPr>
          <w:trHeight w:val="201"/>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7"/>
                <w:szCs w:val="17"/>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Grant Date</w:t>
            </w:r>
          </w:p>
        </w:tc>
        <w:tc>
          <w:tcPr>
            <w:tcW w:w="100" w:type="dxa"/>
            <w:vAlign w:val="bottom"/>
            <w:vMerge w:val="restart"/>
          </w:tcPr>
          <w:p>
            <w:pPr>
              <w:spacing w:after="0"/>
              <w:rPr>
                <w:sz w:val="17"/>
                <w:szCs w:val="17"/>
                <w:color w:val="auto"/>
              </w:rPr>
            </w:pPr>
          </w:p>
        </w:tc>
        <w:tc>
          <w:tcPr>
            <w:tcW w:w="35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Award Type</w:t>
            </w:r>
          </w:p>
        </w:tc>
        <w:tc>
          <w:tcPr>
            <w:tcW w:w="80" w:type="dxa"/>
            <w:vAlign w:val="bottom"/>
            <w:vMerge w:val="restart"/>
          </w:tcPr>
          <w:p>
            <w:pPr>
              <w:spacing w:after="0"/>
              <w:rPr>
                <w:sz w:val="17"/>
                <w:szCs w:val="17"/>
                <w:color w:val="auto"/>
              </w:rPr>
            </w:pPr>
          </w:p>
        </w:tc>
        <w:tc>
          <w:tcPr>
            <w:tcW w:w="186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7"/>
                <w:szCs w:val="17"/>
                <w:color w:val="auto"/>
              </w:rPr>
            </w:pPr>
          </w:p>
        </w:tc>
        <w:tc>
          <w:tcPr>
            <w:tcW w:w="188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88"/>
              </w:rPr>
              <w:t>Vested ($)</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48"/>
        </w:trPr>
        <w:tc>
          <w:tcPr>
            <w:tcW w:w="194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3520" w:type="dxa"/>
            <w:vAlign w:val="bottom"/>
            <w:tcBorders>
              <w:bottom w:val="single" w:sz="8" w:color="auto"/>
            </w:tcBorders>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Henry Schuck</w:t>
            </w:r>
          </w:p>
        </w:tc>
        <w:tc>
          <w:tcPr>
            <w:tcW w:w="1600" w:type="dxa"/>
            <w:vAlign w:val="bottom"/>
          </w:tcPr>
          <w:p>
            <w:pPr>
              <w:jc w:val="right"/>
              <w:spacing w:after="0"/>
              <w:rPr>
                <w:sz w:val="20"/>
                <w:szCs w:val="20"/>
                <w:color w:val="auto"/>
              </w:rPr>
            </w:pPr>
            <w:r>
              <w:rPr>
                <w:rFonts w:ascii="Arial" w:cs="Arial" w:eastAsia="Arial" w:hAnsi="Arial"/>
                <w:sz w:val="18"/>
                <w:szCs w:val="18"/>
                <w:color w:val="auto"/>
              </w:rPr>
              <w:t>01/16/2019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0"/>
                <w:szCs w:val="20"/>
                <w:color w:val="auto"/>
              </w:rPr>
            </w:pPr>
            <w:r>
              <w:rPr>
                <w:rFonts w:ascii="Arial" w:cs="Arial" w:eastAsia="Arial" w:hAnsi="Arial"/>
                <w:sz w:val="18"/>
                <w:szCs w:val="18"/>
                <w:color w:val="auto"/>
              </w:rPr>
              <w:t>Chris Hays</w:t>
            </w:r>
          </w:p>
        </w:tc>
        <w:tc>
          <w:tcPr>
            <w:tcW w:w="1600" w:type="dxa"/>
            <w:vAlign w:val="bottom"/>
          </w:tcPr>
          <w:p>
            <w:pPr>
              <w:jc w:val="right"/>
              <w:spacing w:after="0"/>
              <w:rPr>
                <w:sz w:val="20"/>
                <w:szCs w:val="20"/>
                <w:color w:val="auto"/>
              </w:rPr>
            </w:pPr>
            <w:r>
              <w:rPr>
                <w:rFonts w:ascii="Arial" w:cs="Arial" w:eastAsia="Arial" w:hAnsi="Arial"/>
                <w:sz w:val="18"/>
                <w:szCs w:val="18"/>
                <w:color w:val="auto"/>
              </w:rPr>
              <w:t>06/23/2016</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08/24/2017</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09/11/2017</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11/01/2018</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01/07/2019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07/26/2018</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06/24/2019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10/17/2019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12/29/2019</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06/03/2020</w:t>
            </w:r>
          </w:p>
        </w:tc>
      </w:tr>
      <w:tr>
        <w:trPr>
          <w:trHeight w:val="378"/>
        </w:trPr>
        <w:tc>
          <w:tcPr>
            <w:tcW w:w="1820" w:type="dxa"/>
            <w:vAlign w:val="bottom"/>
          </w:tcPr>
          <w:p>
            <w:pPr>
              <w:spacing w:after="0"/>
              <w:rPr>
                <w:sz w:val="20"/>
                <w:szCs w:val="20"/>
                <w:color w:val="auto"/>
              </w:rPr>
            </w:pPr>
            <w:r>
              <w:rPr>
                <w:rFonts w:ascii="Arial" w:cs="Arial" w:eastAsia="Arial" w:hAnsi="Arial"/>
                <w:sz w:val="18"/>
                <w:szCs w:val="18"/>
                <w:color w:val="auto"/>
              </w:rPr>
              <w:t>Nir Keren</w:t>
            </w:r>
          </w:p>
        </w:tc>
        <w:tc>
          <w:tcPr>
            <w:tcW w:w="1600" w:type="dxa"/>
            <w:vAlign w:val="bottom"/>
          </w:tcPr>
          <w:p>
            <w:pPr>
              <w:jc w:val="right"/>
              <w:spacing w:after="0"/>
              <w:rPr>
                <w:sz w:val="20"/>
                <w:szCs w:val="20"/>
                <w:color w:val="auto"/>
              </w:rPr>
            </w:pPr>
            <w:r>
              <w:rPr>
                <w:rFonts w:ascii="Arial" w:cs="Arial" w:eastAsia="Arial" w:hAnsi="Arial"/>
                <w:sz w:val="18"/>
                <w:szCs w:val="18"/>
                <w:color w:val="auto"/>
              </w:rPr>
              <w:t>07/03/2020</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602,772</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26,660,606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450,000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12,253,500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26,263</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1,266,664</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8"/>
              </w:rPr>
              <w:t>6,566</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9"/>
              </w:rPr>
              <w:t>316,678</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13,132</w:t>
            </w:r>
          </w:p>
        </w:tc>
        <w:tc>
          <w:tcPr>
            <w:tcW w:w="1440" w:type="dxa"/>
            <w:vAlign w:val="bottom"/>
          </w:tcPr>
          <w:p>
            <w:pPr>
              <w:jc w:val="center"/>
              <w:ind w:left="570"/>
              <w:spacing w:after="0"/>
              <w:rPr>
                <w:sz w:val="20"/>
                <w:szCs w:val="20"/>
                <w:color w:val="auto"/>
              </w:rPr>
            </w:pPr>
            <w:r>
              <w:rPr>
                <w:rFonts w:ascii="Arial" w:cs="Arial" w:eastAsia="Arial" w:hAnsi="Arial"/>
                <w:sz w:val="18"/>
                <w:szCs w:val="18"/>
                <w:color w:val="auto"/>
                <w:w w:val="89"/>
              </w:rPr>
              <w:t>633,356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32,829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1,583,343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LLC Units of HSKB Funds, LLC</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32,829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1,583,343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138,821</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6,140,053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876,759</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8"/>
              </w:rPr>
              <w:t>36,534,548</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70,000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2,916,900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2"/>
              </w:rPr>
              <w:t>HSKB Phantom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22,500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1,085,175</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88"/>
              </w:rPr>
              <w:t>Class 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90,000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2,450,700</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30"/>
              <w:spacing w:after="0"/>
              <w:rPr>
                <w:sz w:val="20"/>
                <w:szCs w:val="20"/>
                <w:color w:val="auto"/>
              </w:rPr>
            </w:pPr>
            <w:r>
              <w:rPr>
                <w:rFonts w:ascii="Arial" w:cs="Arial" w:eastAsia="Arial" w:hAnsi="Arial"/>
                <w:sz w:val="18"/>
                <w:szCs w:val="18"/>
                <w:color w:val="auto"/>
                <w:w w:val="95"/>
              </w:rPr>
              <w:t>LTIP Units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87"/>
              </w:rPr>
              <w:t>47,620</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2,296,713</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3120" w:type="dxa"/>
            <w:vAlign w:val="bottom"/>
            <w:vMerge w:val="restart"/>
          </w:tcPr>
          <w:p>
            <w:pPr>
              <w:jc w:val="center"/>
              <w:ind w:right="650"/>
              <w:spacing w:after="0"/>
              <w:rPr>
                <w:sz w:val="20"/>
                <w:szCs w:val="20"/>
                <w:color w:val="auto"/>
              </w:rPr>
            </w:pPr>
            <w:r>
              <w:rPr>
                <w:rFonts w:ascii="Arial" w:cs="Arial" w:eastAsia="Arial" w:hAnsi="Arial"/>
                <w:sz w:val="18"/>
                <w:szCs w:val="18"/>
                <w:color w:val="auto"/>
                <w:w w:val="89"/>
              </w:rPr>
              <w:t>RSUs</w:t>
            </w:r>
          </w:p>
        </w:tc>
        <w:tc>
          <w:tcPr>
            <w:tcW w:w="1940" w:type="dxa"/>
            <w:vAlign w:val="bottom"/>
          </w:tcPr>
          <w:p>
            <w:pPr>
              <w:jc w:val="center"/>
              <w:ind w:left="10"/>
              <w:spacing w:after="0"/>
              <w:rPr>
                <w:sz w:val="20"/>
                <w:szCs w:val="20"/>
                <w:color w:val="auto"/>
              </w:rPr>
            </w:pPr>
            <w:r>
              <w:rPr>
                <w:rFonts w:ascii="Arial" w:cs="Arial" w:eastAsia="Arial" w:hAnsi="Arial"/>
                <w:sz w:val="18"/>
                <w:szCs w:val="18"/>
                <w:color w:val="auto"/>
                <w:w w:val="92"/>
              </w:rPr>
              <w:t>190,477</w:t>
            </w:r>
          </w:p>
        </w:tc>
        <w:tc>
          <w:tcPr>
            <w:tcW w:w="1440" w:type="dxa"/>
            <w:vAlign w:val="bottom"/>
          </w:tcPr>
          <w:p>
            <w:pPr>
              <w:jc w:val="center"/>
              <w:ind w:left="550"/>
              <w:spacing w:after="0"/>
              <w:rPr>
                <w:sz w:val="20"/>
                <w:szCs w:val="20"/>
                <w:color w:val="auto"/>
              </w:rPr>
            </w:pPr>
            <w:r>
              <w:rPr>
                <w:rFonts w:ascii="Arial" w:cs="Arial" w:eastAsia="Arial" w:hAnsi="Arial"/>
                <w:sz w:val="18"/>
                <w:szCs w:val="18"/>
                <w:color w:val="auto"/>
                <w:w w:val="89"/>
              </w:rPr>
              <w:t>9,186,706</w:t>
            </w: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-239395</wp:posOffset>
            </wp:positionV>
            <wp:extent cx="713232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3640" w:space="720"/>
            <w:col w:w="688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21" w:right="339" w:bottom="1440" w:gutter="0" w:footer="0" w:header="0"/>
          <w:type w:val="continuous"/>
        </w:sectPr>
      </w:pPr>
    </w:p>
    <w:bookmarkStart w:id="31" w:name="page32"/>
    <w:bookmarkEnd w:id="31"/>
    <w:p>
      <w:pPr>
        <w:jc w:val="both"/>
        <w:ind w:left="340" w:right="20"/>
        <w:spacing w:after="0" w:line="273" w:lineRule="auto"/>
        <w:rPr>
          <w:sz w:val="20"/>
          <w:szCs w:val="20"/>
          <w:color w:val="auto"/>
        </w:rPr>
      </w:pPr>
      <w:r>
        <w:rPr>
          <w:rFonts w:ascii="Arial" w:cs="Arial" w:eastAsia="Arial" w:hAnsi="Arial"/>
          <w:sz w:val="14"/>
          <w:szCs w:val="14"/>
          <w:color w:val="auto"/>
        </w:rPr>
        <w:t>As to Mr. Schuck, the Class P Units granted on January 16, 2019 will vest in 15 equal monthly installments during the 15 months following December 12, 2020 and the Class P Units granted on June 3, 2020 will vest in in three equal installments on each of the second, third and fourth anniversaries of the grant date.</w:t>
      </w:r>
    </w:p>
    <w:p>
      <w:pPr>
        <w:spacing w:after="0" w:line="66" w:lineRule="exact"/>
        <w:rPr>
          <w:sz w:val="20"/>
          <w:szCs w:val="20"/>
          <w:color w:val="auto"/>
        </w:rPr>
      </w:pPr>
    </w:p>
    <w:p>
      <w:pPr>
        <w:jc w:val="both"/>
        <w:ind w:left="340"/>
        <w:spacing w:after="0" w:line="249" w:lineRule="auto"/>
        <w:rPr>
          <w:sz w:val="20"/>
          <w:szCs w:val="20"/>
          <w:color w:val="auto"/>
        </w:rPr>
      </w:pPr>
      <w:r>
        <w:rPr>
          <w:rFonts w:ascii="Arial" w:cs="Arial" w:eastAsia="Arial" w:hAnsi="Arial"/>
          <w:sz w:val="14"/>
          <w:szCs w:val="14"/>
          <w:color w:val="auto"/>
        </w:rPr>
        <w:t>As to Mr. Hays, the Class P Units granted on July 26, 2018 will vest in 19 equal monthly installments during the 19 months following December 1, 2020. Of the 876,759 granted on June 24, 2019, 438,379 vest on February 1, 2021 and 438,380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 The 90,000 granted on June 3, 2020 will vest in three equal installments on the dates that are two and a half, three and a half, and four and a half years following the grant date.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Represents LLC Units of HSKB Funds, LLC that vest as follows:</w:t>
      </w:r>
    </w:p>
    <w:p>
      <w:pPr>
        <w:spacing w:after="0" w:line="109" w:lineRule="exact"/>
        <w:rPr>
          <w:sz w:val="20"/>
          <w:szCs w:val="20"/>
          <w:color w:val="auto"/>
        </w:rPr>
      </w:pPr>
    </w:p>
    <w:p>
      <w:pPr>
        <w:jc w:val="both"/>
        <w:ind w:left="340"/>
        <w:spacing w:after="0" w:line="273" w:lineRule="auto"/>
        <w:rPr>
          <w:sz w:val="20"/>
          <w:szCs w:val="20"/>
          <w:color w:val="auto"/>
        </w:rPr>
      </w:pPr>
      <w:r>
        <w:rPr>
          <w:rFonts w:ascii="Arial" w:cs="Arial" w:eastAsia="Arial" w:hAnsi="Arial"/>
          <w:sz w:val="14"/>
          <w:szCs w:val="14"/>
          <w:color w:val="auto"/>
        </w:rPr>
        <w:t>As to the LLC Units of HSKB Funds, LLC granted on June 23, 2016, August 24, 2017 and September 11, 2017, in 21 equal monthly installments during the 21 months following December 1, 2020 or earlier upon the occurrence of certain liquidity events.</w:t>
      </w:r>
    </w:p>
    <w:p>
      <w:pPr>
        <w:spacing w:after="0" w:line="66" w:lineRule="exact"/>
        <w:rPr>
          <w:sz w:val="20"/>
          <w:szCs w:val="20"/>
          <w:color w:val="auto"/>
        </w:rPr>
      </w:pPr>
    </w:p>
    <w:p>
      <w:pPr>
        <w:jc w:val="both"/>
        <w:ind w:left="340" w:right="20"/>
        <w:spacing w:after="0" w:line="273" w:lineRule="auto"/>
        <w:rPr>
          <w:sz w:val="20"/>
          <w:szCs w:val="20"/>
          <w:color w:val="auto"/>
        </w:rPr>
      </w:pPr>
      <w:r>
        <w:rPr>
          <w:rFonts w:ascii="Arial" w:cs="Arial" w:eastAsia="Arial" w:hAnsi="Arial"/>
          <w:sz w:val="14"/>
          <w:szCs w:val="14"/>
          <w:color w:val="auto"/>
        </w:rPr>
        <w:t>As to the LLC Units of HSKB Funds, LLC granted on November 1, 2018, in 21 equal monthly installments on during the 21 months following December 1, 2020 or earlier upon the occurrence of certain liquidity events.</w:t>
      </w:r>
    </w:p>
    <w:p>
      <w:pPr>
        <w:spacing w:after="0" w:line="66" w:lineRule="exact"/>
        <w:rPr>
          <w:sz w:val="20"/>
          <w:szCs w:val="20"/>
          <w:color w:val="auto"/>
        </w:rPr>
      </w:pPr>
    </w:p>
    <w:p>
      <w:pPr>
        <w:jc w:val="both"/>
        <w:ind w:left="340" w:right="20"/>
        <w:spacing w:after="0" w:line="273" w:lineRule="auto"/>
        <w:rPr>
          <w:sz w:val="20"/>
          <w:szCs w:val="20"/>
          <w:color w:val="auto"/>
        </w:rPr>
      </w:pPr>
      <w:r>
        <w:rPr>
          <w:rFonts w:ascii="Arial" w:cs="Arial" w:eastAsia="Arial" w:hAnsi="Arial"/>
          <w:sz w:val="14"/>
          <w:szCs w:val="14"/>
          <w:color w:val="auto"/>
        </w:rPr>
        <w:t>As to the LLC Units of HSKB Funds, LLC granted on January 7, 2019, in 21 equal monthly installments during the 21 months following December 1, 2020 or, in each case, earlier upon the occurrence of certain liquidity events.</w:t>
      </w:r>
    </w:p>
    <w:p>
      <w:pPr>
        <w:spacing w:after="0" w:line="66" w:lineRule="exact"/>
        <w:rPr>
          <w:sz w:val="20"/>
          <w:szCs w:val="20"/>
          <w:color w:val="auto"/>
        </w:rPr>
      </w:pPr>
    </w:p>
    <w:p>
      <w:pPr>
        <w:jc w:val="both"/>
        <w:ind w:left="340"/>
        <w:spacing w:after="0" w:line="273" w:lineRule="auto"/>
        <w:rPr>
          <w:sz w:val="20"/>
          <w:szCs w:val="20"/>
          <w:color w:val="auto"/>
        </w:rPr>
      </w:pPr>
      <w:r>
        <w:rPr>
          <w:rFonts w:ascii="Arial" w:cs="Arial" w:eastAsia="Arial" w:hAnsi="Arial"/>
          <w:sz w:val="14"/>
          <w:szCs w:val="14"/>
          <w:color w:val="auto"/>
        </w:rPr>
        <w:t>Represents HSKB Phantom Units that vest as follows: 50% of such HSKB Phantom Units on July 1, 2021 and the remaining 50% of such HSKB Phantom Units in equal monthly installments over the two year period following July 1, 2021 or, in each case, earlier upon the occurrence of certain liquidity events.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Represents LTIP Units that vest as follows: in three equal installments on the dates that are two and a half, three and a half, and four and a half years following the grant date.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Represents RSUs that vest as follows: one-third will vest on June 3, 2021 and the remaining two-thirds will vest in equal quarterly installments during the 24 months following June 3, 2021.</w:t>
      </w:r>
    </w:p>
    <w:p>
      <w:pPr>
        <w:spacing w:after="0" w:line="121" w:lineRule="exact"/>
        <w:rPr>
          <w:sz w:val="20"/>
          <w:szCs w:val="20"/>
          <w:color w:val="auto"/>
        </w:rPr>
      </w:pPr>
    </w:p>
    <w:p>
      <w:pPr>
        <w:jc w:val="both"/>
        <w:ind w:left="340" w:hanging="332"/>
        <w:spacing w:after="0" w:line="257" w:lineRule="auto"/>
        <w:tabs>
          <w:tab w:leader="none" w:pos="3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Values with respect to Class P Units determined based on the difference between the December 31, 2020 closing market price of our common stock of $48.23 per share and the applicable distribution threshold. Values with respect to the LLC Units of HSKB Funds, LLC, the HSKB Phantom Units, the LTIP Units and the RSUs determined based on the foregoing December 31, 2020 closing market price of our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and Change in Control Provisions</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NEOs is entitled to potential payments and benefits in connection with a termination of employment and/or a change in control. The following summary describes the termination and change in control provisions under Messrs. Schuck’s and Hays’ employment agreements and Mr. Keren’s offer letter.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Schuck’s Employment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entitled as of the termination date; and (iv) full accelerated vesting of all then-unvested equity awards subject to time-based vesting that he holds as of the termination date.</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restrictive covenants applicable to Mr. Schuck, see “—Narrative Disclosure to Summary Compensation Table—Employment Agreements and Offer Letter”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Hays’ Employment Agreement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Mr. Hays’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target amount of his annual cash incentive bonus for the year in which the termination occurs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 date; and (iv) accelerated vesting of the portion of his then-unvested equity awards subject to time-based vesting that he holds as of the termination date and which were scheduled to vest within 12 months following the termination date.</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event of a termination of Mr. Hays’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target amount of his annual cash incentive bonus for the year in which the termination occurs,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Hays’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restrictive covenants applicable to Mr. Hays, see “—Narrative Disclosure to Summary Compensation Table—Employment Agreements and Offer Letter”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Keren’s Offer Letter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Mr. Keren’s offer letter, if Mr. Keren’s employment is terminated without cause, provided he first executes a release of claims in favor of the company and its affiliates and personnel in a form reasonably acceptable to the company, he will be paid a severance equal to one half of his annual salary in effect at the time of such termination and, if such termination occurred prior to February 1, 2021, he would have been entitled to a pro-rated amount of any unpaid retention bonus.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of the named executive officers holds equity awards pursuant to award agreements that provide for accelerated vesting upon certain qualifying terminations of employment. Below is a description of the accelerated vesting our such equity awards upon certain qualifying terminations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Class P Units Awarded Prior to the IPO</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an involuntary termination of the executive officer’s employment without cause or, in the case of Mr. Schuck, the executive officer’s resignation for good reason, in each case, during the 12-month period following a “liquidity event” (which includes a change of control or a liquidation of ZoomInfo OpCo, but did not include the IPO),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(i.e.,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LLC Units of HSKB Funds, LLC</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LLC Agreement governing HSKB Funds, LLC,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LLC Units.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P Units, LTIP Units and RSUs Awarded in Connection with the IPO</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P Unit, LTIP Unit and RSU awards granted in connection with the IPO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Awards under our 2020 Omnibus Incentive Plan</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time to time, we may grant equity-based or cash-based awards under the 2020 Omnibus Incentive Plan that will become earned or will vest and become exercisable upon the attainment of Performance Conditions. For purposes of this proxy statement, “Performance Conditions” means specific levels of performance of the Company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revenue, net revenue, net revenue growth, annual recurring revenue, or net new annual recurring revenue; (iv) gross revenue or gross revenue growth, gross profit or gross profit growth; (v) operating income or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 (xxi)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35" w:right="339" w:bottom="1440" w:gutter="0" w:footer="0" w:header="0"/>
        </w:sectPr>
      </w:pPr>
    </w:p>
    <w:bookmarkStart w:id="34" w:name="page35"/>
    <w:bookmarkEnd w:id="34"/>
    <w:p>
      <w:pPr>
        <w:spacing w:after="0" w:line="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customer growth, including growth by customer category or annual contract value; (xxvii) cost of capital, debt leverage, year-end cash position or book value; (xxviii) strategic objectives; or (xxix) any combination of the foregoing. Any one or more of the aforementioned performance criteria may be stated as a percentage of another performance criteria, or used on an absolute or relative basis to measure the performance of one or more of the Company or its subsidiaries as a whole or any divisions or operational and/or business units, product lines, brands, business segments, or administrative departments of the Company and/or one or more of its subsidiaries or any combination thereof, as the Compensation Committee of our Board of Directors or such other committee of our Board of Directors to which it has properly delegated power, or if no such committee or subcommittee exists, our board of directors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in Fiscal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information regarding non-employee director compensation for the fiscal year ended December 31,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Fees Earned or Paid in</w:t>
            </w:r>
          </w:p>
        </w:tc>
        <w:tc>
          <w:tcPr>
            <w:tcW w:w="1800" w:type="dxa"/>
            <w:vAlign w:val="bottom"/>
          </w:tcPr>
          <w:p>
            <w:pPr>
              <w:jc w:val="right"/>
              <w:ind w:right="332"/>
              <w:spacing w:after="0"/>
              <w:rPr>
                <w:sz w:val="20"/>
                <w:szCs w:val="20"/>
                <w:color w:val="auto"/>
              </w:rPr>
            </w:pPr>
            <w:r>
              <w:rPr>
                <w:rFonts w:ascii="Arial" w:cs="Arial" w:eastAsia="Arial" w:hAnsi="Arial"/>
                <w:sz w:val="14"/>
                <w:szCs w:val="14"/>
                <w:b w:val="1"/>
                <w:bCs w:val="1"/>
                <w:color w:val="auto"/>
              </w:rPr>
              <w:t>Stock Awards ($)</w:t>
            </w:r>
            <w:r>
              <w:rPr>
                <w:rFonts w:ascii="Arial" w:cs="Arial" w:eastAsia="Arial" w:hAnsi="Arial"/>
                <w:sz w:val="18"/>
                <w:szCs w:val="18"/>
                <w:b w:val="1"/>
                <w:bCs w:val="1"/>
                <w:color w:val="auto"/>
                <w:vertAlign w:val="superscript"/>
              </w:rPr>
              <w:t>(1)</w:t>
            </w:r>
          </w:p>
        </w:tc>
        <w:tc>
          <w:tcPr>
            <w:tcW w:w="14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08"/>
        </w:trPr>
        <w:tc>
          <w:tcPr>
            <w:tcW w:w="60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1560" w:type="dxa"/>
            <w:vAlign w:val="bottom"/>
            <w:tcBorders>
              <w:bottom w:val="single" w:sz="8" w:color="auto"/>
            </w:tcBorders>
          </w:tcPr>
          <w:p>
            <w:pPr>
              <w:jc w:val="right"/>
              <w:ind w:right="435"/>
              <w:spacing w:after="0" w:line="108" w:lineRule="exact"/>
              <w:rPr>
                <w:sz w:val="20"/>
                <w:szCs w:val="20"/>
                <w:color w:val="auto"/>
              </w:rPr>
            </w:pPr>
            <w:r>
              <w:rPr>
                <w:rFonts w:ascii="Arial" w:cs="Arial" w:eastAsia="Arial" w:hAnsi="Arial"/>
                <w:sz w:val="12"/>
                <w:szCs w:val="12"/>
                <w:b w:val="1"/>
                <w:bCs w:val="1"/>
                <w:color w:val="auto"/>
              </w:rPr>
              <w:t>Cash ($)</w:t>
            </w:r>
          </w:p>
        </w:tc>
        <w:tc>
          <w:tcPr>
            <w:tcW w:w="100" w:type="dxa"/>
            <w:vAlign w:val="bottom"/>
            <w:tcBorders>
              <w:bottom w:val="single" w:sz="8" w:color="CCEEFF"/>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Todd Crockett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Mitesh Dhruv</w:t>
            </w:r>
          </w:p>
        </w:tc>
        <w:tc>
          <w:tcPr>
            <w:tcW w:w="1560" w:type="dxa"/>
            <w:vAlign w:val="bottom"/>
          </w:tcPr>
          <w:p>
            <w:pPr>
              <w:jc w:val="right"/>
              <w:ind w:right="115"/>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4"/>
                <w:szCs w:val="24"/>
                <w:color w:val="auto"/>
              </w:rPr>
            </w:pP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538,736</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608,736</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Keith Enright</w:t>
            </w:r>
          </w:p>
        </w:tc>
        <w:tc>
          <w:tcPr>
            <w:tcW w:w="15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57,500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300,006</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357,506</w:t>
            </w:r>
          </w:p>
        </w:tc>
        <w:tc>
          <w:tcPr>
            <w:tcW w:w="0" w:type="dxa"/>
            <w:vAlign w:val="bottom"/>
          </w:tcPr>
          <w:p>
            <w:pPr>
              <w:spacing w:after="0"/>
              <w:rPr>
                <w:sz w:val="1"/>
                <w:szCs w:val="1"/>
                <w:color w:val="auto"/>
              </w:rPr>
            </w:pPr>
          </w:p>
        </w:tc>
      </w:tr>
      <w:tr>
        <w:trPr>
          <w:trHeight w:val="68"/>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Ashley Evans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Mader</w:t>
            </w:r>
          </w:p>
        </w:tc>
        <w:tc>
          <w:tcPr>
            <w:tcW w:w="15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369,370</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429,370</w:t>
            </w:r>
          </w:p>
        </w:tc>
        <w:tc>
          <w:tcPr>
            <w:tcW w:w="0" w:type="dxa"/>
            <w:vAlign w:val="bottom"/>
          </w:tcPr>
          <w:p>
            <w:pPr>
              <w:spacing w:after="0"/>
              <w:rPr>
                <w:sz w:val="1"/>
                <w:szCs w:val="1"/>
                <w:color w:val="auto"/>
              </w:rPr>
            </w:pPr>
          </w:p>
        </w:tc>
      </w:tr>
      <w:tr>
        <w:trPr>
          <w:trHeight w:val="67"/>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Patrick McCarter</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Mironov</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D. Randall Winn</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7"/>
        </w:trPr>
        <w:tc>
          <w:tcPr>
            <w:tcW w:w="60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80"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aggregate grant date fair value of restricted stock units granted during 2020 computed in accordance with Topic 718 without taking into account estimated forfeitures. The assumptions used in the valuation are discussed in Note 16: “Equity-based Compensation” to our Consolidated Financial Statements in Part II, Item 8 of our 2020 10-K. The aggregate number of restricted stock units outstanding as of December 31, 2020 for our outside directors was as follows: 22,378 for Mr. Dhruv, 14,286 for Mr. Enright and 15,951 for Mr. Mader.</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Fees in 2020</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2020, each of Messrs. Dhruv, Enright, and Mader was entitled to receive $50,000 annually as a cash retainer for their board service, with additional annual cash retainers of (i) $20,000 for Mr. Dhruv for his service as a member and the chair of the audit committee; (ii) $10,000 for Mr. Mader for his service as a member of the audit committee and (iii) $15,000 for Mr. Enright for his service as chair of the Privacy, Security and Technology Committee, prorated for the time served as chair.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each of the outside directors received sign-on equity grants of restricted stock units that were awarded and valued upon the completion of the IPO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On July 23, 2020, each of Messrs. Dhruv and Mader received 3,330 and 1,665 additional restricted stock units, respectively, which were intended to give them the benefit of the increase in the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equity since the commencement of their board service. These additional restricted stock unit grants will vest on the same schedule as the sign-on grants that Messrs. Dhruv and Mader received at the time of the IPO.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time of the IPO, each outside director received, and will continue to receive each year following the IPO,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of our directors will continue to be reimbursed for their reasonable out-of-pocket expenses related to their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36" w:name="page37"/>
    <w:bookmarkEnd w:id="36"/>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members of our Compensation Committee during 2020 included Todd Crockett, Patrick McCarter and D. Randall Winn. None of the members of our Compensation Committee during 2020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as of December 31, 2020, certain information related to our compensation plans under which shares of our Class A common stock may be issued.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0"/>
          <w:szCs w:val="20"/>
          <w:color w:val="auto"/>
          <w:vertAlign w:val="superscript"/>
        </w:rPr>
        <w:t>(1)</w:t>
      </w:r>
      <w:r>
        <w:rPr>
          <w:rFonts w:ascii="Arial" w:cs="Arial" w:eastAsia="Arial" w:hAnsi="Arial"/>
          <w:sz w:val="16"/>
          <w:szCs w:val="16"/>
          <w:color w:val="auto"/>
        </w:rPr>
        <w:t>:</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2020 Omnibus Incentive Plan</w:t>
      </w:r>
    </w:p>
    <w:p>
      <w:pPr>
        <w:spacing w:after="0" w:line="7" w:lineRule="exact"/>
        <w:rPr>
          <w:sz w:val="20"/>
          <w:szCs w:val="20"/>
          <w:color w:val="auto"/>
        </w:rPr>
      </w:pPr>
    </w:p>
    <w:p>
      <w:pPr>
        <w:ind w:left="20" w:right="480" w:firstLine="648"/>
        <w:spacing w:after="0" w:line="258" w:lineRule="auto"/>
        <w:rPr>
          <w:sz w:val="20"/>
          <w:szCs w:val="20"/>
          <w:color w:val="auto"/>
        </w:rPr>
      </w:pPr>
      <w:r>
        <w:rPr>
          <w:rFonts w:ascii="Arial" w:cs="Arial" w:eastAsia="Arial" w:hAnsi="Arial"/>
          <w:sz w:val="18"/>
          <w:szCs w:val="18"/>
          <w:color w:val="auto"/>
        </w:rPr>
        <w:t>2020 Employee Stock Purchase Plan Equity compensation plans not approved by security holders</w:t>
      </w:r>
      <w:r>
        <w:rPr>
          <w:rFonts w:ascii="Arial" w:cs="Arial" w:eastAsia="Arial" w:hAnsi="Arial"/>
          <w:sz w:val="23"/>
          <w:szCs w:val="23"/>
          <w:color w:val="auto"/>
          <w:vertAlign w:val="superscript"/>
        </w:rPr>
        <w:t>(5)</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Weighted- average exercise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available for future issuance</w:t>
            </w: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options, warrants</w:t>
            </w:r>
          </w:p>
        </w:tc>
        <w:tc>
          <w:tcPr>
            <w:tcW w:w="100" w:type="dxa"/>
            <w:vAlign w:val="bottom"/>
          </w:tcPr>
          <w:p>
            <w:pPr>
              <w:spacing w:after="0"/>
              <w:rPr>
                <w:sz w:val="14"/>
                <w:szCs w:val="1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price of outstanding options,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 compensation</w:t>
            </w:r>
          </w:p>
        </w:tc>
      </w:tr>
      <w:tr>
        <w:trPr>
          <w:trHeight w:val="186"/>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00" w:type="dxa"/>
            <w:vAlign w:val="bottom"/>
          </w:tcPr>
          <w:p>
            <w:pPr>
              <w:spacing w:after="0"/>
              <w:rPr>
                <w:sz w:val="16"/>
                <w:szCs w:val="16"/>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warrants and rights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plans</w:t>
            </w:r>
          </w:p>
        </w:tc>
      </w:tr>
      <w:tr>
        <w:trPr>
          <w:trHeight w:val="26"/>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479"/>
        </w:trPr>
        <w:tc>
          <w:tcPr>
            <w:tcW w:w="2000" w:type="dxa"/>
            <w:vAlign w:val="bottom"/>
          </w:tcPr>
          <w:p>
            <w:pPr>
              <w:jc w:val="right"/>
              <w:spacing w:after="0"/>
              <w:rPr>
                <w:sz w:val="20"/>
                <w:szCs w:val="20"/>
                <w:color w:val="auto"/>
              </w:rPr>
            </w:pPr>
            <w:r>
              <w:rPr>
                <w:rFonts w:ascii="Arial" w:cs="Arial" w:eastAsia="Arial" w:hAnsi="Arial"/>
                <w:sz w:val="18"/>
                <w:szCs w:val="18"/>
                <w:color w:val="auto"/>
              </w:rPr>
              <w:t>1,941,953</w:t>
            </w:r>
            <w:r>
              <w:rPr>
                <w:rFonts w:ascii="Arial" w:cs="Arial" w:eastAsia="Arial" w:hAnsi="Arial"/>
                <w:sz w:val="23"/>
                <w:szCs w:val="23"/>
                <w:color w:val="auto"/>
                <w:vertAlign w:val="superscript"/>
              </w:rPr>
              <w:t>(2)</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$21.00</w:t>
            </w:r>
            <w:r>
              <w:rPr>
                <w:rFonts w:ascii="Arial" w:cs="Arial" w:eastAsia="Arial" w:hAnsi="Arial"/>
                <w:sz w:val="23"/>
                <w:szCs w:val="23"/>
                <w:color w:val="auto"/>
                <w:vertAlign w:val="superscript"/>
              </w:rPr>
              <w:t>(3)</w:t>
            </w:r>
          </w:p>
        </w:tc>
        <w:tc>
          <w:tcPr>
            <w:tcW w:w="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16,433,736</w:t>
            </w:r>
            <w:r>
              <w:rPr>
                <w:rFonts w:ascii="Arial" w:cs="Arial" w:eastAsia="Arial" w:hAnsi="Arial"/>
                <w:sz w:val="23"/>
                <w:szCs w:val="23"/>
                <w:color w:val="auto"/>
                <w:vertAlign w:val="superscript"/>
              </w:rPr>
              <w:t>(4)</w:t>
            </w:r>
          </w:p>
        </w:tc>
      </w:tr>
      <w:tr>
        <w:trPr>
          <w:trHeight w:val="230"/>
        </w:trPr>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200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486"/>
        </w:trPr>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11,530,734</w:t>
            </w:r>
          </w:p>
        </w:tc>
        <w:tc>
          <w:tcPr>
            <w:tcW w:w="100" w:type="dxa"/>
            <w:vAlign w:val="bottom"/>
          </w:tcPr>
          <w:p>
            <w:pPr>
              <w:spacing w:after="0"/>
              <w:rPr>
                <w:sz w:val="24"/>
                <w:szCs w:val="24"/>
                <w:color w:val="auto"/>
              </w:rPr>
            </w:pP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000" w:type="dxa"/>
            <w:vAlign w:val="bottom"/>
          </w:tcPr>
          <w:p>
            <w:pPr>
              <w:jc w:val="right"/>
              <w:spacing w:after="0"/>
              <w:rPr>
                <w:sz w:val="20"/>
                <w:szCs w:val="20"/>
                <w:color w:val="auto"/>
              </w:rPr>
            </w:pPr>
            <w:r>
              <w:rPr>
                <w:rFonts w:ascii="Arial" w:cs="Arial" w:eastAsia="Arial" w:hAnsi="Arial"/>
                <w:sz w:val="18"/>
                <w:szCs w:val="18"/>
                <w:color w:val="auto"/>
              </w:rPr>
              <w:t>13,472,687</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23,933,763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-925830</wp:posOffset>
            </wp:positionV>
            <wp:extent cx="683196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17145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-608330</wp:posOffset>
            </wp:positionV>
            <wp:extent cx="683196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14541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-154305</wp:posOffset>
            </wp:positionV>
            <wp:extent cx="683196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320"/>
            <w:col w:w="6640"/>
          </w:cols>
          <w:pgMar w:left="320" w:top="1440" w:right="339" w:bottom="1440" w:gutter="0" w:footer="0" w:header="0"/>
          <w:type w:val="continuous"/>
        </w:sectPr>
      </w:pPr>
    </w:p>
    <w:p>
      <w:pPr>
        <w:spacing w:after="0" w:line="158" w:lineRule="exact"/>
        <w:rPr>
          <w:sz w:val="20"/>
          <w:szCs w:val="20"/>
          <w:color w:val="auto"/>
        </w:rPr>
      </w:pPr>
    </w:p>
    <w:p>
      <w:pPr>
        <w:jc w:val="both"/>
        <w:ind w:left="900" w:right="260" w:hanging="429"/>
        <w:spacing w:after="0" w:line="224"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We have two equity compensation plans that have been approved by our stockholders: the 2020 Omnibus Incentive Plan and the 2020 Employee Stock Purchase Plan (the “ESPP”). We have granted awards under the 2020 Omnibus Incentive Plan, however, as of December 31, 2020, we had not offered our employees the opportunity to purchase any shares under the ESPP.</w:t>
      </w:r>
    </w:p>
    <w:p>
      <w:pPr>
        <w:spacing w:after="0" w:line="22" w:lineRule="exact"/>
        <w:rPr>
          <w:rFonts w:ascii="Arial" w:cs="Arial" w:eastAsia="Arial" w:hAnsi="Arial"/>
          <w:sz w:val="19"/>
          <w:szCs w:val="19"/>
          <w:color w:val="auto"/>
          <w:vertAlign w:val="superscript"/>
        </w:rPr>
      </w:pPr>
    </w:p>
    <w:p>
      <w:pPr>
        <w:jc w:val="both"/>
        <w:ind w:left="900" w:right="260" w:hanging="429"/>
        <w:spacing w:after="0" w:line="200"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Consists of 986,204 shares of our Class A common stock issuable upon the settlement of RSUs, 355,689 shares of our Class A common stock issuable upon the exchange of Class P Units, 47,620 shares of our Class A common stock issuable upon the conversion of LTIP Units, and 552,440 shares of our Class A common stock issuable upon the exercise of stock options. The number of shares of Class A common stock issuable upon exchange of Class P Units included in the table above is based on the closing market price of our Class A Common Stock on December 31, 2020 of $48.23 per share.</w:t>
      </w:r>
    </w:p>
    <w:p>
      <w:pPr>
        <w:spacing w:after="0" w:line="9" w:lineRule="exact"/>
        <w:rPr>
          <w:rFonts w:ascii="Arial" w:cs="Arial" w:eastAsia="Arial" w:hAnsi="Arial"/>
          <w:sz w:val="19"/>
          <w:szCs w:val="19"/>
          <w:color w:val="auto"/>
          <w:vertAlign w:val="superscript"/>
        </w:rPr>
      </w:pPr>
    </w:p>
    <w:p>
      <w:pPr>
        <w:ind w:left="900" w:right="260" w:hanging="429"/>
        <w:spacing w:after="0" w:line="200"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weighted average exercise price relates only to stock options. The calculation of the weighted average exercise price does not include outstanding equity awards that are received or exercised for no consideration.</w:t>
      </w:r>
    </w:p>
    <w:p>
      <w:pPr>
        <w:spacing w:after="0" w:line="7" w:lineRule="exact"/>
        <w:rPr>
          <w:rFonts w:ascii="Arial" w:cs="Arial" w:eastAsia="Arial" w:hAnsi="Arial"/>
          <w:sz w:val="19"/>
          <w:szCs w:val="19"/>
          <w:color w:val="auto"/>
          <w:vertAlign w:val="superscript"/>
        </w:rPr>
      </w:pPr>
    </w:p>
    <w:p>
      <w:pPr>
        <w:jc w:val="both"/>
        <w:ind w:left="900" w:right="240" w:hanging="429"/>
        <w:spacing w:after="0" w:line="219" w:lineRule="auto"/>
        <w:tabs>
          <w:tab w:leader="none" w:pos="90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Consists of shares of our Class A common stock available for future stock-based awards under our 2020 Omnibus Incentive Plan which may include, at the discretion of our Compensation Committee or Board of Directors, non-qualified stock options, incentive stock options, stock appreciation rights, RSUs, restricted stock, OpCo Units or other classes of partnership units in ZoomInfo OpCo (including, without limitation, LTIP Units), performance-based awards and other equity-based awards.</w:t>
      </w:r>
    </w:p>
    <w:p>
      <w:pPr>
        <w:spacing w:after="0" w:line="7" w:lineRule="exact"/>
        <w:rPr>
          <w:rFonts w:ascii="Arial" w:cs="Arial" w:eastAsia="Arial" w:hAnsi="Arial"/>
          <w:sz w:val="17"/>
          <w:szCs w:val="17"/>
          <w:color w:val="auto"/>
          <w:vertAlign w:val="superscript"/>
        </w:rPr>
      </w:pPr>
    </w:p>
    <w:p>
      <w:pPr>
        <w:jc w:val="both"/>
        <w:ind w:left="900" w:right="240" w:hanging="429"/>
        <w:spacing w:after="0" w:line="201" w:lineRule="auto"/>
        <w:tabs>
          <w:tab w:leader="none" w:pos="90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Relates to Class P Units awarded prior to our IPO. The Class P Units are “profits interests” having economic characteristics similar to a stock option and have the right to share in any increase in the equity value of ZoomInfo OpCo above a certain participation threshold (i.e., the distribution threshold). Vested Class P units are exchangeable, at the holder’s election, into a number of shares of our Class A common stock equal in value to the “spread value” represented by the excess of the value of shares of Class A common stock at the time of exchange above the “distribution threshold” associated with the Class P Units, multiplied by the number of Class P Units being exchanged. The number of shares of Class A common stock issuable upon exchange of Class P Units included in the table above is based on the closing market price of our Class A common stock on December 31, 2020 of $48.23 per share. All Class P Units awarded since our IPO have been awarded pursuant to the 2020 Omnibus Incentive Plan and all future Class P Units will be awarded pursuant to such plan or another plan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type w:val="continuous"/>
        </w:sectPr>
      </w:pPr>
    </w:p>
    <w:bookmarkStart w:id="37" w:name="page38"/>
    <w:bookmarkEnd w:id="37"/>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SECURITIES</w:t>
      </w:r>
    </w:p>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March 5, 2021 by (1) each person known to us to beneficially own more than 5% of our outstanding common stock, (2) each of our directors and Named Executive Officers and (3) all of our directors and executive officers as a group. Beneficial ownership is determined in accordance with the rules of the SEC.</w:t>
      </w:r>
    </w:p>
    <w:p>
      <w:pPr>
        <w:spacing w:after="0" w:line="16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is based on 101,554,566 shares of Class A common stock outstanding, 207,393,591 shares of Class B common stock outstanding, and 82,253,336 shares of Class C common stock outstanding as of March 5, 2021. The shares of Class B common stock have no economic rights,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shares of Class C common stock have the same economic rights as shares of Class A common stock, but each share entitles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Name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 Associates</w:t>
      </w:r>
      <w:r>
        <w:rPr>
          <w:rFonts w:ascii="Arial" w:cs="Arial" w:eastAsia="Arial" w:hAnsi="Arial"/>
          <w:sz w:val="18"/>
          <w:szCs w:val="18"/>
          <w:color w:val="auto"/>
          <w:vertAlign w:val="superscript"/>
        </w:rPr>
        <w:t>(5)(23)</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Funds affiliated with Carlyle</w:t>
      </w:r>
      <w:r>
        <w:rPr>
          <w:rFonts w:ascii="Arial" w:cs="Arial" w:eastAsia="Arial" w:hAnsi="Arial"/>
          <w:sz w:val="18"/>
          <w:szCs w:val="18"/>
          <w:color w:val="auto"/>
          <w:vertAlign w:val="superscript"/>
        </w:rPr>
        <w:t>(6)(23)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22C Capital</w:t>
      </w:r>
      <w:r>
        <w:rPr>
          <w:rFonts w:ascii="Arial" w:cs="Arial" w:eastAsia="Arial" w:hAnsi="Arial"/>
          <w:sz w:val="18"/>
          <w:szCs w:val="18"/>
          <w:color w:val="auto"/>
          <w:vertAlign w:val="superscript"/>
        </w:rPr>
        <w:t>(7)(23)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 Holdings (WA), LLC</w:t>
      </w:r>
      <w:r>
        <w:rPr>
          <w:rFonts w:ascii="Arial" w:cs="Arial" w:eastAsia="Arial" w:hAnsi="Arial"/>
          <w:sz w:val="18"/>
          <w:szCs w:val="18"/>
          <w:color w:val="auto"/>
          <w:vertAlign w:val="superscript"/>
        </w:rPr>
        <w:t>(8)(23)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Kirk Brown</w:t>
      </w:r>
      <w:r>
        <w:rPr>
          <w:rFonts w:ascii="Arial" w:cs="Arial" w:eastAsia="Arial" w:hAnsi="Arial"/>
          <w:sz w:val="18"/>
          <w:szCs w:val="18"/>
          <w:color w:val="auto"/>
          <w:vertAlign w:val="superscript"/>
        </w:rPr>
        <w:t>(9)(23)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(11)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FMR LLC</w:t>
      </w:r>
      <w:r>
        <w:rPr>
          <w:rFonts w:ascii="Arial" w:cs="Arial" w:eastAsia="Arial" w:hAnsi="Arial"/>
          <w:sz w:val="18"/>
          <w:szCs w:val="18"/>
          <w:color w:val="auto"/>
          <w:vertAlign w:val="superscript"/>
        </w:rPr>
        <w:t>(12)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Vanguard Group Inc.</w:t>
      </w:r>
      <w:r>
        <w:rPr>
          <w:rFonts w:ascii="Arial" w:cs="Arial" w:eastAsia="Arial" w:hAnsi="Arial"/>
          <w:sz w:val="18"/>
          <w:szCs w:val="18"/>
          <w:color w:val="auto"/>
          <w:vertAlign w:val="superscript"/>
        </w:rPr>
        <w:t>(13)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BAMCO Inc.</w:t>
      </w:r>
      <w:r>
        <w:rPr>
          <w:rFonts w:ascii="Arial" w:cs="Arial" w:eastAsia="Arial" w:hAnsi="Arial"/>
          <w:sz w:val="18"/>
          <w:szCs w:val="18"/>
          <w:color w:val="auto"/>
          <w:vertAlign w:val="superscript"/>
        </w:rPr>
        <w:t>(14)</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Morgan Stanley</w:t>
      </w:r>
      <w:r>
        <w:rPr>
          <w:rFonts w:ascii="Arial" w:cs="Arial" w:eastAsia="Arial" w:hAnsi="Arial"/>
          <w:sz w:val="18"/>
          <w:szCs w:val="18"/>
          <w:color w:val="auto"/>
          <w:vertAlign w:val="superscript"/>
        </w:rPr>
        <w:t>(15)</w:t>
      </w:r>
    </w:p>
    <w:p>
      <w:pPr>
        <w:ind w:left="20"/>
        <w:spacing w:after="0"/>
        <w:rPr>
          <w:sz w:val="20"/>
          <w:szCs w:val="20"/>
          <w:color w:val="auto"/>
        </w:rPr>
      </w:pPr>
      <w:r>
        <w:rPr>
          <w:rFonts w:ascii="Arial" w:cs="Arial" w:eastAsia="Arial" w:hAnsi="Arial"/>
          <w:sz w:val="14"/>
          <w:szCs w:val="14"/>
          <w:color w:val="auto"/>
        </w:rPr>
        <w:t>Allianz Global Investors U.S. Holdings LLC</w:t>
      </w:r>
      <w:r>
        <w:rPr>
          <w:rFonts w:ascii="Arial" w:cs="Arial" w:eastAsia="Arial" w:hAnsi="Arial"/>
          <w:sz w:val="18"/>
          <w:szCs w:val="18"/>
          <w:color w:val="auto"/>
          <w:vertAlign w:val="superscript"/>
        </w:rPr>
        <w:t>(16)</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Capital World Investors</w:t>
      </w:r>
      <w:r>
        <w:rPr>
          <w:rFonts w:ascii="Arial" w:cs="Arial" w:eastAsia="Arial" w:hAnsi="Arial"/>
          <w:sz w:val="18"/>
          <w:szCs w:val="18"/>
          <w:color w:val="auto"/>
          <w:vertAlign w:val="superscript"/>
        </w:rPr>
        <w:t>(17)</w:t>
      </w:r>
    </w:p>
    <w:p>
      <w:pPr>
        <w:ind w:left="20"/>
        <w:spacing w:after="0"/>
        <w:rPr>
          <w:sz w:val="20"/>
          <w:szCs w:val="20"/>
          <w:color w:val="auto"/>
        </w:rPr>
      </w:pPr>
      <w:r>
        <w:rPr>
          <w:rFonts w:ascii="Arial" w:cs="Arial" w:eastAsia="Arial" w:hAnsi="Arial"/>
          <w:sz w:val="14"/>
          <w:szCs w:val="14"/>
          <w:color w:val="auto"/>
        </w:rPr>
        <w:t>Capital Research Global Investors</w:t>
      </w:r>
      <w:r>
        <w:rPr>
          <w:rFonts w:ascii="Arial" w:cs="Arial" w:eastAsia="Arial" w:hAnsi="Arial"/>
          <w:sz w:val="18"/>
          <w:szCs w:val="18"/>
          <w:color w:val="auto"/>
          <w:vertAlign w:val="superscript"/>
        </w:rPr>
        <w:t>(18)</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Henry Schuck</w:t>
      </w:r>
      <w:r>
        <w:rPr>
          <w:rFonts w:ascii="Arial" w:cs="Arial" w:eastAsia="Arial" w:hAnsi="Arial"/>
          <w:sz w:val="18"/>
          <w:szCs w:val="18"/>
          <w:color w:val="auto"/>
          <w:vertAlign w:val="superscript"/>
        </w:rPr>
        <w:t>(19)(23)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Nir Keren</w:t>
      </w:r>
      <w:r>
        <w:rPr>
          <w:rFonts w:ascii="Arial" w:cs="Arial" w:eastAsia="Arial" w:hAnsi="Arial"/>
          <w:sz w:val="18"/>
          <w:szCs w:val="18"/>
          <w:color w:val="auto"/>
          <w:vertAlign w:val="superscript"/>
        </w:rPr>
        <w:t>(24)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Chris Hays</w:t>
      </w:r>
      <w:r>
        <w:rPr>
          <w:rFonts w:ascii="Arial" w:cs="Arial" w:eastAsia="Arial" w:hAnsi="Arial"/>
          <w:sz w:val="18"/>
          <w:szCs w:val="18"/>
          <w:color w:val="auto"/>
          <w:vertAlign w:val="superscript"/>
        </w:rPr>
        <w:t>(20)</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Todd Crockett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Mitesh Dhruv</w:t>
      </w:r>
      <w:r>
        <w:rPr>
          <w:rFonts w:ascii="Arial" w:cs="Arial" w:eastAsia="Arial" w:hAnsi="Arial"/>
          <w:sz w:val="18"/>
          <w:szCs w:val="18"/>
          <w:color w:val="auto"/>
          <w:vertAlign w:val="superscript"/>
        </w:rPr>
        <w:t>(21)</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Keith Enright</w:t>
      </w:r>
      <w:r>
        <w:rPr>
          <w:rFonts w:ascii="Arial" w:cs="Arial" w:eastAsia="Arial" w:hAnsi="Arial"/>
          <w:sz w:val="18"/>
          <w:szCs w:val="18"/>
          <w:color w:val="auto"/>
          <w:vertAlign w:val="superscript"/>
        </w:rPr>
        <w:t>(21)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Ashley Evans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 Mader</w:t>
      </w:r>
      <w:r>
        <w:rPr>
          <w:rFonts w:ascii="Arial" w:cs="Arial" w:eastAsia="Arial" w:hAnsi="Arial"/>
          <w:sz w:val="18"/>
          <w:szCs w:val="18"/>
          <w:color w:val="auto"/>
          <w:vertAlign w:val="superscript"/>
        </w:rPr>
        <w:t>(21)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Patrick McCarter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Jason Mironov</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 Randall Winn</w:t>
      </w:r>
      <w:r>
        <w:rPr>
          <w:rFonts w:ascii="Arial" w:cs="Arial" w:eastAsia="Arial" w:hAnsi="Arial"/>
          <w:sz w:val="18"/>
          <w:szCs w:val="18"/>
          <w:color w:val="auto"/>
          <w:vertAlign w:val="superscript"/>
        </w:rPr>
        <w:t>(22)</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Directors and executive officers as a group (12 persons)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88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w w:val="93"/>
              </w:rPr>
              <w:t>Class A Common Stock</w:t>
            </w: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Class B Common Stock</w:t>
            </w:r>
          </w:p>
        </w:tc>
        <w:tc>
          <w:tcPr>
            <w:tcW w:w="280" w:type="dxa"/>
            <w:vAlign w:val="bottom"/>
          </w:tcPr>
          <w:p>
            <w:pPr>
              <w:spacing w:after="0"/>
              <w:rPr>
                <w:sz w:val="14"/>
                <w:szCs w:val="14"/>
                <w:color w:val="auto"/>
              </w:rPr>
            </w:pPr>
          </w:p>
        </w:tc>
        <w:tc>
          <w:tcPr>
            <w:tcW w:w="1920" w:type="dxa"/>
            <w:vAlign w:val="bottom"/>
            <w:gridSpan w:val="5"/>
          </w:tcPr>
          <w:p>
            <w:pPr>
              <w:jc w:val="right"/>
              <w:ind w:right="328"/>
              <w:spacing w:after="0"/>
              <w:rPr>
                <w:sz w:val="20"/>
                <w:szCs w:val="20"/>
                <w:color w:val="auto"/>
              </w:rPr>
            </w:pPr>
            <w:r>
              <w:rPr>
                <w:rFonts w:ascii="Arial" w:cs="Arial" w:eastAsia="Arial" w:hAnsi="Arial"/>
                <w:sz w:val="14"/>
                <w:szCs w:val="14"/>
                <w:b w:val="1"/>
                <w:bCs w:val="1"/>
                <w:color w:val="auto"/>
                <w:w w:val="94"/>
              </w:rPr>
              <w:t>Class C Common Stock</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Combined</w:t>
            </w:r>
          </w:p>
        </w:tc>
      </w:tr>
      <w:tr>
        <w:trPr>
          <w:trHeight w:val="215"/>
        </w:trPr>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w w:val="92"/>
              </w:rPr>
              <w:t>Beneficially Owned</w:t>
            </w:r>
            <w:r>
              <w:rPr>
                <w:rFonts w:ascii="Arial" w:cs="Arial" w:eastAsia="Arial" w:hAnsi="Arial"/>
                <w:sz w:val="18"/>
                <w:szCs w:val="18"/>
                <w:b w:val="1"/>
                <w:bCs w:val="1"/>
                <w:color w:val="auto"/>
                <w:w w:val="92"/>
                <w:vertAlign w:val="superscript"/>
              </w:rPr>
              <w:t>(1)(3)</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18"/>
                <w:szCs w:val="18"/>
                <w:b w:val="1"/>
                <w:bCs w:val="1"/>
                <w:color w:val="auto"/>
                <w:vertAlign w:val="superscript"/>
              </w:rPr>
              <w:t>(1)(2)</w:t>
            </w: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w w:val="99"/>
              </w:rPr>
              <w:t>Beneficially Owned</w:t>
            </w:r>
            <w:r>
              <w:rPr>
                <w:rFonts w:ascii="Arial" w:cs="Arial" w:eastAsia="Arial" w:hAnsi="Arial"/>
                <w:sz w:val="18"/>
                <w:szCs w:val="18"/>
                <w:b w:val="1"/>
                <w:bCs w:val="1"/>
                <w:color w:val="auto"/>
                <w:w w:val="99"/>
                <w:vertAlign w:val="superscript"/>
              </w:rPr>
              <w:t>(3)</w:t>
            </w: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Voting Power</w:t>
            </w:r>
            <w:r>
              <w:rPr>
                <w:rFonts w:ascii="Arial" w:cs="Arial" w:eastAsia="Arial" w:hAnsi="Arial"/>
                <w:sz w:val="18"/>
                <w:szCs w:val="18"/>
                <w:b w:val="1"/>
                <w:bCs w:val="1"/>
                <w:color w:val="auto"/>
                <w:w w:val="90"/>
                <w:vertAlign w:val="superscript"/>
              </w:rPr>
              <w:t>(4)</w:t>
            </w:r>
          </w:p>
        </w:tc>
      </w:tr>
      <w:tr>
        <w:trPr>
          <w:trHeight w:val="156"/>
        </w:trPr>
        <w:tc>
          <w:tcPr>
            <w:tcW w:w="30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tcBorders>
              <w:right w:val="single" w:sz="8" w:color="auto"/>
            </w:tcBorders>
            <w:gridSpan w:val="3"/>
          </w:tcPr>
          <w:p>
            <w:pPr>
              <w:jc w:val="right"/>
              <w:ind w:right="388"/>
              <w:spacing w:after="0" w:line="155" w:lineRule="exact"/>
              <w:rPr>
                <w:sz w:val="20"/>
                <w:szCs w:val="20"/>
                <w:color w:val="auto"/>
              </w:rPr>
            </w:pPr>
            <w:r>
              <w:rPr>
                <w:rFonts w:ascii="Arial" w:cs="Arial" w:eastAsia="Arial" w:hAnsi="Arial"/>
                <w:sz w:val="14"/>
                <w:szCs w:val="14"/>
                <w:b w:val="1"/>
                <w:bCs w:val="1"/>
                <w:color w:val="auto"/>
              </w:rPr>
              <w:t>%</w:t>
            </w:r>
          </w:p>
        </w:tc>
        <w:tc>
          <w:tcPr>
            <w:tcW w:w="1160" w:type="dxa"/>
            <w:vAlign w:val="bottom"/>
            <w:tcBorders>
              <w:right w:val="single" w:sz="8" w:color="auto"/>
            </w:tcBorders>
            <w:gridSpan w:val="3"/>
          </w:tcPr>
          <w:p>
            <w:pPr>
              <w:ind w:left="320"/>
              <w:spacing w:after="0" w:line="155" w:lineRule="exact"/>
              <w:rPr>
                <w:sz w:val="20"/>
                <w:szCs w:val="20"/>
                <w:color w:val="auto"/>
              </w:rPr>
            </w:pPr>
            <w:r>
              <w:rPr>
                <w:rFonts w:ascii="Arial" w:cs="Arial" w:eastAsia="Arial" w:hAnsi="Arial"/>
                <w:sz w:val="14"/>
                <w:szCs w:val="14"/>
                <w:b w:val="1"/>
                <w:bCs w:val="1"/>
                <w:color w:val="auto"/>
              </w:rPr>
              <w:t>Number</w:t>
            </w:r>
          </w:p>
        </w:tc>
        <w:tc>
          <w:tcPr>
            <w:tcW w:w="960" w:type="dxa"/>
            <w:vAlign w:val="bottom"/>
            <w:tcBorders>
              <w:right w:val="single" w:sz="8" w:color="auto"/>
            </w:tcBorders>
            <w:gridSpan w:val="3"/>
          </w:tcPr>
          <w:p>
            <w:pPr>
              <w:jc w:val="right"/>
              <w:ind w:right="348"/>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gridSpan w:val="3"/>
          </w:tcPr>
          <w:p>
            <w:pPr>
              <w:jc w:val="right"/>
              <w:ind w:right="248"/>
              <w:spacing w:after="0" w:line="155" w:lineRule="exact"/>
              <w:rPr>
                <w:sz w:val="20"/>
                <w:szCs w:val="20"/>
                <w:color w:val="auto"/>
              </w:rPr>
            </w:pPr>
            <w:r>
              <w:rPr>
                <w:rFonts w:ascii="Arial" w:cs="Arial" w:eastAsia="Arial" w:hAnsi="Arial"/>
                <w:sz w:val="14"/>
                <w:szCs w:val="14"/>
                <w:b w:val="1"/>
                <w:bCs w:val="1"/>
                <w:color w:val="auto"/>
              </w:rPr>
              <w:t>Number</w:t>
            </w:r>
          </w:p>
        </w:tc>
        <w:tc>
          <w:tcPr>
            <w:tcW w:w="1100" w:type="dxa"/>
            <w:vAlign w:val="bottom"/>
            <w:tcBorders>
              <w:right w:val="single" w:sz="8" w:color="auto"/>
            </w:tcBorders>
            <w:gridSpan w:val="3"/>
          </w:tcPr>
          <w:p>
            <w:pPr>
              <w:jc w:val="right"/>
              <w:ind w:right="428"/>
              <w:spacing w:after="0" w:line="155" w:lineRule="exact"/>
              <w:rPr>
                <w:sz w:val="20"/>
                <w:szCs w:val="20"/>
                <w:color w:val="auto"/>
              </w:rPr>
            </w:pPr>
            <w:r>
              <w:rPr>
                <w:rFonts w:ascii="Arial" w:cs="Arial" w:eastAsia="Arial" w:hAnsi="Arial"/>
                <w:sz w:val="14"/>
                <w:szCs w:val="14"/>
                <w:b w:val="1"/>
                <w:bCs w:val="1"/>
                <w:color w:val="auto"/>
              </w:rPr>
              <w:t>%</w:t>
            </w:r>
          </w:p>
        </w:tc>
        <w:tc>
          <w:tcPr>
            <w:tcW w:w="1100" w:type="dxa"/>
            <w:vAlign w:val="bottom"/>
            <w:tcBorders>
              <w:right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w:t>
            </w:r>
          </w:p>
        </w:tc>
      </w:tr>
      <w:tr>
        <w:trPr>
          <w:trHeight w:val="20"/>
        </w:trPr>
        <w:tc>
          <w:tcPr>
            <w:tcW w:w="30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r>
      <w:tr>
        <w:trPr>
          <w:trHeight w:val="224"/>
        </w:trPr>
        <w:tc>
          <w:tcPr>
            <w:tcW w:w="300" w:type="dxa"/>
            <w:vAlign w:val="bottom"/>
            <w:tcBorders>
              <w:lef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84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75,364,167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36.3 %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27,754,071</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33.7 %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34.4 %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37,493,725</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18.1 %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51,792,610</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63.0 %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29.8 %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502,168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15,079,367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7.3 %</w:t>
            </w:r>
          </w:p>
        </w:tc>
        <w:tc>
          <w:tcPr>
            <w:tcW w:w="110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5.9 %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58,153,878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28.0 %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19.4 %</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58,153,878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28.0 %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19.4 %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7,503,412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7.4 %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4,994,382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7,919,497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7.8 %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6,565,853</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6.5 %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4,216,732</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4.2 %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4,532,857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4.5 %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7,018,200</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6.9 %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5,982,269</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5.9 %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4,255,490</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4.2 %</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1,357,519</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1.3 %</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68,763,119</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33.2 %</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22.9 %</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924,377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600,767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84,220</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13,808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11,111</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11,666</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1120" w:type="dxa"/>
            <w:vAlign w:val="bottom"/>
            <w:tcBorders>
              <w:left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rPr>
              <w:t>502,168</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21,072,258</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10.2 %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7.9 %</w:t>
            </w:r>
          </w:p>
        </w:tc>
      </w:tr>
      <w:tr>
        <w:trPr>
          <w:trHeight w:val="216"/>
        </w:trPr>
        <w:tc>
          <w:tcPr>
            <w:tcW w:w="1120" w:type="dxa"/>
            <w:vAlign w:val="bottom"/>
            <w:tcBorders>
              <w:left w:val="single" w:sz="8" w:color="auto"/>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4,269,997</w:t>
            </w:r>
          </w:p>
        </w:tc>
        <w:tc>
          <w:tcPr>
            <w:tcW w:w="10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4.1 %</w:t>
            </w:r>
          </w:p>
        </w:tc>
        <w:tc>
          <w:tcPr>
            <w:tcW w:w="116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89,919,597</w:t>
            </w:r>
          </w:p>
        </w:tc>
        <w:tc>
          <w:tcPr>
            <w:tcW w:w="9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43.4 %</w:t>
            </w:r>
          </w:p>
        </w:tc>
        <w:tc>
          <w:tcPr>
            <w:tcW w:w="110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2,706,655</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3.3 %</w:t>
            </w:r>
          </w:p>
        </w:tc>
        <w:tc>
          <w:tcPr>
            <w:tcW w:w="110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30.9 %</w:t>
            </w:r>
          </w:p>
        </w:tc>
      </w:tr>
      <w:tr>
        <w:trPr>
          <w:trHeight w:val="25"/>
        </w:trPr>
        <w:tc>
          <w:tcPr>
            <w:tcW w:w="300" w:type="dxa"/>
            <w:vAlign w:val="bottom"/>
            <w:tcBorders>
              <w:left w:val="single" w:sz="8" w:color="auto"/>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r>
    </w:tbl>
    <w:p>
      <w:pPr>
        <w:spacing w:after="0" w:line="170" w:lineRule="exact"/>
        <w:rPr>
          <w:sz w:val="20"/>
          <w:szCs w:val="20"/>
          <w:color w:val="auto"/>
        </w:rPr>
      </w:pPr>
    </w:p>
    <w:p>
      <w:pPr>
        <w:sectPr>
          <w:pgSz w:w="11900" w:h="16838" w:orient="portrait"/>
          <w:cols w:equalWidth="0" w:num="2">
            <w:col w:w="3240" w:space="420"/>
            <w:col w:w="7600"/>
          </w:cols>
          <w:pgMar w:left="320" w:top="1440" w:right="319" w:bottom="1440" w:gutter="0" w:footer="0" w:header="0"/>
          <w:type w:val="continuous"/>
        </w:sectPr>
      </w:pPr>
    </w:p>
    <w:p>
      <w:pPr>
        <w:spacing w:after="0"/>
        <w:rPr>
          <w:sz w:val="20"/>
          <w:szCs w:val="20"/>
          <w:color w:val="auto"/>
        </w:rPr>
      </w:pPr>
      <w:r>
        <w:rPr>
          <w:rFonts w:ascii="Arial" w:cs="Arial" w:eastAsia="Arial" w:hAnsi="Arial"/>
          <w:sz w:val="14"/>
          <w:szCs w:val="14"/>
          <w:color w:val="auto"/>
        </w:rPr>
        <w:t>* Represents 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60"/>
          </w:cols>
          <w:pgMar w:left="320" w:top="1440" w:right="319" w:bottom="1440" w:gutter="0" w:footer="0" w:header="0"/>
          <w:type w:val="continuous"/>
        </w:sectPr>
      </w:pPr>
    </w:p>
    <w:bookmarkStart w:id="38" w:name="page39"/>
    <w:bookmarkEnd w:id="38"/>
    <w:p>
      <w:pPr>
        <w:jc w:val="both"/>
        <w:ind w:left="820" w:hanging="812"/>
        <w:spacing w:after="0" w:line="24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See “Certain Relationships and Related Person Transactions—ZoomInfo OpCo Amended and Restated Limited Liability Company Agreement,” and “Certain Relationships and Related Person Transactions— 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31" w:lineRule="exact"/>
        <w:rPr>
          <w:rFonts w:ascii="Arial" w:cs="Arial" w:eastAsia="Arial" w:hAnsi="Arial"/>
          <w:sz w:val="14"/>
          <w:szCs w:val="14"/>
          <w:color w:val="auto"/>
        </w:rPr>
      </w:pPr>
    </w:p>
    <w:p>
      <w:pPr>
        <w:ind w:left="820" w:hanging="812"/>
        <w:spacing w:after="0"/>
        <w:tabs>
          <w:tab w:leader="none" w:pos="8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spacing w:after="0" w:line="55" w:lineRule="exact"/>
        <w:rPr>
          <w:rFonts w:ascii="Arial" w:cs="Arial" w:eastAsia="Arial" w:hAnsi="Arial"/>
          <w:sz w:val="14"/>
          <w:szCs w:val="14"/>
          <w:color w:val="auto"/>
        </w:rPr>
      </w:pPr>
    </w:p>
    <w:p>
      <w:pPr>
        <w:jc w:val="both"/>
        <w:ind w:left="820" w:hanging="812"/>
        <w:spacing w:after="0" w:line="268" w:lineRule="auto"/>
        <w:tabs>
          <w:tab w:leader="none" w:pos="8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the IPO.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Beneficial ownership of shares of Class C common stock reflected in this table has not been also reflected as beneficial ownership of shares of our Class A common stock for which such shares may be converted.</w:t>
      </w:r>
    </w:p>
    <w:p>
      <w:pPr>
        <w:spacing w:after="0" w:line="19" w:lineRule="exact"/>
        <w:rPr>
          <w:rFonts w:ascii="Arial" w:cs="Arial" w:eastAsia="Arial" w:hAnsi="Arial"/>
          <w:sz w:val="13"/>
          <w:szCs w:val="13"/>
          <w:color w:val="auto"/>
        </w:rPr>
      </w:pPr>
    </w:p>
    <w:p>
      <w:pPr>
        <w:ind w:left="820" w:right="20" w:hanging="812"/>
        <w:spacing w:after="0" w:line="273"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calculated based on the number of outstanding shares beneficially owned as of March 5, 2021 by the applicable holder.</w:t>
      </w:r>
    </w:p>
    <w:p>
      <w:pPr>
        <w:spacing w:after="0" w:line="11" w:lineRule="exact"/>
        <w:rPr>
          <w:rFonts w:ascii="Arial" w:cs="Arial" w:eastAsia="Arial" w:hAnsi="Arial"/>
          <w:sz w:val="14"/>
          <w:szCs w:val="14"/>
          <w:color w:val="auto"/>
        </w:rPr>
      </w:pPr>
    </w:p>
    <w:p>
      <w:pPr>
        <w:jc w:val="both"/>
        <w:ind w:left="820" w:hanging="812"/>
        <w:spacing w:after="0" w:line="265" w:lineRule="auto"/>
        <w:tabs>
          <w:tab w:leader="none" w:pos="8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Amounts beneficially owned reflect (i) 55,376,065 OpCo Units (and associated shares of Class B common stock) held by TA XI DO AIV, L.P., (ii) 1,429,553 OpCo Units (and associated shares of Class B common stock) held by TA SDF III DO AIV, L.P., (iii) 9,563,394 OpCo Units (and associated shares of Class B common stock) held by TA Atlantic and Pacific VII-A, L.P., (iv) 2,056,642 OpCo Units (and associated shares of Class B common stock) held by TA Investors IV, L.P., (v) 3,621,301 OpCo Units (and associated shares of Class B common stock) held by TA XI DO AIV II, L.P., (vi) 68,287 OpCo Units (and associated shares of Class B common stock) held by TA SDF III DO AIV II, L.P., (vii) 3,248,925 OpCo Units (and associated shares of Class B common stock) held by TA AP VII-B DO Subsidiary Partnership, L.P., (viii) 14,485,209 shares of Class C common stock held by TA XI DO Feeder, L.P., (ix) 273,155 shares of Class C common stock held by TA SDF III DO Feeder, L.P., and (x) 12,995,707 shares of Class C common stock held by TA Atlantic and Pacific VII-B, L.P. (collectively, the “TA Associates Funds”).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0" w:lineRule="exact"/>
        <w:rPr>
          <w:rFonts w:ascii="Arial" w:cs="Arial" w:eastAsia="Arial" w:hAnsi="Arial"/>
          <w:sz w:val="13"/>
          <w:szCs w:val="13"/>
          <w:color w:val="auto"/>
        </w:rPr>
      </w:pPr>
    </w:p>
    <w:p>
      <w:pPr>
        <w:jc w:val="both"/>
        <w:ind w:left="820" w:hanging="812"/>
        <w:spacing w:after="0" w:line="25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Carlyle Partners VI Evergreen Holdings, L.P. (“Carlyle Evergreen”) is the record holder of 37,493,725 OpCo Units (and associated shares of Class B common stock). CP VI Evergreen Holdings, L.P. (“CP VI Evergreen”) is the record holder of 37,702,342 shares of Class C common stock. Carlyle Partners VI Dash Holdings, L.P. (together with Carlyle Evergreen and CP VI Evergreen, the “Carlyle Investors”) is the record holder of 14,090,268 shares of Class C common stock.</w:t>
      </w:r>
    </w:p>
    <w:p>
      <w:pPr>
        <w:spacing w:after="0" w:line="22" w:lineRule="exact"/>
        <w:rPr>
          <w:rFonts w:ascii="Arial" w:cs="Arial" w:eastAsia="Arial" w:hAnsi="Arial"/>
          <w:sz w:val="14"/>
          <w:szCs w:val="14"/>
          <w:color w:val="auto"/>
        </w:rPr>
      </w:pPr>
    </w:p>
    <w:p>
      <w:pPr>
        <w:jc w:val="both"/>
        <w:ind w:left="820"/>
        <w:spacing w:after="0" w:line="249" w:lineRule="auto"/>
        <w:rPr>
          <w:rFonts w:ascii="Arial" w:cs="Arial" w:eastAsia="Arial" w:hAnsi="Arial"/>
          <w:sz w:val="14"/>
          <w:szCs w:val="14"/>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8" w:lineRule="exact"/>
        <w:rPr>
          <w:rFonts w:ascii="Arial" w:cs="Arial" w:eastAsia="Arial" w:hAnsi="Arial"/>
          <w:sz w:val="14"/>
          <w:szCs w:val="14"/>
          <w:color w:val="auto"/>
        </w:rPr>
      </w:pPr>
    </w:p>
    <w:p>
      <w:pPr>
        <w:jc w:val="both"/>
        <w:ind w:left="820"/>
        <w:spacing w:after="0" w:line="252" w:lineRule="auto"/>
        <w:rPr>
          <w:rFonts w:ascii="Arial" w:cs="Arial" w:eastAsia="Arial" w:hAnsi="Arial"/>
          <w:sz w:val="14"/>
          <w:szCs w:val="14"/>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spacing w:after="0" w:line="25" w:lineRule="exact"/>
        <w:rPr>
          <w:rFonts w:ascii="Arial" w:cs="Arial" w:eastAsia="Arial" w:hAnsi="Arial"/>
          <w:sz w:val="14"/>
          <w:szCs w:val="14"/>
          <w:color w:val="auto"/>
        </w:rPr>
      </w:pPr>
    </w:p>
    <w:p>
      <w:pPr>
        <w:jc w:val="both"/>
        <w:ind w:left="820"/>
        <w:spacing w:after="0" w:line="249" w:lineRule="auto"/>
        <w:rPr>
          <w:rFonts w:ascii="Arial" w:cs="Arial" w:eastAsia="Arial" w:hAnsi="Arial"/>
          <w:sz w:val="14"/>
          <w:szCs w:val="14"/>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28" w:lineRule="exact"/>
        <w:rPr>
          <w:rFonts w:ascii="Arial" w:cs="Arial" w:eastAsia="Arial" w:hAnsi="Arial"/>
          <w:sz w:val="14"/>
          <w:szCs w:val="14"/>
          <w:color w:val="auto"/>
        </w:rPr>
      </w:pPr>
    </w:p>
    <w:p>
      <w:pPr>
        <w:jc w:val="both"/>
        <w:ind w:left="820"/>
        <w:spacing w:after="0" w:line="257" w:lineRule="auto"/>
        <w:rPr>
          <w:rFonts w:ascii="Arial" w:cs="Arial" w:eastAsia="Arial" w:hAnsi="Arial"/>
          <w:sz w:val="14"/>
          <w:szCs w:val="14"/>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spacing w:after="0" w:line="22" w:lineRule="exact"/>
        <w:rPr>
          <w:rFonts w:ascii="Arial" w:cs="Arial" w:eastAsia="Arial" w:hAnsi="Arial"/>
          <w:sz w:val="14"/>
          <w:szCs w:val="14"/>
          <w:color w:val="auto"/>
        </w:rPr>
      </w:pPr>
    </w:p>
    <w:p>
      <w:pPr>
        <w:jc w:val="both"/>
        <w:ind w:left="820" w:hanging="812"/>
        <w:spacing w:after="0" w:line="257" w:lineRule="auto"/>
        <w:tabs>
          <w:tab w:leader="none" w:pos="81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beneficially owned reflect (i) 2,308,179 shares of Class C common stock and 12,182,507 OpCo Units (and associated shares of Class B common stock) held directly by 22C Magellan Holdings LLC, whose two principal members are 22C DiscoverOrg Investors, LLC and 22C Capital I, L.P., (ii) 398,476 shares of Class C common stock and 76,812 HoldCo Units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7" w:right="339" w:bottom="1440" w:gutter="0" w:footer="0" w:header="0"/>
        </w:sectPr>
      </w:pPr>
    </w:p>
    <w:bookmarkStart w:id="39" w:name="page40"/>
    <w:bookmarkEnd w:id="39"/>
    <w:p>
      <w:pPr>
        <w:spacing w:after="0" w:line="31" w:lineRule="exact"/>
        <w:rPr>
          <w:sz w:val="20"/>
          <w:szCs w:val="20"/>
          <w:color w:val="auto"/>
        </w:rPr>
      </w:pPr>
    </w:p>
    <w:p>
      <w:pPr>
        <w:jc w:val="both"/>
        <w:ind w:left="820"/>
        <w:spacing w:after="0" w:line="244" w:lineRule="auto"/>
        <w:rPr>
          <w:sz w:val="20"/>
          <w:szCs w:val="20"/>
          <w:color w:val="auto"/>
        </w:rPr>
      </w:pPr>
      <w:r>
        <w:rPr>
          <w:rFonts w:ascii="Arial" w:cs="Arial" w:eastAsia="Arial" w:hAnsi="Arial"/>
          <w:sz w:val="14"/>
          <w:szCs w:val="14"/>
          <w:color w:val="auto"/>
        </w:rPr>
        <w:t>associated shares of Class B common stock) held directly by 22C Capital I-A, L.P.; and (iii) 502,168 shares of Class A common stock and 2,820,048 OpCo Units (and associated shares of Class B common stock) held directly by 22C DiscoverOrg MM, LLC.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 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the shares of Class C common stock and HoldCo Units (and associated shares of Class B common stock) held directly by 22C Capital I-A, L.P. and the shares of Class A common stock and OpCo Units (and associated shares of Class B common stock) held directly by 22C DiscoverOrg MM, LLC. In addition,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FiveW DiscoverOrg LLC. The address of 22C Magellan Holdings LLC, 22C Capital I-A, L.P., Eric Edell and D. Randall Winn is 445 Park Avenue, 13th Floor, New York, New York 10022.</w:t>
      </w:r>
    </w:p>
    <w:p>
      <w:pPr>
        <w:spacing w:after="0" w:line="36" w:lineRule="exact"/>
        <w:rPr>
          <w:sz w:val="20"/>
          <w:szCs w:val="20"/>
          <w:color w:val="auto"/>
        </w:rPr>
      </w:pPr>
    </w:p>
    <w:p>
      <w:pPr>
        <w:jc w:val="both"/>
        <w:ind w:left="820" w:hanging="812"/>
        <w:spacing w:after="0" w:line="257" w:lineRule="auto"/>
        <w:tabs>
          <w:tab w:leader="none" w:pos="8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beneficially owned reflect 58,153,878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 c/o 805 Broadway Street, Suite 900 Vancouver, Washington 98660.</w:t>
      </w:r>
    </w:p>
    <w:p>
      <w:pPr>
        <w:spacing w:after="0" w:line="22" w:lineRule="exact"/>
        <w:rPr>
          <w:rFonts w:ascii="Arial" w:cs="Arial" w:eastAsia="Arial" w:hAnsi="Arial"/>
          <w:sz w:val="14"/>
          <w:szCs w:val="14"/>
          <w:color w:val="auto"/>
        </w:rPr>
      </w:pPr>
    </w:p>
    <w:p>
      <w:pPr>
        <w:ind w:left="820" w:hanging="812"/>
        <w:spacing w:after="0" w:line="273" w:lineRule="auto"/>
        <w:tabs>
          <w:tab w:leader="none" w:pos="8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beneficially owned reflect the 58,153,878 OpCo Units (and associated shares of Class B common stock) held directly by DO Holdings (WA), LLC (as described above). The principal business address of Mr. Brown is c/o 1012 SE 64th Court, Vancouver, Washington 98661.</w:t>
      </w:r>
    </w:p>
    <w:p>
      <w:pPr>
        <w:spacing w:after="0" w:line="11" w:lineRule="exact"/>
        <w:rPr>
          <w:rFonts w:ascii="Arial" w:cs="Arial" w:eastAsia="Arial" w:hAnsi="Arial"/>
          <w:sz w:val="14"/>
          <w:szCs w:val="14"/>
          <w:color w:val="auto"/>
        </w:rPr>
      </w:pPr>
    </w:p>
    <w:p>
      <w:pPr>
        <w:jc w:val="both"/>
        <w:ind w:left="820" w:hanging="812"/>
        <w:spacing w:after="0" w:line="246"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January 27, 2021 by BlackRock, Inc. in which BlackRock, Inc. reported sole voting power over 6,868,867 shares of our Class A common stock and sole dispositive power over 7,503,412 shares of our Class A common stock. According to the schedule, the subsidiaries of BlackRock, Inc. that acquired the shares of our Class A common stock reported are: BlackRock International Limited, BlackRock Advisors, LLC, BlackRock (Netherlands) B.V., BlackRock Institutional Trust Company, National Association, BlackRock Asset Management Ireland Limited, BlackRock Financial Management, Inc., BlackRock Japan Co., Ltd., BlackRock Asset Management Schweiz AG, BlackRock Investment Management (UK) Limited, BlackRock (Luxembourg) S.A., BlackRock Investment Management (Australia) Limited, BlackRock Advisors (UK) Limited, BlackRock Fund Advisors and BlackRock Fund Managers Ltd. The principal business address of BlackRock, Inc. is 55 East 52nd St., New York, NY 10055.</w:t>
      </w:r>
    </w:p>
    <w:p>
      <w:pPr>
        <w:spacing w:after="0" w:line="32" w:lineRule="exact"/>
        <w:rPr>
          <w:rFonts w:ascii="Arial" w:cs="Arial" w:eastAsia="Arial" w:hAnsi="Arial"/>
          <w:sz w:val="14"/>
          <w:szCs w:val="14"/>
          <w:color w:val="auto"/>
        </w:rPr>
      </w:pPr>
    </w:p>
    <w:p>
      <w:pPr>
        <w:jc w:val="both"/>
        <w:ind w:left="820" w:hanging="812"/>
        <w:spacing w:after="0" w:line="265" w:lineRule="auto"/>
        <w:tabs>
          <w:tab w:leader="none" w:pos="811"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4, 2021 by Wellington Management Group LLP, Wellington Group Holdings LLP, Wellington Investment Advisors Holdings LLP and Wellington Management Company LLP in which they reported that each of Wellington Management Group LLP, Wellington Group Holdings LLP and Wellington Investment Advisors Holdings LLP had share voting power over 4,377,458 shares of our Class A common stock and shared dispositive power over 4,994,375 shares of our Class A common stock and Wellington Management Company LLP had shared voting power over 4,319,301 shares of our Class A common stock and shared dispositive power over 4,698,550 shares of our Class A common stock. According to the schedule, the shares of our Class A common stock reported are owned of record by clients of Wellington Management Company LLP, Wellington Management Canada LLC, Wellington Management Singapore Pte Ltd, Wellington Management Hong Kong Ltd, Wellington Management International Ltd, Wellington Management Japan Pte Ltd and Wellington Management Australia Pty Ltd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business address of Wellington Management Group LLP, Wellington Group Holdings LLP, Wellington Investment Advisors Holdings LLP and Wellington Management Company LLP is c/o Wellington Management Company, 280 Congress St., Boston, MA 02210.</w:t>
      </w:r>
    </w:p>
    <w:p>
      <w:pPr>
        <w:spacing w:after="0" w:line="20" w:lineRule="exact"/>
        <w:rPr>
          <w:rFonts w:ascii="Arial" w:cs="Arial" w:eastAsia="Arial" w:hAnsi="Arial"/>
          <w:sz w:val="13"/>
          <w:szCs w:val="13"/>
          <w:color w:val="auto"/>
        </w:rPr>
      </w:pPr>
    </w:p>
    <w:p>
      <w:pPr>
        <w:jc w:val="both"/>
        <w:ind w:left="820" w:hanging="812"/>
        <w:spacing w:after="0" w:line="249"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13G/A filed with the SEC on February 8, 2021 by FMR LLC and Abigail P. Johnson in which they reported that FMR LLC had sole voting power over 472,149 shares of our Class A common stock and sole dispositive power over 7,919,497 shares of our Class A common stock and Abigail P. Johnson had sole dispositive power over 7,919,487 shares of our Class A common stock. According to the schedule, the subsidiaries of FMR LLC that acquired the shares of our Class A common stock reported are: FMR LLC’s subsidiaries Fidelity Institutional Asset Management Trust Company, Fidelity Management &amp; Research Company LLC and Strategic Advisers LLC. The principal business address of FMR LLC and Ms. Johnson is 245 Summer Street, Boston, MA 02210.</w:t>
      </w:r>
    </w:p>
    <w:p>
      <w:pPr>
        <w:spacing w:after="0" w:line="28"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10, 2021 by The Vanguard Group in which The Vanguard Group reported that it had shared voting power over 35,724 shares of our Class A common stock, sole dispositive power over 6,472,945 shares of our Class A common stock, and shared dispositive power over 92,008 shares of our Class A common stock. According to the schedule, the subsidiaries that acquired the shares of our Class A common stock reported are: Vanguard Asset Management, Limited, Vanguard Fiduciary Trust Company, Vanguard Global Advisors, LLC, Vanguard Group (Ireland) Limited, Vanguard Investments Australia Ltd, Vanguard Investments Canada Inc., Vanguard Investments Hong Kong Limited and Vanguard Investments UK, Limited. The principal business address of The Vanguard Group is 100 Vanguard Blvd., Malvern, PA 19355.</w:t>
      </w:r>
    </w:p>
    <w:p>
      <w:pPr>
        <w:spacing w:after="0" w:line="31" w:lineRule="exact"/>
        <w:rPr>
          <w:rFonts w:ascii="Arial" w:cs="Arial" w:eastAsia="Arial" w:hAnsi="Arial"/>
          <w:sz w:val="14"/>
          <w:szCs w:val="14"/>
          <w:color w:val="auto"/>
        </w:rPr>
      </w:pPr>
    </w:p>
    <w:p>
      <w:pPr>
        <w:jc w:val="both"/>
        <w:ind w:left="820" w:hanging="812"/>
        <w:spacing w:after="0" w:line="277" w:lineRule="auto"/>
        <w:tabs>
          <w:tab w:leader="none" w:pos="817"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11, 2021 by BAMCO Inc., Baron Capital Group, Inc., Baron Capital Management, Inc. and Ronald Baron in which they reported that BAMCO Inc. has shared voting and dispositive power over 3,989,506 shares of our Class A common stock, each of Baron Capital Group, Inc. and Ronald Baron has shared voting and dispositive power over 4,216,732 shares of our Class A common stock, and Baron Capital Management, Inc. has shared voting and dispositive power over 227,226 shares of our Class A common stock. The principal business address of BAMCO Inc. is 767 Fifth Ave., 49th Fl., New York, NY 10153.</w:t>
      </w:r>
    </w:p>
    <w:p>
      <w:pPr>
        <w:spacing w:after="0" w:line="11" w:lineRule="exact"/>
        <w:rPr>
          <w:rFonts w:ascii="Arial" w:cs="Arial" w:eastAsia="Arial" w:hAnsi="Arial"/>
          <w:sz w:val="13"/>
          <w:szCs w:val="13"/>
          <w:color w:val="auto"/>
        </w:rPr>
      </w:pPr>
    </w:p>
    <w:p>
      <w:pPr>
        <w:ind w:left="820" w:hanging="812"/>
        <w:spacing w:after="0" w:line="273" w:lineRule="auto"/>
        <w:tabs>
          <w:tab w:leader="none" w:pos="81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12, 2021 by Morgan Stanley and Morgan Stanley Investment Management Inc. (“Morgan Stanley Investment”) in which Morgan Stanley and Morgan Stanley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31" w:lineRule="exact"/>
        <w:rPr>
          <w:sz w:val="20"/>
          <w:szCs w:val="20"/>
          <w:color w:val="auto"/>
        </w:rPr>
      </w:pPr>
    </w:p>
    <w:p>
      <w:pPr>
        <w:ind w:left="820"/>
        <w:spacing w:after="0" w:line="273" w:lineRule="auto"/>
        <w:rPr>
          <w:sz w:val="20"/>
          <w:szCs w:val="20"/>
          <w:color w:val="auto"/>
        </w:rPr>
      </w:pPr>
      <w:r>
        <w:rPr>
          <w:rFonts w:ascii="Arial" w:cs="Arial" w:eastAsia="Arial" w:hAnsi="Arial"/>
          <w:sz w:val="14"/>
          <w:szCs w:val="14"/>
          <w:color w:val="auto"/>
        </w:rPr>
        <w:t>each reported that is has sole voting and dispositive power over 4,532,857 shares of our Class A common stock. The principal business address of Morgan Stanley is 1585 Broadway, New York, NY 10036 and the principal business address of Morgan Stanley Investment is 522 5th Ave., 6th Fl, New York, NY 10036.</w:t>
      </w:r>
    </w:p>
    <w:p>
      <w:pPr>
        <w:spacing w:after="0" w:line="12" w:lineRule="exact"/>
        <w:rPr>
          <w:sz w:val="20"/>
          <w:szCs w:val="20"/>
          <w:color w:val="auto"/>
        </w:rPr>
      </w:pPr>
    </w:p>
    <w:p>
      <w:pPr>
        <w:jc w:val="both"/>
        <w:ind w:left="820" w:hanging="812"/>
        <w:spacing w:after="0" w:line="247" w:lineRule="auto"/>
        <w:tabs>
          <w:tab w:leader="none" w:pos="865"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12, 2021 by Allianz Global Investors U.S. Holdings LLC (“AGI US Holdings”) and Allianz Global Investors GmbH (“AGI GmbH”) in which they reported that Allianz Global Investors U.S. LLC (“AGI US”), a wholly-owned subsidiary of AGI US Holdings, has sole voting power over 2,495,015 shares of our Class A common stock, shared voting power over 71,495 shares of our Class A common stock and sole dispositive power over 2,566,960 shares of our Class A common stock and AGI GmbH has sole voting and dispositive power over 4,451,240 shares of our Class A common stock. The principal business address of AGI US Holdings is 1633 Broadway, New York, NY 10019. The principal business address of AGI GmbH is Bockenheimer Landstrasse 42-44, Frankfurt, 2M 60323 Germany.</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16, 2021 by Capital World Investors (“CWI”) in which CWI reported that it has sole voting and dispositive power over 5,982,269 shares of our Class A common stock. According to the schedule,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 management services under the name "Capital World Investors." The principal business address of CWI is 333 South Hope Street, 55th Fl, Los Angeles, CA 90071.</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information contained in a Schedule 13G filed with the SEC on February 16, 2021 by Capital Research Global Investors (“CGRI”) in which CGRI reported that it has sole voting and dispositive power over 4,255,490 shares of our Class A common stock. According to the schedule, CGRI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CRGI's divisions of each of the investment management entities collectively provide investment management services under the name "Capital Research Global Investors." The principal business address of CGRI is 333 South Hope Street, 55th Fl, Los Angeles, CA 90071.</w:t>
      </w:r>
    </w:p>
    <w:p>
      <w:pPr>
        <w:spacing w:after="0" w:line="31" w:lineRule="exact"/>
        <w:rPr>
          <w:rFonts w:ascii="Arial" w:cs="Arial" w:eastAsia="Arial" w:hAnsi="Arial"/>
          <w:sz w:val="14"/>
          <w:szCs w:val="14"/>
          <w:color w:val="auto"/>
        </w:rPr>
      </w:pPr>
    </w:p>
    <w:p>
      <w:pPr>
        <w:jc w:val="both"/>
        <w:ind w:left="820" w:hanging="812"/>
        <w:spacing w:after="0" w:line="247"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held directly by Henry Schuck (including 80,370 Class P Units that vest within 60 days) exchangeable for 1,357,519 shares of Class A common stock (based on the closing price of our Class A common stock of $45.99 per share reported on Nasdaq on March 5, 2021); 8,647,692 OpCo Units (and associated shares of Class B common stock) held directly by HSKB Funds, LLC; 58,153,878 OpCo Units (and associated shares of Class B common stock) held directly by DO Holdings (WA), LLC (as described above); and 1,961,549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spacing w:after="0" w:line="31" w:lineRule="exact"/>
        <w:rPr>
          <w:rFonts w:ascii="Arial" w:cs="Arial" w:eastAsia="Arial" w:hAnsi="Arial"/>
          <w:sz w:val="14"/>
          <w:szCs w:val="14"/>
          <w:color w:val="auto"/>
        </w:rPr>
      </w:pPr>
    </w:p>
    <w:p>
      <w:pPr>
        <w:jc w:val="both"/>
        <w:ind w:left="820" w:hanging="812"/>
        <w:spacing w:after="0" w:line="252"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directly by Chris Hays (including 50,964 Class P Units that vest within 60 days) exchangeable for 590,138 shares of Class A common stock (based on the closing price of our Class A common stock of $45.99 per share reported on Nasdaq on March 5, 2021); 10,629 LLC units of HSKB Funds, LLC that vest within 60 days and upon vesting will be exchanged for shares of Class A common stock; and 84,220 OpCo Units (and associated shares of Class B common stock) held directly by Mr. Hays.</w:t>
      </w:r>
    </w:p>
    <w:p>
      <w:pPr>
        <w:spacing w:after="0" w:line="25" w:lineRule="exact"/>
        <w:rPr>
          <w:rFonts w:ascii="Arial" w:cs="Arial" w:eastAsia="Arial" w:hAnsi="Arial"/>
          <w:sz w:val="14"/>
          <w:szCs w:val="14"/>
          <w:color w:val="auto"/>
        </w:rPr>
      </w:pPr>
    </w:p>
    <w:p>
      <w:pPr>
        <w:ind w:left="820" w:hanging="812"/>
        <w:spacing w:after="0"/>
        <w:tabs>
          <w:tab w:leader="none" w:pos="8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 shown includes 9,524 unvested restricted stock units that vest within 60 days.</w:t>
      </w:r>
    </w:p>
    <w:p>
      <w:pPr>
        <w:spacing w:after="0" w:line="55" w:lineRule="exact"/>
        <w:rPr>
          <w:rFonts w:ascii="Arial" w:cs="Arial" w:eastAsia="Arial" w:hAnsi="Arial"/>
          <w:sz w:val="14"/>
          <w:szCs w:val="14"/>
          <w:color w:val="auto"/>
        </w:rPr>
      </w:pPr>
    </w:p>
    <w:p>
      <w:pPr>
        <w:jc w:val="both"/>
        <w:ind w:left="820" w:hanging="812"/>
        <w:spacing w:after="0" w:line="249"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(i) 502,168 shares of Class A common stock, 2,706,655 shares of Class C common stock, 15,002,555 OpCo Units (and associated shares of Class B common stock), and 76,812 HoldCo Units (and associated shares of Class B common stock) beneficially owned by 22C Capital, as disclosed in footnote (7) above; (ii) 1,258,117 OpCo Units (and associated shares of Class B common stock) directly held by Mr. Winn in his individual capacity; and (iii) 4,734,774 OpCo Units (and associated shares of Class B common stock) held directly by FiveW DiscoverOrg LLC, over which Mr. Winn exercises voting and investment power. The principal business address of Mr. Winn is 445 Park Avenue, 13th Floor, New York, New York 10022.</w:t>
      </w:r>
    </w:p>
    <w:p>
      <w:pPr>
        <w:spacing w:after="0" w:line="28" w:lineRule="exact"/>
        <w:rPr>
          <w:rFonts w:ascii="Arial" w:cs="Arial" w:eastAsia="Arial" w:hAnsi="Arial"/>
          <w:sz w:val="14"/>
          <w:szCs w:val="14"/>
          <w:color w:val="auto"/>
        </w:rPr>
      </w:pPr>
    </w:p>
    <w:p>
      <w:pPr>
        <w:jc w:val="both"/>
        <w:ind w:left="820" w:hanging="812"/>
        <w:spacing w:after="0" w:line="277" w:lineRule="auto"/>
        <w:tabs>
          <w:tab w:leader="none" w:pos="817" w:val="left"/>
        </w:tabs>
        <w:numPr>
          <w:ilvl w:val="0"/>
          <w:numId w:val="26"/>
        </w:numPr>
        <w:rPr>
          <w:rFonts w:ascii="Arial" w:cs="Arial" w:eastAsia="Arial" w:hAnsi="Arial"/>
          <w:sz w:val="13"/>
          <w:szCs w:val="13"/>
          <w:color w:val="auto"/>
        </w:rPr>
      </w:pPr>
      <w:r>
        <w:rPr>
          <w:rFonts w:ascii="Arial" w:cs="Arial" w:eastAsia="Arial" w:hAnsi="Arial"/>
          <w:sz w:val="13"/>
          <w:szCs w:val="13"/>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11" w:lineRule="exact"/>
        <w:rPr>
          <w:rFonts w:ascii="Arial" w:cs="Arial" w:eastAsia="Arial" w:hAnsi="Arial"/>
          <w:sz w:val="13"/>
          <w:szCs w:val="13"/>
          <w:color w:val="auto"/>
        </w:rPr>
      </w:pPr>
    </w:p>
    <w:p>
      <w:pPr>
        <w:ind w:left="820" w:hanging="812"/>
        <w:spacing w:after="0" w:line="273" w:lineRule="auto"/>
        <w:tabs>
          <w:tab w:leader="none" w:pos="817"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Amounts beneficially owned reflect Class P Units held directly by Nir Keren exchangeable for 924,377 shares of Class A common stock (based on the closing price of our Class A common stock of $45.99 per share reported on Nasdaq on March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Section 16(a) of the Exchange Act requires executive officers and directors, a company’s chief accounting officer and persons who beneficially own more than 10% of a company’s common stock, to file initial reports of ownership and reports of changes in ownership with the SEC and the Nasdaq.</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solely on our review of copies of such reports and written representations from our executive officers, directors, Carlyle, TA Associates, 22C Capital and our Founders, we believe that our executive officers, directors, Carlyle, TA Associates, 22C Capital and our Founders complied with all Section 16(a) filing requirements during 2020, except that Kirk Brown, one of our Founders, filed his Form 3 in connection with our IPO a day after the date such Form 3 was required to be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Our related person policy requires that information about any “related person transaction” (defined as any transaction that is anticipated would be reportable by us under Item 404(a) of Regulation S-K in which we were or are to be a participant and the amount involved exceeds $120,000 and in which any “related person” (as defined in Item 404(a) of Regulation S-K) had or will have a direct or indirect material interest) proposed to be entered into by the Company must be reported to the Company’s General Counsel. The General Counsel will then promptly communicate that information to our Board of Directors or a duly authorized committee of our Board of Directors. Each related person transaction shall either be approved in advance, or ratified after consummation of the transaction, by our Board of Directors or a committee of our Board of Directors composed solely of independent directors who are disinterested. Our Board of Directors has designated the Audit Committee to serve as such committee. It is our policy that directors interested in a related person transaction will recuse themselves from any vote on a related person transaction in which they have an interest.</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policy also contains a standing approval for transactions with and payments to or from TA Associates, Carlyle and investment funds associated with 22C Capital LLC (“22C Capital”) and/or their respective affiliates (including portfolio companies) (each, a “Sponsor” and, collectively, the “Sponsors”) pursuant to agreements that were in effect at the time of the IPO and certain transactions with or related to the Sponsors, including, without limitation:</w:t>
      </w:r>
    </w:p>
    <w:p>
      <w:pPr>
        <w:spacing w:after="0" w:line="2" w:lineRule="exact"/>
        <w:rPr>
          <w:sz w:val="20"/>
          <w:szCs w:val="20"/>
          <w:color w:val="auto"/>
        </w:rPr>
      </w:pPr>
    </w:p>
    <w:p>
      <w:pPr>
        <w:jc w:val="both"/>
        <w:ind w:firstLine="8"/>
        <w:spacing w:after="0" w:line="290"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transactions involving the Company’s securities in which any Sponsor serves as an underwrite, placement agent, initial purchaser, financial advisor or in a similar capacity, and the fees and commissions received by the Sponsor for such services are no greater (on a per security basis) than those received by other underwriters, placement agents, initial purchasers, financial advisors or persons performing in a similar capacity in the transaction or that would be received by an unaffiliated third party; and (2) the purchase or sale of products or services involving any Sponsor, provided that (a) the appropriate officers of the Company reasonably believe the transaction is an arm’s length transaction, (b) the subject products or services are of a type generally made available to other customers of the Sponsor and (c) the aggregate amount involved in such purchase or sale is expected to be less than $5 million over five years.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unless otherwise noted or the context requires otherwise:</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“HoldCo Units” refers to the class of units of ZoomInfo HoldCo.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“OpCo Units” refers to the class of units of ZoomInfo OpCo and does not include Class P Units.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held HoldCo Units immediately prior to the consummation of the IPO.</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“pre-IPO owners” refers, collectively, to the Sponsors, the Founders, and the management and other equity holders who were the owners of ZoomInfo OpCo immediately prior to the Reorganization Transactions (as defined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“Pre-IPO OpCo Unitholders” refers to the pre-IPO owners that held OpCo Units immediately prior to the consummation of the IPO.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we entered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stockholders agreement requires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has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IPO, we entered into a registration rights agreement with certain affiliates of TA Associates, Carlyle, 22C Capital, and the Founders pursuant to which we granted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are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the IPO, in connection with the public offering of such Class A common stock, the parties to the registration rights agreement are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also has participation rights to participate in any sale by affiliates of Carlyle under certain circumstances. The registration rights agreement also provides that we will pay certain expenses relating to such registrations and indemnify certain parties against certain liabilities which may arise under the Securities Act.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ZoomInfo Technologies Inc. entered into two tax receivable agreements. ZoomInfo Technologies Inc. entered into (i) the Exchange Tax Receivable Agreement with the certain of our Pre-IPO OpCo Unitholders and (ii) the Reorganization Tax Receivable Agreement with the pre-IPO owners that held their interest in us through certain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4" w:name="page45"/>
    <w:bookmarkEnd w:id="44"/>
    <w:p>
      <w:pPr>
        <w:spacing w:after="0" w:line="9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Pre-IPO OpCo Unitholders that are taxable as corporations for U.S. federal income tax purposes (the “Blocker Companies”) immediately prior to the consummation of the IPO (such pre-IPO owners, the “Pre-IPO Blocker Holders”). These tax receivable agreements provide for the payment by ZoomInfo Technologies Inc. or any member of its affiliated, consolidated, combined, or unitary tax group (collectively,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certain reorganization transactions effected in connection with the IPO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are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are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(as described in more detail below),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5" w:name="page46"/>
    <w:bookmarkEnd w:id="45"/>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exchange of OpCo Units for shares of Class A common stock, as well as the amount and timing of any payments under the tax receivable agreements, will vary depending upon a number of factors, including:</w:t>
      </w:r>
    </w:p>
    <w:p>
      <w:pPr>
        <w:spacing w:after="0" w:line="62" w:lineRule="exact"/>
        <w:rPr>
          <w:sz w:val="20"/>
          <w:szCs w:val="20"/>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7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62"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timing and amount of any related payments under the tax receivable agreements is uncertain since both will be dependent on the amount and timing of the ZoomInfo Tax Group’s income and other tax attributes. We expect that as a result of the size of the ZoomInfo Tax Group’s allocable share of existing tax basis acquired in the IPO (including such existing tax basis acquired from the Blocker Companies pursuant to certain transactions involving the mergers of the Blocker Companies with and into ZoomInfo Technologies Inc. (such transactions,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December 31, 2020) is approximately $295.2 million (assuming a price of $48.23 per share of Class A common stock, which is the last reported sale price of our Class A common stock on the Nasdaq on December 31, 2020).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 generally will accrue interest at an uncapped rate equal to a per annum rate of LIBOR (or its successor rate) plus 500 basis points. The payments under the tax receivable agreements are not conditioned upon continued ownership of us by the exchanging holders of OpCo Units.</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a per annum rate of the lesser of (i) 6.5% and (ii) LIBOR, or its successor rate, plus 100 basis points) of the anticipated future tax benefits determined using assumptions (ii) through (v) of the following paragraph.</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 (v) certain non-amortizable assets are deemed disposed of within specified time periods. In addition, the present value of such anticipated future cash tax benefits are discounted at a per annum rate equal to the lesser of (i) 6.5% and (ii) LIBOR, or its successor rate, plus 100 basis points. Assuming that the market value of a share of Class A common stock were to be equal to $48.23 per share, which is the last reported sale price of our Class A common stock on the Nasdaq on December 31, 2020, and that LIBOR were to be 0.34% and based upon certain other assumptions described herein, we estimate that if ZoomInfo Technologies Inc. were to exercise its termination right on December 31, 2020 the aggregate amount of these termination payments would be approximately $2,323.9 million.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Decisions made by our pre-IPO owners in the course of running our business may influence the timing and amount of payments that are received by a pre-IPO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 pre-IPO owner’s tax liability without giving rise to any rights of a pre-IPO owner to receive payments under the tax receivable agreements.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the IPO and increased upon the exchange of OpCo Units for shares of Class A common stock, the anticipated tax basis adjustments or our utilization of tax attributes are successfully challenged by the IRS, although such amounts may reduce our future obligations, if any, under the tax receivable agreements. As a result, in certain circumstances, payments could be made under the tax receivable agreements in excess of the ZoomInfo Tax Group’s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OpCo Amended and Restated Limited Liability Company Agreement</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of the Reorganization Transactions and certain transactions effected in connection with the IPO (the “IPO Transactions”), ZoomInfo Technologies Inc. holds HoldCo Units in ZoomInfo HoldCo and has control over ZoomInfo HoldCo, and ZoomInfo HoldCo holds OpCo Units in ZoomInfo OpCo and is the sole managing member of ZoomInfo OpCo. Accordingly, ZoomInfo Technologies Inc. operates and controls all of the business and affairs of ZoomInfo OpCo through ZoomInfo HoldCo and, through ZoomInfo OpCo and its operating entity subsidiaries, conducts our business.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distributions will be made in respect of unvested OpCo Units and instead such amounts will be distributed to holders of vested OpCo Units pro rata in accordance with their vested interests.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have the right to exchange their vested Class P Units into a number of shares of Class A common stock that will generally be equal to (a) the product of (X) the number of vested Class P Units to be exchanged with a given per unit participation threshold (i.e., the strike price) and (Y) then-current difference between the per share value of an OpCo Unit at the time of the exchange (based on the public trading price of Class A common stock) and the per unit participation threshold (i.e.,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also provides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amended and restated limited liability company agreement of ZoomInfo OpCo also provides for the ability to issue LTIP Units, which are a class of partnership units that are intended to qualify as “profits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ZoomInfo HoldCo Amended and Restated Limited Liability Company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Reorganization Transactions and the IPO Transactions, ZoomInfo Technologies Inc. holds HoldCo Units in ZoomInfo HoldCo and has control over ZoomInfo HoldCo. ZoomInfo HoldCo has elected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Reorganization Transaction, we amended and restated the limited liability company agreement of ZoomInfo HoldCo under which the Pre-IPO HoldCo Unitholders (or certain of their permitted transferees)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also provides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OpCo Units and Payment of Blocker Merger Consideration</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used approximately $42.2 million of the net proceeds we received from the IPO, in addition to purchasing newly issued HoldCo Units from ZoomInfo HoldCo, to purchase OpCo Units from certain of our Sponsors, and to fund $5.5 million of merger consideration (an aggregate cash amount equal to 275,269 shares of Class C common stock multiplied by the public offering price per share of Class A common stock in the IPO, less the underwriting discount) payable to certain of our Sponsors in connection with the Blocker Mergers, at a price per OpCo Unit or share of Class C common stock, respectively, equal to the initial public offering price per share of Class A common stock in the IPO, less the underwriting discount. Upon each purchase of OpCo Units, the corresponding shares of Class B common stock were canceled. The table below sets forth the number of OpCo Units purchased from certain of our Sponsors, and the shares of Class C common stock underlying the merger consideration payable to the Sponsors.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4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 of OpCo Units Purchased</w:t>
            </w:r>
          </w:p>
        </w:tc>
        <w:tc>
          <w:tcPr>
            <w:tcW w:w="32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3"/>
              </w:rPr>
              <w:t># of Shares of Class C Common Stock Purchased</w:t>
            </w:r>
          </w:p>
        </w:tc>
        <w:tc>
          <w:tcPr>
            <w:tcW w:w="340" w:type="dxa"/>
            <w:vAlign w:val="bottom"/>
          </w:tcPr>
          <w:p>
            <w:pPr>
              <w:spacing w:after="0"/>
              <w:rPr>
                <w:sz w:val="14"/>
                <w:szCs w:val="14"/>
                <w:color w:val="auto"/>
              </w:rPr>
            </w:pPr>
          </w:p>
        </w:tc>
        <w:tc>
          <w:tcPr>
            <w:tcW w:w="22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Aggregate Purchase Price</w:t>
            </w:r>
          </w:p>
        </w:tc>
        <w:tc>
          <w:tcPr>
            <w:tcW w:w="0" w:type="dxa"/>
            <w:vAlign w:val="bottom"/>
          </w:tcPr>
          <w:p>
            <w:pPr>
              <w:spacing w:after="0"/>
              <w:rPr>
                <w:sz w:val="1"/>
                <w:szCs w:val="1"/>
                <w:color w:val="auto"/>
              </w:rPr>
            </w:pPr>
          </w:p>
        </w:tc>
      </w:tr>
      <w:tr>
        <w:trPr>
          <w:trHeight w:val="105"/>
        </w:trPr>
        <w:tc>
          <w:tcPr>
            <w:tcW w:w="292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3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Sponsors</w:t>
            </w:r>
          </w:p>
        </w:tc>
        <w:tc>
          <w:tcPr>
            <w:tcW w:w="2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1,841,818</w:t>
            </w:r>
          </w:p>
        </w:tc>
        <w:tc>
          <w:tcPr>
            <w:tcW w:w="3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275,269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Michelle Brewer, our Vice President, Human Resources, is the sister-in-law of Henry Schuck, our Chief Executive Officer. Total compensation paid by the Company to Michelle Brewer, including salary, bonus, and equity compensation, for the year ended December 31, 2020 was approximately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Hila Nir, our Chief Marketing Officer, is the sister-in-law of Nir Keren, our Chief Technology Officer. Total compensation paid by the Company to Hila Nir, including salary and equity compensation, for the year ended December 31, 2020 was approximately $0.7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2020, the Company paid approximately $0.2 million in aggregate fees for outsourced demand generation services to Be Relevant Group LLC, a firm in which Stephen Hays, the brother of Chris Hays, our Chief Operating Officer, owns a majority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Transactions with Our Sponsors and Sponsor Portfolio Companies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limited complimentary access to our platform to 22C Capital, Carlyle and TA Associates. We estimate the value of such access provided to each of 22C Capital, Carlyle and TA Associates in 2020 to be approximately $7,500, $7,500 and $5,000, respectively. In addition, we provide our services to TA Associates and the Carlyle Group in the ordinary course of our business. We recorded revenues from TA Associates and The Carlyle Group in 2020 of approximately $137,000 and $25,000,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2022 ANNUAL MEETING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stockholder wishes to propose a matter for consideration at our 2022 Annual Meeting of Stockholders (the “2022 Annual Meeting”), the proposal should be mailed by certified mail return receipt requested, to our Secretary, ZoomInfo Technologies Inc., 805 Broadway Street, Suite 900, Vancouver, Washington 98660. To be eligible under the SEC’s stockholder proposal rule (Rule 14a-8(e) of the Exchange Act) for inclusion in our proxy statement for the 2022 Annual Meeting, a proposal must be received by our Secretary on or before November 16, 2021. Failure to deliver a proposal in accordance with this procedure may result in it not being deemed timely received.</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our Bylaws permit stockholders to nominate candidates for director and present other business for consideration at our annual meeting of stockholders. To make a director nomination or present other business for consideration at the 2022 Annual Meeting, you must submit a timely notice in accordance with the procedures described in our Bylaws. To be timely, a stockholder’s notice must be delivered to the Secretary at the principal executive offices of our Company not less than 90 days nor more than 120 days prior to the date of the first anniversary of the preceding year’s annual meeting. Therefore, to be presented at our 2022 Annual Meeting, such a proposal must be received on or after December 28, 2021, but not later than January 27, 2022. In the event that the date of the 2022 Annual Meeting is advanced by more than 30 days, or delayed by more than 70 days, from the anniversary date of this year’s Annual Meeting of Stockholders, notice by the stockholder to be timely must be so delivered not earlier than the 120th day prior to the 2022 Annual Meeting and not later than the close of business on the later of the 90th day prior to the 2022 Annual Meeting or the tenth day following the day on which public announcement of the date of the 2022 Annual Meeting is first made. If the number of directors to be elected to the Board of Directors at an annual meeting is increased and there is no public announcement by the Corporation naming all of the nominees for director or specifying the size of the increased Board of Directors at least 100 calendar days prior to the first anniversary of this year’s Annual Meeting, notice by a stockholder will be considered timely, but only with respect to nominees for any new positions created by such increase, if it is if it is delivered not later than the close of business on the tenth calendar day following the day on which such public announcement is first made. Any such proposal will be considered timely only if it is otherwise in compliance with the requirements set forth in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48895</wp:posOffset>
            </wp:positionV>
            <wp:extent cx="1594485"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448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Anthony Stark</w:t>
      </w:r>
    </w:p>
    <w:p>
      <w:pPr>
        <w:spacing w:after="0" w:line="50"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Secretary</w:t>
      </w:r>
    </w:p>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We make available, free of charge on our website, all of our filings that are made electronically with the SEC, including Forms 10-K, 10-Q and 8-K. To access these filings, go to our website </w:t>
      </w:r>
      <w:r>
        <w:rPr>
          <w:rFonts w:ascii="Arial" w:cs="Arial" w:eastAsia="Arial" w:hAnsi="Arial"/>
          <w:sz w:val="18"/>
          <w:szCs w:val="18"/>
          <w:b w:val="1"/>
          <w:bCs w:val="1"/>
          <w:i w:val="1"/>
          <w:iCs w:val="1"/>
          <w:color w:val="auto"/>
        </w:rPr>
        <w:t>(ir.zoominfo.com)</w:t>
      </w:r>
      <w:r>
        <w:rPr>
          <w:rFonts w:ascii="Arial" w:cs="Arial" w:eastAsia="Arial" w:hAnsi="Arial"/>
          <w:sz w:val="18"/>
          <w:szCs w:val="18"/>
          <w:b w:val="1"/>
          <w:bCs w:val="1"/>
          <w:color w:val="auto"/>
        </w:rPr>
        <w:t xml:space="preserve"> and click on “SEC Filings” under the “Financials” heading. Copies of our Annual Report on Form 10-K for the year ended December 31, 2020, including financial statements and schedules thereto, filed with the SEC, are also available without charge to stockholders upon written request addressed to: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ZoomInfo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805 Broadway Street, Suite 900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Vancouver, Washington 98660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
      <w:numFmt w:val="bullet"/>
      <w:start w:val="1"/>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16"/>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2021-03-16T08:03:29Z</dcterms:created>
  <dcterms:modified xsi:type="dcterms:W3CDTF">2021-03-16T08:03:29Z</dcterms:modified>
</cp:coreProperties>
</file>