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TA ASSOCIATES, L.P.</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10"/>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ZoomInfo Technologies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gridSpan w:val="3"/>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46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460" w:type="dxa"/>
            <w:vAlign w:val="bottom"/>
          </w:tcPr>
          <w:p>
            <w:pPr>
              <w:spacing w:after="0"/>
              <w:rPr>
                <w:sz w:val="7"/>
                <w:szCs w:val="7"/>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12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46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200 CLARENDON STREET</w:t>
            </w:r>
          </w:p>
        </w:tc>
        <w:tc>
          <w:tcPr>
            <w:tcW w:w="1340" w:type="dxa"/>
            <w:vAlign w:val="bottom"/>
          </w:tcPr>
          <w:p>
            <w:pPr>
              <w:spacing w:after="0"/>
              <w:rPr>
                <w:sz w:val="19"/>
                <w:szCs w:val="19"/>
                <w:color w:val="auto"/>
              </w:rPr>
            </w:pPr>
          </w:p>
        </w:tc>
        <w:tc>
          <w:tcPr>
            <w:tcW w:w="1120" w:type="dxa"/>
            <w:vAlign w:val="bottom"/>
            <w:gridSpan w:val="8"/>
          </w:tcPr>
          <w:p>
            <w:pPr>
              <w:ind w:left="160"/>
              <w:spacing w:after="0"/>
              <w:rPr>
                <w:sz w:val="20"/>
                <w:szCs w:val="20"/>
                <w:color w:val="auto"/>
              </w:rPr>
            </w:pPr>
            <w:r>
              <w:rPr>
                <w:rFonts w:ascii="Arial" w:cs="Arial" w:eastAsia="Arial" w:hAnsi="Arial"/>
                <w:sz w:val="17"/>
                <w:szCs w:val="17"/>
                <w:color w:val="0000FF"/>
              </w:rPr>
              <w:t>09/24/2021</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56TH FLOOR</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5"/>
                <w:szCs w:val="5"/>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11"/>
            <w:vMerge w:val="continue"/>
          </w:tcPr>
          <w:p>
            <w:pPr>
              <w:spacing w:after="0"/>
              <w:rPr>
                <w:sz w:val="13"/>
                <w:szCs w:val="13"/>
                <w:color w:val="auto"/>
              </w:rPr>
            </w:pPr>
          </w:p>
        </w:tc>
        <w:tc>
          <w:tcPr>
            <w:tcW w:w="340" w:type="dxa"/>
            <w:vAlign w:val="bottom"/>
          </w:tcPr>
          <w:p>
            <w:pPr>
              <w:spacing w:after="0"/>
              <w:rPr>
                <w:sz w:val="13"/>
                <w:szCs w:val="13"/>
                <w:color w:val="auto"/>
              </w:rPr>
            </w:pPr>
          </w:p>
        </w:tc>
        <w:tc>
          <w:tcPr>
            <w:tcW w:w="342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gridSpan w:val="3"/>
          </w:tcPr>
          <w:p>
            <w:pPr>
              <w:ind w:left="80"/>
              <w:spacing w:after="0" w:line="120" w:lineRule="exact"/>
              <w:rPr>
                <w:sz w:val="20"/>
                <w:szCs w:val="20"/>
                <w:color w:val="auto"/>
              </w:rPr>
            </w:pPr>
            <w:r>
              <w:rPr>
                <w:rFonts w:ascii="Arial" w:cs="Arial" w:eastAsia="Arial" w:hAnsi="Arial"/>
                <w:sz w:val="13"/>
                <w:szCs w:val="13"/>
                <w:color w:val="auto"/>
              </w:rPr>
              <w:t>Line)</w:t>
            </w:r>
          </w:p>
        </w:tc>
        <w:tc>
          <w:tcPr>
            <w:tcW w:w="30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3"/>
          </w:tcPr>
          <w:p>
            <w:pPr>
              <w:ind w:left="40"/>
              <w:spacing w:after="0"/>
              <w:rPr>
                <w:sz w:val="20"/>
                <w:szCs w:val="20"/>
                <w:color w:val="auto"/>
              </w:rPr>
            </w:pPr>
            <w:r>
              <w:rPr>
                <w:rFonts w:ascii="Arial" w:cs="Arial" w:eastAsia="Arial" w:hAnsi="Arial"/>
                <w:sz w:val="17"/>
                <w:szCs w:val="17"/>
                <w:color w:val="0000FF"/>
              </w:rPr>
              <w:t>MA</w:t>
            </w:r>
          </w:p>
        </w:tc>
        <w:tc>
          <w:tcPr>
            <w:tcW w:w="1340" w:type="dxa"/>
            <w:vAlign w:val="bottom"/>
          </w:tcPr>
          <w:p>
            <w:pPr>
              <w:ind w:left="140"/>
              <w:spacing w:after="0"/>
              <w:rPr>
                <w:sz w:val="20"/>
                <w:szCs w:val="20"/>
                <w:color w:val="auto"/>
              </w:rPr>
            </w:pPr>
            <w:r>
              <w:rPr>
                <w:rFonts w:ascii="Arial" w:cs="Arial" w:eastAsia="Arial" w:hAnsi="Arial"/>
                <w:sz w:val="17"/>
                <w:szCs w:val="17"/>
                <w:color w:val="0000FF"/>
              </w:rPr>
              <w:t>02116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300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5"/>
          </w:tcPr>
          <w:p>
            <w:pPr>
              <w:spacing w:after="0"/>
              <w:rPr>
                <w:sz w:val="11"/>
                <w:szCs w:val="11"/>
                <w:color w:val="auto"/>
              </w:rPr>
            </w:pPr>
          </w:p>
        </w:tc>
        <w:tc>
          <w:tcPr>
            <w:tcW w:w="132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22"/>
          </w:tcPr>
          <w:p>
            <w:pPr>
              <w:ind w:left="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40" w:type="dxa"/>
            <w:vAlign w:val="bottom"/>
          </w:tcPr>
          <w:p>
            <w:pPr>
              <w:ind w:left="280"/>
              <w:spacing w:after="0"/>
              <w:rPr>
                <w:sz w:val="20"/>
                <w:szCs w:val="20"/>
                <w:color w:val="auto"/>
              </w:rPr>
            </w:pPr>
            <w:r>
              <w:rPr>
                <w:rFonts w:ascii="Arial" w:cs="Arial" w:eastAsia="Arial" w:hAnsi="Arial"/>
                <w:sz w:val="12"/>
                <w:szCs w:val="12"/>
                <w:b w:val="1"/>
                <w:bCs w:val="1"/>
                <w:color w:val="auto"/>
              </w:rPr>
              <w:t>2. Transaction</w:t>
            </w:r>
          </w:p>
        </w:tc>
        <w:tc>
          <w:tcPr>
            <w:tcW w:w="20" w:type="dxa"/>
            <w:vAlign w:val="bottom"/>
          </w:tcPr>
          <w:p>
            <w:pPr>
              <w:spacing w:after="0"/>
              <w:rPr>
                <w:sz w:val="15"/>
                <w:szCs w:val="15"/>
                <w:color w:val="auto"/>
              </w:rPr>
            </w:pPr>
          </w:p>
        </w:tc>
        <w:tc>
          <w:tcPr>
            <w:tcW w:w="820" w:type="dxa"/>
            <w:vAlign w:val="bottom"/>
            <w:gridSpan w:val="6"/>
          </w:tcPr>
          <w:p>
            <w:pPr>
              <w:ind w:left="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5"/>
                <w:szCs w:val="15"/>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21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160" w:type="dxa"/>
            <w:vAlign w:val="bottom"/>
            <w:gridSpan w:val="2"/>
          </w:tcPr>
          <w:p>
            <w:pPr>
              <w:ind w:left="36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ind w:left="2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100" w:type="dxa"/>
            <w:vAlign w:val="bottom"/>
            <w:gridSpan w:val="7"/>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jc w:val="center"/>
              <w:ind w:right="93"/>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40" w:type="dxa"/>
            <w:vAlign w:val="bottom"/>
          </w:tcPr>
          <w:p>
            <w:pPr>
              <w:spacing w:after="0"/>
              <w:rPr>
                <w:sz w:val="11"/>
                <w:szCs w:val="11"/>
                <w:color w:val="auto"/>
              </w:rPr>
            </w:pPr>
          </w:p>
        </w:tc>
        <w:tc>
          <w:tcPr>
            <w:tcW w:w="7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360"/>
              <w:spacing w:after="0" w:line="131" w:lineRule="exact"/>
              <w:rPr>
                <w:sz w:val="20"/>
                <w:szCs w:val="20"/>
                <w:color w:val="auto"/>
              </w:rPr>
            </w:pPr>
            <w:r>
              <w:rPr>
                <w:rFonts w:ascii="Arial" w:cs="Arial" w:eastAsia="Arial" w:hAnsi="Arial"/>
                <w:sz w:val="12"/>
                <w:szCs w:val="12"/>
                <w:b w:val="1"/>
                <w:bCs w:val="1"/>
                <w:color w:val="auto"/>
              </w:rPr>
              <w:t>Form: Direct</w:t>
            </w:r>
          </w:p>
        </w:tc>
        <w:tc>
          <w:tcPr>
            <w:tcW w:w="5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Indirect</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jc w:val="center"/>
              <w:ind w:left="12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82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360"/>
              <w:spacing w:after="0" w:line="133" w:lineRule="exact"/>
              <w:rPr>
                <w:sz w:val="20"/>
                <w:szCs w:val="20"/>
                <w:color w:val="auto"/>
              </w:rPr>
            </w:pPr>
            <w:r>
              <w:rPr>
                <w:rFonts w:ascii="Arial" w:cs="Arial" w:eastAsia="Arial" w:hAnsi="Arial"/>
                <w:sz w:val="12"/>
                <w:szCs w:val="12"/>
                <w:b w:val="1"/>
                <w:bCs w:val="1"/>
                <w:color w:val="auto"/>
                <w:w w:val="99"/>
              </w:rPr>
              <w:t>(D) or</w:t>
            </w:r>
          </w:p>
        </w:tc>
        <w:tc>
          <w:tcPr>
            <w:tcW w:w="460" w:type="dxa"/>
            <w:vAlign w:val="bottom"/>
          </w:tcPr>
          <w:p>
            <w:pPr>
              <w:spacing w:after="0"/>
              <w:rPr>
                <w:sz w:val="11"/>
                <w:szCs w:val="11"/>
                <w:color w:val="auto"/>
              </w:rPr>
            </w:pPr>
          </w:p>
        </w:tc>
        <w:tc>
          <w:tcPr>
            <w:tcW w:w="12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11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Indirect (I)</w:t>
            </w:r>
          </w:p>
        </w:tc>
        <w:tc>
          <w:tcPr>
            <w:tcW w:w="12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11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64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4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gridSpan w:val="2"/>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80" w:type="dxa"/>
            <w:vAlign w:val="bottom"/>
            <w:vMerge w:val="continue"/>
          </w:tcPr>
          <w:p>
            <w:pPr>
              <w:spacing w:after="0"/>
              <w:rPr>
                <w:sz w:val="10"/>
                <w:szCs w:val="10"/>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3"/>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3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4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vMerge w:val="restart"/>
          </w:tcPr>
          <w:p>
            <w:pPr>
              <w:jc w:val="center"/>
              <w:ind w:left="123"/>
              <w:spacing w:after="0"/>
              <w:rPr>
                <w:sz w:val="20"/>
                <w:szCs w:val="20"/>
                <w:color w:val="auto"/>
              </w:rPr>
            </w:pPr>
            <w:r>
              <w:rPr>
                <w:rFonts w:ascii="Arial" w:cs="Arial" w:eastAsia="Arial" w:hAnsi="Arial"/>
                <w:sz w:val="17"/>
                <w:szCs w:val="17"/>
                <w:color w:val="0000FF"/>
                <w:w w:val="91"/>
              </w:rPr>
              <w:t>09/24/2021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360" w:type="dxa"/>
            <w:vAlign w:val="bottom"/>
          </w:tcPr>
          <w:p>
            <w:pPr>
              <w:spacing w:after="0"/>
              <w:rPr>
                <w:sz w:val="22"/>
                <w:szCs w:val="22"/>
                <w:color w:val="auto"/>
              </w:rPr>
            </w:pPr>
          </w:p>
        </w:tc>
        <w:tc>
          <w:tcPr>
            <w:tcW w:w="640" w:type="dxa"/>
            <w:vAlign w:val="bottom"/>
            <w:vMerge w:val="restart"/>
          </w:tcPr>
          <w:p>
            <w:pPr>
              <w:jc w:val="center"/>
              <w:ind w:left="1"/>
              <w:spacing w:after="0"/>
              <w:rPr>
                <w:sz w:val="20"/>
                <w:szCs w:val="20"/>
                <w:color w:val="auto"/>
              </w:rPr>
            </w:pPr>
            <w:r>
              <w:rPr>
                <w:rFonts w:ascii="Arial" w:cs="Arial" w:eastAsia="Arial" w:hAnsi="Arial"/>
                <w:sz w:val="17"/>
                <w:szCs w:val="17"/>
                <w:color w:val="0000FF"/>
                <w:w w:val="92"/>
              </w:rPr>
              <w:t>37,919</w:t>
            </w:r>
          </w:p>
        </w:tc>
        <w:tc>
          <w:tcPr>
            <w:tcW w:w="160" w:type="dxa"/>
            <w:vAlign w:val="bottom"/>
          </w:tcPr>
          <w:p>
            <w:pPr>
              <w:spacing w:after="0"/>
              <w:rPr>
                <w:sz w:val="22"/>
                <w:szCs w:val="22"/>
                <w:color w:val="auto"/>
              </w:rPr>
            </w:pPr>
          </w:p>
        </w:tc>
        <w:tc>
          <w:tcPr>
            <w:tcW w:w="38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68.0029</w:t>
            </w:r>
            <w:r>
              <w:rPr>
                <w:rFonts w:ascii="Arial" w:cs="Arial" w:eastAsia="Arial" w:hAnsi="Arial"/>
                <w:sz w:val="22"/>
                <w:szCs w:val="22"/>
                <w:color w:val="008000"/>
                <w:w w:val="94"/>
                <w:vertAlign w:val="superscript"/>
              </w:rPr>
              <w:t>(1)</w:t>
            </w:r>
          </w:p>
        </w:tc>
        <w:tc>
          <w:tcPr>
            <w:tcW w:w="1520" w:type="dxa"/>
            <w:vAlign w:val="bottom"/>
            <w:gridSpan w:val="4"/>
            <w:vMerge w:val="restart"/>
          </w:tcPr>
          <w:p>
            <w:pPr>
              <w:jc w:val="center"/>
              <w:ind w:right="320"/>
              <w:spacing w:after="0"/>
              <w:rPr>
                <w:sz w:val="20"/>
                <w:szCs w:val="20"/>
                <w:color w:val="auto"/>
              </w:rPr>
            </w:pPr>
            <w:r>
              <w:rPr>
                <w:rFonts w:ascii="Arial" w:cs="Arial" w:eastAsia="Arial" w:hAnsi="Arial"/>
                <w:sz w:val="17"/>
                <w:szCs w:val="17"/>
                <w:color w:val="0000FF"/>
                <w:w w:val="91"/>
              </w:rPr>
              <w:t>29,997,007</w:t>
            </w:r>
          </w:p>
        </w:tc>
        <w:tc>
          <w:tcPr>
            <w:tcW w:w="4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123"/>
              <w:spacing w:after="0"/>
              <w:rPr>
                <w:sz w:val="20"/>
                <w:szCs w:val="20"/>
                <w:color w:val="auto"/>
              </w:rPr>
            </w:pPr>
            <w:r>
              <w:rPr>
                <w:rFonts w:ascii="Arial" w:cs="Arial" w:eastAsia="Arial" w:hAnsi="Arial"/>
                <w:sz w:val="17"/>
                <w:szCs w:val="17"/>
                <w:color w:val="0000FF"/>
                <w:w w:val="91"/>
              </w:rPr>
              <w:t>09/24/2021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979</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68.0029</w:t>
            </w:r>
            <w:r>
              <w:rPr>
                <w:rFonts w:ascii="Arial" w:cs="Arial" w:eastAsia="Arial" w:hAnsi="Arial"/>
                <w:sz w:val="22"/>
                <w:szCs w:val="22"/>
                <w:color w:val="008000"/>
                <w:w w:val="94"/>
                <w:vertAlign w:val="superscript"/>
              </w:rPr>
              <w:t>(1)</w:t>
            </w:r>
          </w:p>
        </w:tc>
        <w:tc>
          <w:tcPr>
            <w:tcW w:w="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gridSpan w:val="2"/>
            <w:vMerge w:val="restart"/>
          </w:tcPr>
          <w:p>
            <w:pPr>
              <w:jc w:val="center"/>
              <w:ind w:right="600"/>
              <w:spacing w:after="0"/>
              <w:rPr>
                <w:sz w:val="20"/>
                <w:szCs w:val="20"/>
                <w:color w:val="auto"/>
              </w:rPr>
            </w:pPr>
            <w:r>
              <w:rPr>
                <w:rFonts w:ascii="Arial" w:cs="Arial" w:eastAsia="Arial" w:hAnsi="Arial"/>
                <w:sz w:val="17"/>
                <w:szCs w:val="17"/>
                <w:color w:val="0000FF"/>
                <w:w w:val="91"/>
              </w:rPr>
              <w:t>774,383</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123"/>
              <w:spacing w:after="0"/>
              <w:rPr>
                <w:sz w:val="20"/>
                <w:szCs w:val="20"/>
                <w:color w:val="auto"/>
              </w:rPr>
            </w:pPr>
            <w:r>
              <w:rPr>
                <w:rFonts w:ascii="Arial" w:cs="Arial" w:eastAsia="Arial" w:hAnsi="Arial"/>
                <w:sz w:val="17"/>
                <w:szCs w:val="17"/>
                <w:color w:val="0000FF"/>
                <w:w w:val="91"/>
              </w:rPr>
              <w:t>09/24/2021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vMerge w:val="restart"/>
          </w:tcPr>
          <w:p>
            <w:pPr>
              <w:jc w:val="center"/>
              <w:ind w:left="1"/>
              <w:spacing w:after="0"/>
              <w:rPr>
                <w:sz w:val="20"/>
                <w:szCs w:val="20"/>
                <w:color w:val="auto"/>
              </w:rPr>
            </w:pPr>
            <w:r>
              <w:rPr>
                <w:rFonts w:ascii="Arial" w:cs="Arial" w:eastAsia="Arial" w:hAnsi="Arial"/>
                <w:sz w:val="17"/>
                <w:szCs w:val="17"/>
                <w:color w:val="0000FF"/>
                <w:w w:val="93"/>
              </w:rPr>
              <w:t>6,549</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68.0029</w:t>
            </w:r>
            <w:r>
              <w:rPr>
                <w:rFonts w:ascii="Arial" w:cs="Arial" w:eastAsia="Arial" w:hAnsi="Arial"/>
                <w:sz w:val="22"/>
                <w:szCs w:val="22"/>
                <w:color w:val="008000"/>
                <w:w w:val="94"/>
                <w:vertAlign w:val="superscript"/>
              </w:rPr>
              <w:t>(1)</w:t>
            </w:r>
          </w:p>
        </w:tc>
        <w:tc>
          <w:tcPr>
            <w:tcW w:w="1520" w:type="dxa"/>
            <w:vAlign w:val="bottom"/>
            <w:tcBorders>
              <w:top w:val="single" w:sz="8" w:color="2C2C2C"/>
            </w:tcBorders>
            <w:gridSpan w:val="4"/>
            <w:vMerge w:val="restart"/>
          </w:tcPr>
          <w:p>
            <w:pPr>
              <w:jc w:val="center"/>
              <w:ind w:right="340"/>
              <w:spacing w:after="0"/>
              <w:rPr>
                <w:sz w:val="20"/>
                <w:szCs w:val="20"/>
                <w:color w:val="auto"/>
              </w:rPr>
            </w:pPr>
            <w:r>
              <w:rPr>
                <w:rFonts w:ascii="Arial" w:cs="Arial" w:eastAsia="Arial" w:hAnsi="Arial"/>
                <w:sz w:val="17"/>
                <w:szCs w:val="17"/>
                <w:color w:val="0000FF"/>
                <w:w w:val="89"/>
              </w:rPr>
              <w:t>5,180,452</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123"/>
              <w:spacing w:after="0"/>
              <w:rPr>
                <w:sz w:val="20"/>
                <w:szCs w:val="20"/>
                <w:color w:val="auto"/>
              </w:rPr>
            </w:pPr>
            <w:r>
              <w:rPr>
                <w:rFonts w:ascii="Arial" w:cs="Arial" w:eastAsia="Arial" w:hAnsi="Arial"/>
                <w:sz w:val="17"/>
                <w:szCs w:val="17"/>
                <w:color w:val="0000FF"/>
                <w:w w:val="91"/>
              </w:rPr>
              <w:t>09/24/2021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vMerge w:val="restart"/>
          </w:tcPr>
          <w:p>
            <w:pPr>
              <w:jc w:val="center"/>
              <w:ind w:left="1"/>
              <w:spacing w:after="0"/>
              <w:rPr>
                <w:sz w:val="20"/>
                <w:szCs w:val="20"/>
                <w:color w:val="auto"/>
              </w:rPr>
            </w:pPr>
            <w:r>
              <w:rPr>
                <w:rFonts w:ascii="Arial" w:cs="Arial" w:eastAsia="Arial" w:hAnsi="Arial"/>
                <w:sz w:val="17"/>
                <w:szCs w:val="17"/>
                <w:color w:val="0000FF"/>
                <w:w w:val="93"/>
              </w:rPr>
              <w:t>1,409</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68.0029</w:t>
            </w:r>
            <w:r>
              <w:rPr>
                <w:rFonts w:ascii="Arial" w:cs="Arial" w:eastAsia="Arial" w:hAnsi="Arial"/>
                <w:sz w:val="22"/>
                <w:szCs w:val="22"/>
                <w:color w:val="008000"/>
                <w:w w:val="94"/>
                <w:vertAlign w:val="superscript"/>
              </w:rPr>
              <w:t>(1)</w:t>
            </w:r>
          </w:p>
        </w:tc>
        <w:tc>
          <w:tcPr>
            <w:tcW w:w="1520" w:type="dxa"/>
            <w:vAlign w:val="bottom"/>
            <w:tcBorders>
              <w:top w:val="single" w:sz="8" w:color="2C2C2C"/>
            </w:tcBorders>
            <w:gridSpan w:val="4"/>
            <w:vMerge w:val="restart"/>
          </w:tcPr>
          <w:p>
            <w:pPr>
              <w:jc w:val="center"/>
              <w:ind w:right="340"/>
              <w:spacing w:after="0"/>
              <w:rPr>
                <w:sz w:val="20"/>
                <w:szCs w:val="20"/>
                <w:color w:val="auto"/>
              </w:rPr>
            </w:pPr>
            <w:r>
              <w:rPr>
                <w:rFonts w:ascii="Arial" w:cs="Arial" w:eastAsia="Arial" w:hAnsi="Arial"/>
                <w:sz w:val="17"/>
                <w:szCs w:val="17"/>
                <w:color w:val="0000FF"/>
                <w:w w:val="89"/>
              </w:rPr>
              <w:t>1,114,074</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123"/>
              <w:spacing w:after="0"/>
              <w:rPr>
                <w:sz w:val="20"/>
                <w:szCs w:val="20"/>
                <w:color w:val="auto"/>
              </w:rPr>
            </w:pPr>
            <w:r>
              <w:rPr>
                <w:rFonts w:ascii="Arial" w:cs="Arial" w:eastAsia="Arial" w:hAnsi="Arial"/>
                <w:sz w:val="17"/>
                <w:szCs w:val="17"/>
                <w:color w:val="0000FF"/>
                <w:w w:val="91"/>
              </w:rPr>
              <w:t>09/24/2021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4"/>
              </w:rPr>
              <w:t>47</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68.0029</w:t>
            </w:r>
            <w:r>
              <w:rPr>
                <w:rFonts w:ascii="Arial" w:cs="Arial" w:eastAsia="Arial" w:hAnsi="Arial"/>
                <w:sz w:val="22"/>
                <w:szCs w:val="22"/>
                <w:color w:val="008000"/>
                <w:w w:val="94"/>
                <w:vertAlign w:val="superscript"/>
              </w:rPr>
              <w:t>(1)</w:t>
            </w:r>
          </w:p>
        </w:tc>
        <w:tc>
          <w:tcPr>
            <w:tcW w:w="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36,989</w:t>
            </w:r>
          </w:p>
        </w:tc>
        <w:tc>
          <w:tcPr>
            <w:tcW w:w="7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(3)(7)</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123"/>
              <w:spacing w:after="0"/>
              <w:rPr>
                <w:sz w:val="20"/>
                <w:szCs w:val="20"/>
                <w:color w:val="auto"/>
              </w:rPr>
            </w:pPr>
            <w:r>
              <w:rPr>
                <w:rFonts w:ascii="Arial" w:cs="Arial" w:eastAsia="Arial" w:hAnsi="Arial"/>
                <w:sz w:val="17"/>
                <w:szCs w:val="17"/>
                <w:color w:val="0000FF"/>
                <w:w w:val="91"/>
              </w:rPr>
              <w:t>09/24/2021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vMerge w:val="restart"/>
          </w:tcPr>
          <w:p>
            <w:pPr>
              <w:jc w:val="center"/>
              <w:ind w:left="1"/>
              <w:spacing w:after="0"/>
              <w:rPr>
                <w:sz w:val="20"/>
                <w:szCs w:val="20"/>
                <w:color w:val="auto"/>
              </w:rPr>
            </w:pPr>
            <w:r>
              <w:rPr>
                <w:rFonts w:ascii="Arial" w:cs="Arial" w:eastAsia="Arial" w:hAnsi="Arial"/>
                <w:sz w:val="17"/>
                <w:szCs w:val="17"/>
                <w:color w:val="0000FF"/>
                <w:w w:val="93"/>
              </w:rPr>
              <w:t>2,480</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68.0029</w:t>
            </w:r>
            <w:r>
              <w:rPr>
                <w:rFonts w:ascii="Arial" w:cs="Arial" w:eastAsia="Arial" w:hAnsi="Arial"/>
                <w:sz w:val="22"/>
                <w:szCs w:val="22"/>
                <w:color w:val="008000"/>
                <w:w w:val="94"/>
                <w:vertAlign w:val="superscript"/>
              </w:rPr>
              <w:t>(1)</w:t>
            </w:r>
          </w:p>
        </w:tc>
        <w:tc>
          <w:tcPr>
            <w:tcW w:w="1520" w:type="dxa"/>
            <w:vAlign w:val="bottom"/>
            <w:tcBorders>
              <w:top w:val="single" w:sz="8" w:color="2C2C2C"/>
            </w:tcBorders>
            <w:gridSpan w:val="4"/>
            <w:vMerge w:val="restart"/>
          </w:tcPr>
          <w:p>
            <w:pPr>
              <w:jc w:val="center"/>
              <w:ind w:right="340"/>
              <w:spacing w:after="0"/>
              <w:rPr>
                <w:sz w:val="20"/>
                <w:szCs w:val="20"/>
                <w:color w:val="auto"/>
              </w:rPr>
            </w:pPr>
            <w:r>
              <w:rPr>
                <w:rFonts w:ascii="Arial" w:cs="Arial" w:eastAsia="Arial" w:hAnsi="Arial"/>
                <w:sz w:val="17"/>
                <w:szCs w:val="17"/>
                <w:color w:val="0000FF"/>
                <w:w w:val="89"/>
              </w:rPr>
              <w:t>1,961,643</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123"/>
              <w:spacing w:after="0"/>
              <w:rPr>
                <w:sz w:val="20"/>
                <w:szCs w:val="20"/>
                <w:color w:val="auto"/>
              </w:rPr>
            </w:pPr>
            <w:r>
              <w:rPr>
                <w:rFonts w:ascii="Arial" w:cs="Arial" w:eastAsia="Arial" w:hAnsi="Arial"/>
                <w:sz w:val="17"/>
                <w:szCs w:val="17"/>
                <w:color w:val="0000FF"/>
                <w:w w:val="91"/>
              </w:rPr>
              <w:t>09/24/2021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vMerge w:val="restart"/>
          </w:tcPr>
          <w:p>
            <w:pPr>
              <w:jc w:val="center"/>
              <w:ind w:left="1"/>
              <w:spacing w:after="0"/>
              <w:rPr>
                <w:sz w:val="20"/>
                <w:szCs w:val="20"/>
                <w:color w:val="auto"/>
              </w:rPr>
            </w:pPr>
            <w:r>
              <w:rPr>
                <w:rFonts w:ascii="Arial" w:cs="Arial" w:eastAsia="Arial" w:hAnsi="Arial"/>
                <w:sz w:val="17"/>
                <w:szCs w:val="17"/>
                <w:color w:val="0000FF"/>
                <w:w w:val="93"/>
              </w:rPr>
              <w:t>2,225</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68.0029</w:t>
            </w:r>
            <w:r>
              <w:rPr>
                <w:rFonts w:ascii="Arial" w:cs="Arial" w:eastAsia="Arial" w:hAnsi="Arial"/>
                <w:sz w:val="22"/>
                <w:szCs w:val="22"/>
                <w:color w:val="008000"/>
                <w:w w:val="94"/>
                <w:vertAlign w:val="superscript"/>
              </w:rPr>
              <w:t>(1)</w:t>
            </w:r>
          </w:p>
        </w:tc>
        <w:tc>
          <w:tcPr>
            <w:tcW w:w="1520" w:type="dxa"/>
            <w:vAlign w:val="bottom"/>
            <w:tcBorders>
              <w:top w:val="single" w:sz="8" w:color="2C2C2C"/>
            </w:tcBorders>
            <w:gridSpan w:val="4"/>
            <w:vMerge w:val="restart"/>
          </w:tcPr>
          <w:p>
            <w:pPr>
              <w:jc w:val="center"/>
              <w:ind w:right="340"/>
              <w:spacing w:after="0"/>
              <w:rPr>
                <w:sz w:val="20"/>
                <w:szCs w:val="20"/>
                <w:color w:val="auto"/>
              </w:rPr>
            </w:pPr>
            <w:r>
              <w:rPr>
                <w:rFonts w:ascii="Arial" w:cs="Arial" w:eastAsia="Arial" w:hAnsi="Arial"/>
                <w:sz w:val="17"/>
                <w:szCs w:val="17"/>
                <w:color w:val="0000FF"/>
                <w:w w:val="89"/>
              </w:rPr>
              <w:t>1,759,929</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(3)(9)</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123"/>
              <w:spacing w:after="0"/>
              <w:rPr>
                <w:sz w:val="20"/>
                <w:szCs w:val="20"/>
                <w:color w:val="auto"/>
              </w:rPr>
            </w:pPr>
            <w:r>
              <w:rPr>
                <w:rFonts w:ascii="Arial" w:cs="Arial" w:eastAsia="Arial" w:hAnsi="Arial"/>
                <w:sz w:val="17"/>
                <w:szCs w:val="17"/>
                <w:color w:val="0000FF"/>
                <w:w w:val="91"/>
              </w:rPr>
              <w:t>09/24/2021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187</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68.0029</w:t>
            </w:r>
            <w:r>
              <w:rPr>
                <w:rFonts w:ascii="Arial" w:cs="Arial" w:eastAsia="Arial" w:hAnsi="Arial"/>
                <w:sz w:val="22"/>
                <w:szCs w:val="22"/>
                <w:color w:val="008000"/>
                <w:w w:val="94"/>
                <w:vertAlign w:val="superscript"/>
              </w:rPr>
              <w:t>(1)</w:t>
            </w:r>
          </w:p>
        </w:tc>
        <w:tc>
          <w:tcPr>
            <w:tcW w:w="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gridSpan w:val="2"/>
            <w:vMerge w:val="restart"/>
          </w:tcPr>
          <w:p>
            <w:pPr>
              <w:jc w:val="center"/>
              <w:ind w:right="600"/>
              <w:spacing w:after="0"/>
              <w:rPr>
                <w:sz w:val="20"/>
                <w:szCs w:val="20"/>
                <w:color w:val="auto"/>
              </w:rPr>
            </w:pPr>
            <w:r>
              <w:rPr>
                <w:rFonts w:ascii="Arial" w:cs="Arial" w:eastAsia="Arial" w:hAnsi="Arial"/>
                <w:sz w:val="17"/>
                <w:szCs w:val="17"/>
                <w:color w:val="0000FF"/>
                <w:w w:val="91"/>
              </w:rPr>
              <w:t>147,963</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(3)(10)</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123"/>
              <w:spacing w:after="0"/>
              <w:rPr>
                <w:sz w:val="20"/>
                <w:szCs w:val="20"/>
                <w:color w:val="auto"/>
              </w:rPr>
            </w:pPr>
            <w:r>
              <w:rPr>
                <w:rFonts w:ascii="Arial" w:cs="Arial" w:eastAsia="Arial" w:hAnsi="Arial"/>
                <w:sz w:val="17"/>
                <w:szCs w:val="17"/>
                <w:color w:val="0000FF"/>
                <w:w w:val="91"/>
              </w:rPr>
              <w:t>09/24/2021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vMerge w:val="restart"/>
          </w:tcPr>
          <w:p>
            <w:pPr>
              <w:jc w:val="center"/>
              <w:ind w:left="1"/>
              <w:spacing w:after="0"/>
              <w:rPr>
                <w:sz w:val="20"/>
                <w:szCs w:val="20"/>
                <w:color w:val="auto"/>
              </w:rPr>
            </w:pPr>
            <w:r>
              <w:rPr>
                <w:rFonts w:ascii="Arial" w:cs="Arial" w:eastAsia="Arial" w:hAnsi="Arial"/>
                <w:sz w:val="17"/>
                <w:szCs w:val="17"/>
                <w:color w:val="0000FF"/>
                <w:w w:val="93"/>
              </w:rPr>
              <w:t>9,919</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68.0029</w:t>
            </w:r>
            <w:r>
              <w:rPr>
                <w:rFonts w:ascii="Arial" w:cs="Arial" w:eastAsia="Arial" w:hAnsi="Arial"/>
                <w:sz w:val="22"/>
                <w:szCs w:val="22"/>
                <w:color w:val="008000"/>
                <w:w w:val="94"/>
                <w:vertAlign w:val="superscript"/>
              </w:rPr>
              <w:t>(1)</w:t>
            </w:r>
          </w:p>
        </w:tc>
        <w:tc>
          <w:tcPr>
            <w:tcW w:w="1520" w:type="dxa"/>
            <w:vAlign w:val="bottom"/>
            <w:tcBorders>
              <w:top w:val="single" w:sz="8" w:color="2C2C2C"/>
            </w:tcBorders>
            <w:gridSpan w:val="4"/>
            <w:vMerge w:val="restart"/>
          </w:tcPr>
          <w:p>
            <w:pPr>
              <w:jc w:val="center"/>
              <w:ind w:right="340"/>
              <w:spacing w:after="0"/>
              <w:rPr>
                <w:sz w:val="20"/>
                <w:szCs w:val="20"/>
                <w:color w:val="auto"/>
              </w:rPr>
            </w:pPr>
            <w:r>
              <w:rPr>
                <w:rFonts w:ascii="Arial" w:cs="Arial" w:eastAsia="Arial" w:hAnsi="Arial"/>
                <w:sz w:val="17"/>
                <w:szCs w:val="17"/>
                <w:color w:val="0000FF"/>
                <w:w w:val="89"/>
              </w:rPr>
              <w:t>7,846,579</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(3)(11)</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123"/>
              <w:spacing w:after="0"/>
              <w:rPr>
                <w:sz w:val="20"/>
                <w:szCs w:val="20"/>
                <w:color w:val="auto"/>
              </w:rPr>
            </w:pPr>
            <w:r>
              <w:rPr>
                <w:rFonts w:ascii="Arial" w:cs="Arial" w:eastAsia="Arial" w:hAnsi="Arial"/>
                <w:sz w:val="17"/>
                <w:szCs w:val="17"/>
                <w:color w:val="0000FF"/>
                <w:w w:val="91"/>
              </w:rPr>
              <w:t>09/24/2021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vMerge w:val="restart"/>
          </w:tcPr>
          <w:p>
            <w:pPr>
              <w:jc w:val="center"/>
              <w:ind w:left="1"/>
              <w:spacing w:after="0"/>
              <w:rPr>
                <w:sz w:val="20"/>
                <w:szCs w:val="20"/>
                <w:color w:val="auto"/>
              </w:rPr>
            </w:pPr>
            <w:r>
              <w:rPr>
                <w:rFonts w:ascii="Arial" w:cs="Arial" w:eastAsia="Arial" w:hAnsi="Arial"/>
                <w:sz w:val="17"/>
                <w:szCs w:val="17"/>
                <w:color w:val="0000FF"/>
                <w:w w:val="93"/>
              </w:rPr>
              <w:t>8,899</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68.0029</w:t>
            </w:r>
            <w:r>
              <w:rPr>
                <w:rFonts w:ascii="Arial" w:cs="Arial" w:eastAsia="Arial" w:hAnsi="Arial"/>
                <w:sz w:val="22"/>
                <w:szCs w:val="22"/>
                <w:color w:val="008000"/>
                <w:w w:val="94"/>
                <w:vertAlign w:val="superscript"/>
              </w:rPr>
              <w:t>(1)</w:t>
            </w:r>
          </w:p>
        </w:tc>
        <w:tc>
          <w:tcPr>
            <w:tcW w:w="1520" w:type="dxa"/>
            <w:vAlign w:val="bottom"/>
            <w:tcBorders>
              <w:top w:val="single" w:sz="8" w:color="2C2C2C"/>
            </w:tcBorders>
            <w:gridSpan w:val="4"/>
            <w:vMerge w:val="restart"/>
          </w:tcPr>
          <w:p>
            <w:pPr>
              <w:jc w:val="center"/>
              <w:ind w:right="340"/>
              <w:spacing w:after="0"/>
              <w:rPr>
                <w:sz w:val="20"/>
                <w:szCs w:val="20"/>
                <w:color w:val="auto"/>
              </w:rPr>
            </w:pPr>
            <w:r>
              <w:rPr>
                <w:rFonts w:ascii="Arial" w:cs="Arial" w:eastAsia="Arial" w:hAnsi="Arial"/>
                <w:sz w:val="17"/>
                <w:szCs w:val="17"/>
                <w:color w:val="0000FF"/>
                <w:w w:val="89"/>
              </w:rPr>
              <w:t>7,039,726</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(3)(12)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920" w:type="dxa"/>
            <w:vAlign w:val="bottom"/>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60" w:type="dxa"/>
            <w:vAlign w:val="bottom"/>
            <w:gridSpan w:val="1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56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jc w:val="center"/>
              <w:ind w:left="83"/>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3"/>
          </w:tcPr>
          <w:p>
            <w:pPr>
              <w:ind w:left="5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3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40" w:type="dxa"/>
            <w:vAlign w:val="bottom"/>
            <w:tcBorders>
              <w:bottom w:val="single" w:sz="8" w:color="2C2C2C"/>
            </w:tcBorders>
            <w:gridSpan w:val="4"/>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40" w:type="dxa"/>
            <w:vAlign w:val="bottom"/>
            <w:tcBorders>
              <w:top w:val="single" w:sz="8" w:color="2C2C2C"/>
            </w:tcBorders>
            <w:gridSpan w:val="7"/>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TA ASSOCIATES, L.P.</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-2449195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200 CLARENDON STREET</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56TH FLOOR</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3"/>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TA XI DO AIV,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200 CLARENDON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56TH FLOOR</w:t>
            </w: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3"/>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TA SDF III DO AIV,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200 CLARENDON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56TH FLOOR</w:t>
            </w: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3"/>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TA Atlantic &amp; Pacific VII-A L.P.</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 CLARENDON STREET</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56TH FLOOR</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4"/>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5"/>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TA INVESTORS IV,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7"/>
                <w:szCs w:val="17"/>
                <w:color w:val="0000FF"/>
              </w:rPr>
              <w:t>200 CLARENDON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56TH FLOOR</w:t>
            </w: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4"/>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5"/>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TA SDF III DO AIV II,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7"/>
                <w:szCs w:val="17"/>
                <w:color w:val="0000FF"/>
              </w:rPr>
              <w:t>200 CLARENDON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56TH FLOOR</w:t>
            </w: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4"/>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5"/>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TA XI DO AIV II,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sectPr>
          <w:pgSz w:w="11900" w:h="16838" w:orient="portrait"/>
          <w:cols w:equalWidth="0" w:num="1">
            <w:col w:w="9979"/>
          </w:cols>
          <w:pgMar w:left="480" w:top="140" w:right="1440" w:bottom="0" w:gutter="0" w:footer="0" w:header="0"/>
        </w:sectPr>
      </w:pPr>
    </w:p>
    <w:p>
      <w:pPr>
        <w:ind w:left="100"/>
        <w:spacing w:after="0"/>
        <w:rPr>
          <w:sz w:val="20"/>
          <w:szCs w:val="20"/>
          <w:color w:val="auto"/>
        </w:rPr>
      </w:pPr>
      <w:r>
        <w:rPr>
          <w:rFonts w:ascii="Arial" w:cs="Arial" w:eastAsia="Arial" w:hAnsi="Arial"/>
          <w:sz w:val="16"/>
          <w:szCs w:val="16"/>
          <w:color w:val="0000FF"/>
        </w:rPr>
        <w:t>200 CLARENDON STREET</w:t>
      </w:r>
    </w:p>
    <w:p>
      <w:pPr>
        <w:sectPr>
          <w:pgSz w:w="11900" w:h="16838" w:orient="portrait"/>
          <w:cols w:equalWidth="0" w:num="1">
            <w:col w:w="9979"/>
          </w:cols>
          <w:pgMar w:left="480" w:top="140" w:right="1440" w:bottom="0" w:gutter="0" w:footer="0" w:header="0"/>
          <w:type w:val="continuous"/>
        </w:sectPr>
      </w:pPr>
    </w:p>
    <w:bookmarkStart w:id="2" w:name="page3"/>
    <w:bookmarkEnd w:id="2"/>
    <w:p>
      <w:pPr>
        <w:ind w:left="100"/>
        <w:spacing w:after="0"/>
        <w:rPr>
          <w:sz w:val="20"/>
          <w:szCs w:val="20"/>
          <w:color w:val="auto"/>
        </w:rPr>
      </w:pPr>
      <w:r>
        <w:rPr>
          <w:rFonts w:ascii="Arial" w:cs="Arial" w:eastAsia="Arial" w:hAnsi="Arial"/>
          <w:sz w:val="17"/>
          <w:szCs w:val="17"/>
          <w:color w:val="0000FF"/>
        </w:rPr>
        <w:t>56TH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6308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809240" cy="6308090"/>
                    </a:xfrm>
                    <a:prstGeom prst="rect">
                      <a:avLst/>
                    </a:prstGeom>
                    <a:noFill/>
                  </pic:spPr>
                </pic:pic>
              </a:graphicData>
            </a:graphic>
          </wp:anchor>
        </w:drawing>
      </w: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3">
        <w:r>
          <w:rPr>
            <w:rFonts w:ascii="Arial" w:cs="Arial" w:eastAsia="Arial" w:hAnsi="Arial"/>
            <w:sz w:val="21"/>
            <w:szCs w:val="21"/>
            <w:u w:val="single" w:color="auto"/>
            <w:color w:val="0000EE"/>
          </w:rPr>
          <w:t>TA AP VII-B DO Subsidiary Partnership, L.P.</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 CLARENDON STREET</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56TH FLOOR</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3"/>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24">
              <w:r>
                <w:rPr>
                  <w:rFonts w:ascii="Arial" w:cs="Arial" w:eastAsia="Arial" w:hAnsi="Arial"/>
                  <w:sz w:val="21"/>
                  <w:szCs w:val="21"/>
                  <w:color w:val="0000EE"/>
                </w:rPr>
                <w:t>TA SDF III DO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200 CLARENDON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56TH FLOOR</w:t>
            </w: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3"/>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25">
              <w:r>
                <w:rPr>
                  <w:rFonts w:ascii="Arial" w:cs="Arial" w:eastAsia="Arial" w:hAnsi="Arial"/>
                  <w:sz w:val="21"/>
                  <w:szCs w:val="21"/>
                  <w:color w:val="0000EE"/>
                </w:rPr>
                <w:t>TA XI DO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200 CLARENDON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56TH FLOOR</w:t>
            </w: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3"/>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20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 weighted-average sale price. The shares were sold in multiple transactions at prices ranging from $68.00 to $68.04. The Reporting Persons will provide upon request to the Securities and Exchange Commission, the Company or security holder of the Company, full information regarding the number of shares sold at each separate price.</w:t>
      </w:r>
    </w:p>
    <w:p>
      <w:pPr>
        <w:spacing w:after="0" w:line="15"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XI DO AIV, L.P. ("XI DO AIV").</w:t>
      </w:r>
    </w:p>
    <w:p>
      <w:pPr>
        <w:spacing w:after="0" w:line="50"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TA Associates, L.P. is the ultimate general partner of each of XI DO, SDF III Feeder, Atlantic &amp; Pacific VII-B, XI DO AIV, SDF III DO, Atlantic &amp; Pacific VII-A, Investors IV, AP VII-B, SDF III DO AIV II and XI DO AIV II (collectively, the "TA Associates Funds"). Investment and voting control of the TA Associates Funds is held by TA Associates, L.P. Todd R. Crockett and Jason S. Mironov are directors of the Issuer and serve as representatives of TA Associates, L.P. and the TA Associates Funds on the Issuer's board of directors. TA Associates, L.P. disclaims beneficial ownership of such securities, except to the extent of its pecuniary interest in such securities, if any.</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SDF III DO AIV, L.P. ("SDF III DO").</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Atlantic &amp; Pacific VII-A, L.P. ("Atlantic &amp; Pacific VII-A").</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Investors IV, L.P. ("Investors IV").</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SDF III DO AIV II, L.P. ("SDF III DO AIV II").</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XI DO AIV II, L.P. ("XI DO AIV II").</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AP VII-B DO Subsidiary Partnership, L.P. ("AP VII-B").</w:t>
      </w:r>
    </w:p>
    <w:p>
      <w:pPr>
        <w:spacing w:after="0" w:line="50" w:lineRule="exact"/>
        <w:rPr>
          <w:rFonts w:ascii="Arial" w:cs="Arial" w:eastAsia="Arial" w:hAnsi="Arial"/>
          <w:sz w:val="13"/>
          <w:szCs w:val="13"/>
          <w:color w:val="008000"/>
        </w:rPr>
      </w:pPr>
    </w:p>
    <w:p>
      <w:pPr>
        <w:ind w:left="220" w:hanging="193"/>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SDF III DO Feeder, L.P. ("SDF III Feeder").</w:t>
      </w:r>
    </w:p>
    <w:p>
      <w:pPr>
        <w:spacing w:after="0" w:line="50" w:lineRule="exact"/>
        <w:rPr>
          <w:rFonts w:ascii="Arial" w:cs="Arial" w:eastAsia="Arial" w:hAnsi="Arial"/>
          <w:sz w:val="13"/>
          <w:szCs w:val="13"/>
          <w:color w:val="008000"/>
        </w:rPr>
      </w:pPr>
    </w:p>
    <w:p>
      <w:pPr>
        <w:ind w:left="220" w:hanging="193"/>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XI DO Feeder, L.P ("XI DO").</w:t>
      </w:r>
    </w:p>
    <w:p>
      <w:pPr>
        <w:spacing w:after="0" w:line="50" w:lineRule="exact"/>
        <w:rPr>
          <w:rFonts w:ascii="Arial" w:cs="Arial" w:eastAsia="Arial" w:hAnsi="Arial"/>
          <w:sz w:val="13"/>
          <w:szCs w:val="13"/>
          <w:color w:val="008000"/>
        </w:rPr>
      </w:pPr>
    </w:p>
    <w:p>
      <w:pPr>
        <w:ind w:left="220" w:hanging="193"/>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Atlantic &amp; Pacific VII-B, L.P. ("Atlantic &amp; Pacific VII-B").</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2"/>
          <w:szCs w:val="12"/>
          <w:color w:val="008000"/>
        </w:rPr>
        <w:t>Because no more than 10 reporting persons can file any one Form 4 through the Securities and Exchange Commission's EDGAR system, Atlantic &amp; Pacific VII-B has filed a separate Form 4.</w:t>
      </w:r>
    </w:p>
    <w:p>
      <w:pPr>
        <w:sectPr>
          <w:pgSz w:w="11900" w:h="16838" w:orient="portrait"/>
          <w:cols w:equalWidth="0" w:num="1">
            <w:col w:w="10840"/>
          </w:cols>
          <w:pgMar w:left="480" w:top="131" w:right="579" w:bottom="0" w:gutter="0" w:footer="0" w:header="0"/>
        </w:sectPr>
      </w:pPr>
    </w:p>
    <w:p>
      <w:pPr>
        <w:spacing w:after="0" w:line="8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TA Associates, L.P., by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576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 Hadden,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325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Counsel, /s/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481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spacing w:after="0" w:line="67"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TA XI DO AIV, L.P.,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331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2331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Associates XI GP,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50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General Partner,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Associates,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585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Partner, by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347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its General Counsel, /s/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69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705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TA SDF III DO AIV,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909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9095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TA Associates, SDF III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82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1982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1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0000FF"/>
        </w:rPr>
        <w:t>09/28/2021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09/28/2021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09/28/2021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700" w:space="60"/>
            <w:col w:w="2080"/>
          </w:cols>
          <w:pgMar w:left="480" w:top="131" w:right="57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7"/>
          <w:szCs w:val="17"/>
          <w:color w:val="0000FF"/>
        </w:rPr>
        <w:t>TA Associates,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10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General Partner, by 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31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Hadden, its,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19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28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TA Atlantic &amp; Pacific VII-A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617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TA Associates 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30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VII GP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1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by TA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90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1690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1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Jeffrey C. Hadden,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74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9874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General Counsel, /s/ 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544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422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TA Investors IV, L.P.,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41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25412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Associates,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12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Partner, by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347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its, General Counsel,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1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13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80137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TA SDF III DO AIV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680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by TA Associates SDF, III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417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34175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1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 Associates,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10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General Partner, by 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31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Hadden, its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195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28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TA XI DO AIV II, L.P.,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481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Associates XI GP,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7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1277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Partner,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91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Associates,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585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Partner, by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347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its General Counsel, /s/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569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705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TA Associates AP VII-B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807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2807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Subsidiary Partnership,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528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TA Associates AP VII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96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28968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1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 Associates,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10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General Partner, by 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404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Hadden, its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922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28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TA SDF III DO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668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TA Associates SDF III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081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1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 Associates,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10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General Partner, by 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404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Hadden, its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922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28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TA XI DO Feeder, L.P.,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4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Associates XI GP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8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Partner,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91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Associates,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12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Partner, Jeffrey C. Hadden,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557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General Counsel, /s/ 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544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422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0000FF"/>
        </w:rPr>
        <w:t>09/28/2021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0000FF"/>
        </w:rPr>
        <w:t>09/28/2021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09/28/2021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09/28/2021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09/28/2021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09/28/2021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09/28/2021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41" w:lineRule="exact"/>
        <w:rPr>
          <w:sz w:val="20"/>
          <w:szCs w:val="20"/>
          <w:color w:val="auto"/>
        </w:rPr>
      </w:pPr>
    </w:p>
    <w:p>
      <w:pPr>
        <w:sectPr>
          <w:pgSz w:w="11900" w:h="16838" w:orient="portrait"/>
          <w:cols w:equalWidth="0" w:num="2">
            <w:col w:w="8680" w:space="60"/>
            <w:col w:w="1440"/>
          </w:cols>
          <w:pgMar w:left="500" w:top="131"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7" Type="http://schemas.openxmlformats.org/officeDocument/2006/relationships/image" Target="media/image6.png"/><Relationship Id="rId22"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2" Type="http://schemas.openxmlformats.org/officeDocument/2006/relationships/hyperlink" Target="http://www.sec.gov/cgi-bin/browse-edgar?action=getcompany&amp;CIK=0001034569" TargetMode="External"/><Relationship Id="rId13" Type="http://schemas.openxmlformats.org/officeDocument/2006/relationships/hyperlink" Target="http://www.sec.gov/cgi-bin/browse-edgar?action=getcompany&amp;CIK=0001794515" TargetMode="External"/><Relationship Id="rId15" Type="http://schemas.openxmlformats.org/officeDocument/2006/relationships/hyperlink" Target="http://www.sec.gov/cgi-bin/browse-edgar?action=getcompany&amp;CIK=0001609536" TargetMode="External"/><Relationship Id="rId16" Type="http://schemas.openxmlformats.org/officeDocument/2006/relationships/hyperlink" Target="http://www.sec.gov/cgi-bin/browse-edgar?action=getcompany&amp;CIK=0001609553" TargetMode="External"/><Relationship Id="rId18" Type="http://schemas.openxmlformats.org/officeDocument/2006/relationships/hyperlink" Target="http://www.sec.gov/cgi-bin/browse-edgar?action=getcompany&amp;CIK=0001548681" TargetMode="External"/><Relationship Id="rId19" Type="http://schemas.openxmlformats.org/officeDocument/2006/relationships/hyperlink" Target="http://www.sec.gov/cgi-bin/browse-edgar?action=getcompany&amp;CIK=0001578035" TargetMode="External"/><Relationship Id="rId20" Type="http://schemas.openxmlformats.org/officeDocument/2006/relationships/hyperlink" Target="http://www.sec.gov/cgi-bin/browse-edgar?action=getcompany&amp;CIK=0001812605" TargetMode="External"/><Relationship Id="rId21" Type="http://schemas.openxmlformats.org/officeDocument/2006/relationships/hyperlink" Target="http://www.sec.gov/cgi-bin/browse-edgar?action=getcompany&amp;CIK=0001812606" TargetMode="External"/><Relationship Id="rId23" Type="http://schemas.openxmlformats.org/officeDocument/2006/relationships/hyperlink" Target="http://www.sec.gov/cgi-bin/browse-edgar?action=getcompany&amp;CIK=0001812579" TargetMode="External"/><Relationship Id="rId24" Type="http://schemas.openxmlformats.org/officeDocument/2006/relationships/hyperlink" Target="http://www.sec.gov/cgi-bin/browse-edgar?action=getcompany&amp;CIK=0001609557" TargetMode="External"/><Relationship Id="rId25" Type="http://schemas.openxmlformats.org/officeDocument/2006/relationships/hyperlink" Target="http://www.sec.gov/cgi-bin/browse-edgar?action=getcompany&amp;CIK=00016095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2021-09-28T17:23:48Z</dcterms:created>
  <dcterms:modified xsi:type="dcterms:W3CDTF">2021-09-28T17:23:48Z</dcterms:modified>
</cp:coreProperties>
</file>