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368617.xml.htm"/>
      <w:bookmarkStart w:id="1" w:name="kswkform4_178336861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HSKB Funds 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ZOOMINFO TECHNOLOGIES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330 W COLUMBIA WAY, FLOOR 8</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VANCOUVER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98660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ZoomInfo Technologies Inc.</w:t>
              </w:r>
            </w:hyperlink>
            <w:r>
              <w:rPr/>
              <w:t xml:space="preserve"> [ </w:t>
            </w:r>
            <w:r>
              <w:rPr>
                <w:rFonts w:ascii="Times;serif" w:hAnsi="Times;serif"/>
                <w:color w:val="0000FF"/>
                <w:sz w:val="24"/>
                <w:shd w:fill="FFFFFF" w:val="clear"/>
              </w:rPr>
              <w:t>GTM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9,451</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241,427</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a distribution of Common Stock of ZoomInfo Technologies Inc. ("ZoomInfo") to one or more employees of ZoomInfo and its subsidiaries, including shares sold to cover such employees' tax liabilities in connection with the distribution of the securities reported 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HSKB FUNDS II, LLC By: HLS Management, LLC, its manager By: /s/ Meredith Weisshaar, Attorney-in-Fact for Henry Schuck,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34202" TargetMode="External"/><Relationship Id="rId5" Type="http://schemas.openxmlformats.org/officeDocument/2006/relationships/hyperlink" Target="http://www.sec.gov/cgi-bin/browse-edgar?action=getcompany&amp;CIK=00017945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621</Words>
  <Characters>3388</Characters>
  <CharactersWithSpaces>3949</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