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341630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366395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52705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8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3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153670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4120" w:right="2080" w:hanging="3796"/>
        <w:spacing w:after="0" w:line="430" w:lineRule="auto"/>
        <w:tabs>
          <w:tab w:leader="none" w:pos="5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860" w:right="1720" w:hanging="3536"/>
        <w:spacing w:after="0" w:line="430" w:lineRule="auto"/>
        <w:tabs>
          <w:tab w:leader="none" w:pos="5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from________to________</w:t>
      </w:r>
    </w:p>
    <w:p>
      <w:pPr>
        <w:ind w:left="43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167640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4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91440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20" w:lineRule="exact"/>
        <w:rPr>
          <w:sz w:val="24"/>
          <w:szCs w:val="24"/>
          <w:color w:val="auto"/>
        </w:rPr>
      </w:pPr>
    </w:p>
    <w:tbl>
      <w:tblPr>
        <w:tblLayout w:type="fixed"/>
        <w:tblInd w:w="2060" w:type="dxa"/>
        <w:tblCellMar>
          <w:top w:w="0" w:type="dxa"/>
          <w:left w:w="0" w:type="dxa"/>
          <w:bottom w:w="0" w:type="dxa"/>
          <w:right w:w="0" w:type="dxa"/>
        </w:tblCellMar>
      </w:tblPr>
      <w:tr>
        <w:trPr>
          <w:trHeight w:val="210"/>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6"/>
                <w:szCs w:val="16"/>
                <w:b w:val="1"/>
                <w:bCs w:val="1"/>
                <w:color w:val="auto"/>
              </w:rPr>
              <w:t>87-3037521</w:t>
            </w:r>
          </w:p>
        </w:tc>
      </w:tr>
      <w:tr>
        <w:trPr>
          <w:trHeight w:val="192"/>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133350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805 Broadway Street, Suite 900</w:t>
      </w:r>
    </w:p>
    <w:p>
      <w:pPr>
        <w:spacing w:after="0" w:line="2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Vancouver, Washington 98660</w:t>
      </w:r>
    </w:p>
    <w:p>
      <w:pPr>
        <w:spacing w:after="0" w:line="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Telephone: (800) 914-1220</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5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2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ZI</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66675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9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jc w:val="both"/>
        <w:ind w:firstLine="31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right="20" w:firstLine="318"/>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8"/>
        </w:trPr>
        <w:tc>
          <w:tcPr>
            <w:tcW w:w="16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3" w:lineRule="exact"/>
        <w:rPr>
          <w:sz w:val="24"/>
          <w:szCs w:val="24"/>
          <w:color w:val="auto"/>
        </w:rPr>
      </w:pPr>
    </w:p>
    <w:p>
      <w:pPr>
        <w:ind w:right="460"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right="1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3" w:lineRule="exact"/>
        <w:rPr>
          <w:sz w:val="24"/>
          <w:szCs w:val="24"/>
          <w:color w:val="auto"/>
        </w:rPr>
      </w:pPr>
    </w:p>
    <w:p>
      <w:pPr>
        <w:ind w:right="2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236220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0" w:lineRule="exact"/>
        <w:rPr>
          <w:sz w:val="20"/>
          <w:szCs w:val="20"/>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June 30, 2023, the aggregate market value of the registrant’s voting and non-voting common equity held by non-affiliates was approximately $8.7 billion.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January 31, 2024, there were 379,702,492 shares of the registrant’s common stock outstanding.</w:t>
      </w:r>
    </w:p>
    <w:p>
      <w:pPr>
        <w:spacing w:after="0" w:line="4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2024 Annual Meeting of Stockholders of ZoomInfo Technologies, Inc., which will be filed with the Securities and Exchange Commission within 120 days of December 31, 2023, are incorporated by reference in Item 10, Item 11, Item 12, Item 13 and Item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372745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ZoomInfo Technologies Inc. (the “Company”) is filing this Amendment No. 1 on Form 10-K/A (“Amendment No. 1”) to amend the Company’s Annual Report on Form 10-K for the year ended December 31, 2023, which was initially filed with the U.S. Securities and Exchange Commission (the “SEC”) on February 15, 2024 (the “Original 2023 Form 10-K”). The purpose of this Amendment No. 1 is to correct Part II, Item 9A. Controls and Procedures of the Company’s Original 2023 Form 10-K, which inadvertently omitted a statement disclosing the conclusions of the Company’s principal executive officer and principal financial officer regarding the effectiveness of the Company’s disclosure controls and procedures as of December 31, 2023. This Amendment No. 1 corrects such omission and amends and replaces Part II, Item 9A. Controls and Procedures of the Original 2023 Form 10-K in its entirety.</w:t>
      </w:r>
    </w:p>
    <w:p>
      <w:pPr>
        <w:spacing w:after="0" w:line="11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pursuant to Rule 12b-15 under the Securities Exchange Act of 1934, as amended (the “Exchange Act”), currently dated certifications from the Company’s principal executive officer and principal financial officer are filed herewith as exhibits to this Amendment No. 1 pursuant to Rule 13a-14(a) or 15d-14(a) of the Exchange Act. Because no financial statements have been included in this Amendment No. 1, certifications pursuant to Section 906 of the Sarbanes-Oxley Act of 2002 have been omitted, and similarly, paragraph 3 of the certifications filed pursuant to Section 302 of of the Sarbanes-Oxley Act of 2002 have been omitted in accordance with the SEC’s guidance promulgated under Compliance and Disclosure Interpretations Question 161.01.</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described above, this Amendment No. 1 does not amend, modify, or otherwise update any other information in the Original 2023 Form 10-K and does not reflect events occurring after the filing of the Original 2023 Form 10-K. Accordingly, this Amendment No. 1 should be read in conjunction with the Original 2023 Form 10-K and the Company’s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3" w:name="page4"/>
    <w:bookmarkEnd w:id="3"/>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December 31, 2023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U.S generally accepted accounting principles.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2023,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this evaluation, management concluded that our internal control over financial reporting was effective as of December 31, 2023.</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KPMG LLP, an independent registered public accounting firm, as stated in their report which is included in Part II, Item 8, “Financial Statements and Supplementary Data”, of this Annual Report on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5840"/>
        <w:spacing w:after="0"/>
        <w:rPr>
          <w:sz w:val="20"/>
          <w:szCs w:val="20"/>
          <w:color w:val="auto"/>
        </w:rPr>
      </w:pPr>
      <w:r>
        <w:rPr>
          <w:rFonts w:ascii="Times New Roman" w:cs="Times New Roman" w:eastAsia="Times New Roman" w:hAnsi="Times New Roman"/>
          <w:sz w:val="17"/>
          <w:szCs w:val="17"/>
          <w:b w:val="1"/>
          <w:bCs w:val="1"/>
          <w:color w:val="auto"/>
        </w:rPr>
        <w:t>ITEM 15. EXHIBIT AND FINANCIAL STATEMENT SCHEDULES</w:t>
      </w:r>
    </w:p>
    <w:p>
      <w:pPr>
        <w:spacing w:after="0" w:line="178" w:lineRule="exact"/>
        <w:rPr>
          <w:sz w:val="20"/>
          <w:szCs w:val="20"/>
          <w:color w:val="auto"/>
        </w:rPr>
      </w:pPr>
    </w:p>
    <w:p>
      <w:pPr>
        <w:jc w:val="center"/>
        <w:ind w:right="5820"/>
        <w:spacing w:after="0"/>
        <w:rPr>
          <w:sz w:val="20"/>
          <w:szCs w:val="20"/>
          <w:color w:val="auto"/>
        </w:rPr>
      </w:pPr>
      <w:r>
        <w:rPr>
          <w:rFonts w:ascii="Times New Roman" w:cs="Times New Roman" w:eastAsia="Times New Roman" w:hAnsi="Times New Roman"/>
          <w:sz w:val="18"/>
          <w:szCs w:val="18"/>
          <w:color w:val="auto"/>
        </w:rPr>
        <w:t>Exhibits filed or furnished herewith are designated by a cross (+).</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40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2"/>
        </w:trPr>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9180" w:type="dxa"/>
            <w:vAlign w:val="bottom"/>
            <w:gridSpan w:val="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 to</w:t>
            </w:r>
          </w:p>
        </w:tc>
        <w:tc>
          <w:tcPr>
            <w:tcW w:w="0" w:type="dxa"/>
            <w:vAlign w:val="bottom"/>
          </w:tcPr>
          <w:p>
            <w:pPr>
              <w:spacing w:after="0"/>
              <w:rPr>
                <w:sz w:val="1"/>
                <w:szCs w:val="1"/>
                <w:color w:val="auto"/>
              </w:rPr>
            </w:pPr>
          </w:p>
        </w:tc>
      </w:tr>
      <w:tr>
        <w:trPr>
          <w:trHeight w:val="127"/>
        </w:trPr>
        <w:tc>
          <w:tcPr>
            <w:tcW w:w="1600" w:type="dxa"/>
            <w:vAlign w:val="bottom"/>
            <w:tcBorders>
              <w:top w:val="single" w:sz="8" w:color="CCEEFF"/>
            </w:tcBorders>
            <w:vMerge w:val="continue"/>
            <w:shd w:val="clear" w:color="auto" w:fill="CCEEFF"/>
          </w:tcPr>
          <w:p>
            <w:pPr>
              <w:spacing w:after="0"/>
              <w:rPr>
                <w:sz w:val="11"/>
                <w:szCs w:val="11"/>
                <w:color w:val="auto"/>
              </w:rPr>
            </w:pPr>
          </w:p>
        </w:tc>
        <w:tc>
          <w:tcPr>
            <w:tcW w:w="3400" w:type="dxa"/>
            <w:vAlign w:val="bottom"/>
            <w:tcBorders>
              <w:top w:val="single" w:sz="8" w:color="0000FF"/>
            </w:tcBorders>
            <w:vMerge w:val="restart"/>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7"/>
              </w:rPr>
              <w:t>Section 302 of the Sarbanes-Oxley Act of 2002.</w:t>
            </w:r>
          </w:p>
        </w:tc>
        <w:tc>
          <w:tcPr>
            <w:tcW w:w="5420" w:type="dxa"/>
            <w:vAlign w:val="bottom"/>
            <w:tcBorders>
              <w:top w:val="single" w:sz="8" w:color="0000FF"/>
            </w:tcBorders>
            <w:gridSpan w:val="2"/>
            <w:vMerge w:val="restart"/>
            <w:shd w:val="clear" w:color="auto" w:fill="CCEEFF"/>
          </w:tcPr>
          <w:p>
            <w:pPr>
              <w:spacing w:after="0"/>
              <w:rPr>
                <w:sz w:val="11"/>
                <w:szCs w:val="11"/>
                <w:color w:val="auto"/>
              </w:rPr>
            </w:pPr>
          </w:p>
        </w:tc>
        <w:tc>
          <w:tcPr>
            <w:tcW w:w="360" w:type="dxa"/>
            <w:vAlign w:val="bottom"/>
            <w:tcBorders>
              <w:top w:val="single" w:sz="8" w:color="CCEEFF"/>
            </w:tcBorders>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00" w:type="dxa"/>
            <w:vAlign w:val="bottom"/>
            <w:tcBorders>
              <w:bottom w:val="single" w:sz="8" w:color="CCEEFF"/>
            </w:tcBorders>
            <w:shd w:val="clear" w:color="auto" w:fill="CCEEFF"/>
          </w:tcPr>
          <w:p>
            <w:pPr>
              <w:spacing w:after="0"/>
              <w:rPr>
                <w:sz w:val="9"/>
                <w:szCs w:val="9"/>
                <w:color w:val="auto"/>
              </w:rPr>
            </w:pPr>
          </w:p>
        </w:tc>
        <w:tc>
          <w:tcPr>
            <w:tcW w:w="3400" w:type="dxa"/>
            <w:vAlign w:val="bottom"/>
            <w:tcBorders>
              <w:bottom w:val="single" w:sz="8" w:color="0000FF"/>
            </w:tcBorders>
            <w:vMerge w:val="continue"/>
            <w:shd w:val="clear" w:color="auto" w:fill="CCEEFF"/>
          </w:tcPr>
          <w:p>
            <w:pPr>
              <w:spacing w:after="0"/>
              <w:rPr>
                <w:sz w:val="9"/>
                <w:szCs w:val="9"/>
                <w:color w:val="auto"/>
              </w:rPr>
            </w:pPr>
          </w:p>
        </w:tc>
        <w:tc>
          <w:tcPr>
            <w:tcW w:w="5420" w:type="dxa"/>
            <w:vAlign w:val="bottom"/>
            <w:tcBorders>
              <w:bottom w:val="single" w:sz="8" w:color="CCEEFF"/>
            </w:tcBorders>
            <w:gridSpan w:val="2"/>
            <w:vMerge w:val="continue"/>
            <w:shd w:val="clear" w:color="auto" w:fill="CCEEFF"/>
          </w:tcPr>
          <w:p>
            <w:pPr>
              <w:spacing w:after="0"/>
              <w:rPr>
                <w:sz w:val="9"/>
                <w:szCs w:val="9"/>
                <w:color w:val="auto"/>
              </w:rPr>
            </w:pPr>
          </w:p>
        </w:tc>
        <w:tc>
          <w:tcPr>
            <w:tcW w:w="3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918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 to</w:t>
            </w:r>
          </w:p>
        </w:tc>
        <w:tc>
          <w:tcPr>
            <w:tcW w:w="0" w:type="dxa"/>
            <w:vAlign w:val="bottom"/>
          </w:tcPr>
          <w:p>
            <w:pPr>
              <w:spacing w:after="0"/>
              <w:rPr>
                <w:sz w:val="1"/>
                <w:szCs w:val="1"/>
                <w:color w:val="auto"/>
              </w:rPr>
            </w:pPr>
          </w:p>
        </w:tc>
      </w:tr>
      <w:tr>
        <w:trPr>
          <w:trHeight w:val="152"/>
        </w:trPr>
        <w:tc>
          <w:tcPr>
            <w:tcW w:w="1600" w:type="dxa"/>
            <w:vAlign w:val="bottom"/>
            <w:vMerge w:val="continue"/>
          </w:tcPr>
          <w:p>
            <w:pPr>
              <w:spacing w:after="0"/>
              <w:rPr>
                <w:sz w:val="13"/>
                <w:szCs w:val="13"/>
                <w:color w:val="auto"/>
              </w:rPr>
            </w:pPr>
          </w:p>
        </w:tc>
        <w:tc>
          <w:tcPr>
            <w:tcW w:w="8780" w:type="dxa"/>
            <w:vAlign w:val="bottom"/>
            <w:tcBorders>
              <w:top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5"/>
                <w:szCs w:val="15"/>
                <w:color w:val="0000FF"/>
              </w:rPr>
              <w:t>Section 302 of the Sarbanes-Oxley Act of 2002.</w:t>
            </w: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600" w:type="dxa"/>
            <w:vAlign w:val="bottom"/>
          </w:tcPr>
          <w:p>
            <w:pPr>
              <w:spacing w:after="0"/>
              <w:rPr>
                <w:sz w:val="2"/>
                <w:szCs w:val="2"/>
                <w:color w:val="auto"/>
              </w:rPr>
            </w:pPr>
          </w:p>
        </w:tc>
        <w:tc>
          <w:tcPr>
            <w:tcW w:w="3400" w:type="dxa"/>
            <w:vAlign w:val="bottom"/>
            <w:tcBorders>
              <w:top w:val="single" w:sz="8" w:color="0000FF"/>
            </w:tcBorders>
          </w:tcPr>
          <w:p>
            <w:pPr>
              <w:spacing w:after="0"/>
              <w:rPr>
                <w:sz w:val="2"/>
                <w:szCs w:val="2"/>
                <w:color w:val="auto"/>
              </w:rPr>
            </w:pPr>
          </w:p>
        </w:tc>
        <w:tc>
          <w:tcPr>
            <w:tcW w:w="5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9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5"/>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+101.SCH</w:t>
            </w:r>
          </w:p>
        </w:tc>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5"/>
        </w:trPr>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9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1"/>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wp:posOffset>
            </wp:positionV>
            <wp:extent cx="6848475" cy="14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8475" cy="142875"/>
                    </a:xfrm>
                    <a:prstGeom prst="rect">
                      <a:avLst/>
                    </a:prstGeom>
                    <a:noFill/>
                  </pic:spPr>
                </pic:pic>
              </a:graphicData>
            </a:graphic>
          </wp:anchor>
        </w:drawing>
      </w:r>
    </w:p>
    <w:p>
      <w:pPr>
        <w:ind w:left="5580" w:right="2780" w:hanging="4600"/>
        <w:spacing w:after="0" w:line="675" w:lineRule="auto"/>
        <w:tabs>
          <w:tab w:leader="none" w:pos="1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861" w:right="479" w:bottom="1440" w:gutter="0" w:footer="0" w:header="0"/>
        </w:sectPr>
      </w:pPr>
    </w:p>
    <w:bookmarkStart w:id="6" w:name="page7"/>
    <w:bookmarkEnd w:id="6"/>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20th day of December, 2024.</w:t>
      </w:r>
    </w:p>
    <w:p>
      <w:pPr>
        <w:spacing w:after="0" w:line="15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30" w:lineRule="exact"/>
        <w:rPr>
          <w:sz w:val="20"/>
          <w:szCs w:val="20"/>
          <w:color w:val="auto"/>
        </w:rPr>
      </w:pPr>
    </w:p>
    <w:p>
      <w:pPr>
        <w:ind w:left="692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wp:posOffset>
            </wp:positionV>
            <wp:extent cx="24314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Name: M. Graham O’Brien</w:t>
      </w:r>
    </w:p>
    <w:p>
      <w:pPr>
        <w:ind w:left="744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70" w:lineRule="exact"/>
        <w:rPr>
          <w:sz w:val="20"/>
          <w:szCs w:val="20"/>
          <w:color w:val="auto"/>
        </w:rPr>
      </w:pPr>
    </w:p>
    <w:p>
      <w:pPr>
        <w:ind w:left="180" w:hanging="174"/>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left="180" w:hanging="174"/>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 pursuant to SEC Division of Corporation Finance Compliance &amp; Disclosure Interpretation Question 161.01]</w:t>
      </w:r>
    </w:p>
    <w:p>
      <w:pPr>
        <w:spacing w:after="0" w:line="270"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w:t>
      </w:r>
    </w:p>
    <w:p>
      <w:pPr>
        <w:spacing w:after="0" w:line="44" w:lineRule="exact"/>
        <w:rPr>
          <w:rFonts w:ascii="Times New Roman" w:cs="Times New Roman" w:eastAsia="Times New Roman" w:hAnsi="Times New Roman"/>
          <w:sz w:val="18"/>
          <w:szCs w:val="18"/>
          <w:color w:val="auto"/>
        </w:rPr>
      </w:pPr>
    </w:p>
    <w:p>
      <w:pPr>
        <w:ind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w:t>
      </w:r>
    </w:p>
    <w:p>
      <w:pPr>
        <w:spacing w:after="0" w:line="44" w:lineRule="exact"/>
        <w:rPr>
          <w:rFonts w:ascii="Times New Roman" w:cs="Times New Roman" w:eastAsia="Times New Roman" w:hAnsi="Times New Roman"/>
          <w:sz w:val="18"/>
          <w:szCs w:val="18"/>
          <w:color w:val="auto"/>
        </w:rPr>
      </w:pPr>
    </w:p>
    <w:p>
      <w:pPr>
        <w:ind w:left="640"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640" w:right="280" w:firstLine="2"/>
        <w:spacing w:after="0" w:line="298" w:lineRule="auto"/>
        <w:tabs>
          <w:tab w:leader="none" w:pos="8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Times New Roman" w:cs="Times New Roman" w:eastAsia="Times New Roman" w:hAnsi="Times New Roman"/>
          <w:sz w:val="18"/>
          <w:szCs w:val="18"/>
          <w:color w:val="auto"/>
        </w:rPr>
      </w:pPr>
    </w:p>
    <w:p>
      <w:pPr>
        <w:ind w:left="640" w:right="840" w:firstLine="2"/>
        <w:spacing w:after="0" w:line="353" w:lineRule="auto"/>
        <w:tabs>
          <w:tab w:leader="none" w:pos="88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900" w:hanging="258"/>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44" w:lineRule="exact"/>
        <w:rPr>
          <w:rFonts w:ascii="Times New Roman" w:cs="Times New Roman" w:eastAsia="Times New Roman" w:hAnsi="Times New Roman"/>
          <w:sz w:val="18"/>
          <w:szCs w:val="18"/>
          <w:color w:val="auto"/>
        </w:rPr>
      </w:pPr>
    </w:p>
    <w:p>
      <w:pPr>
        <w:ind w:left="640" w:right="30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304" w:lineRule="auto"/>
        <w:tabs>
          <w:tab w:leader="none" w:pos="1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8" w:name="page9"/>
    <w:bookmarkEnd w:id="8"/>
    <w:p>
      <w:pPr>
        <w:ind w:left="940" w:right="40" w:hanging="318"/>
        <w:spacing w:after="0" w:line="320" w:lineRule="auto"/>
        <w:tabs>
          <w:tab w:leader="none" w:pos="9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3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December 20, 2024</w:t>
      </w:r>
      <w:r>
        <w:rPr>
          <w:sz w:val="20"/>
          <w:szCs w:val="20"/>
          <w:color w:val="auto"/>
        </w:rPr>
        <w:tab/>
      </w:r>
      <w:r>
        <w:rPr>
          <w:rFonts w:ascii="Times New Roman" w:cs="Times New Roman" w:eastAsia="Times New Roman" w:hAnsi="Times New Roman"/>
          <w:sz w:val="17"/>
          <w:szCs w:val="17"/>
          <w:color w:val="auto"/>
        </w:rPr>
        <w:t>Henry Schuck</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40" w:top="1406"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Graham O'Brien, certify that:</w:t>
      </w:r>
    </w:p>
    <w:p>
      <w:pPr>
        <w:spacing w:after="0" w:line="270" w:lineRule="exact"/>
        <w:rPr>
          <w:sz w:val="20"/>
          <w:szCs w:val="20"/>
          <w:color w:val="auto"/>
        </w:rPr>
      </w:pPr>
    </w:p>
    <w:p>
      <w:pPr>
        <w:ind w:left="180" w:hanging="174"/>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left="180" w:hanging="174"/>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 pursuant to SEC Division of Corporation Finance Compliance &amp; Disclosure Interpretation Question 161.01]</w:t>
      </w:r>
    </w:p>
    <w:p>
      <w:pPr>
        <w:spacing w:after="0" w:line="270"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w:t>
      </w:r>
    </w:p>
    <w:p>
      <w:pPr>
        <w:spacing w:after="0" w:line="44" w:lineRule="exact"/>
        <w:rPr>
          <w:rFonts w:ascii="Times New Roman" w:cs="Times New Roman" w:eastAsia="Times New Roman" w:hAnsi="Times New Roman"/>
          <w:sz w:val="18"/>
          <w:szCs w:val="18"/>
          <w:color w:val="auto"/>
        </w:rPr>
      </w:pPr>
    </w:p>
    <w:p>
      <w:pPr>
        <w:ind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270"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w:t>
      </w:r>
    </w:p>
    <w:p>
      <w:pPr>
        <w:spacing w:after="0" w:line="44" w:lineRule="exact"/>
        <w:rPr>
          <w:rFonts w:ascii="Times New Roman" w:cs="Times New Roman" w:eastAsia="Times New Roman" w:hAnsi="Times New Roman"/>
          <w:sz w:val="18"/>
          <w:szCs w:val="18"/>
          <w:color w:val="auto"/>
        </w:rPr>
      </w:pPr>
    </w:p>
    <w:p>
      <w:pPr>
        <w:ind w:left="640"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640" w:right="280" w:firstLine="2"/>
        <w:spacing w:after="0" w:line="298" w:lineRule="auto"/>
        <w:tabs>
          <w:tab w:leader="none" w:pos="8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Times New Roman" w:cs="Times New Roman" w:eastAsia="Times New Roman" w:hAnsi="Times New Roman"/>
          <w:sz w:val="18"/>
          <w:szCs w:val="18"/>
          <w:color w:val="auto"/>
        </w:rPr>
      </w:pPr>
    </w:p>
    <w:p>
      <w:pPr>
        <w:ind w:left="640" w:right="840" w:firstLine="2"/>
        <w:spacing w:after="0" w:line="353" w:lineRule="auto"/>
        <w:tabs>
          <w:tab w:leader="none" w:pos="8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900" w:hanging="258"/>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44" w:lineRule="exact"/>
        <w:rPr>
          <w:rFonts w:ascii="Times New Roman" w:cs="Times New Roman" w:eastAsia="Times New Roman" w:hAnsi="Times New Roman"/>
          <w:sz w:val="18"/>
          <w:szCs w:val="18"/>
          <w:color w:val="auto"/>
        </w:rPr>
      </w:pPr>
    </w:p>
    <w:p>
      <w:pPr>
        <w:ind w:left="640" w:right="30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320" w:lineRule="auto"/>
        <w:tabs>
          <w:tab w:leader="none" w:pos="1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10" w:name="page11"/>
    <w:bookmarkEnd w:id="10"/>
    <w:p>
      <w:pPr>
        <w:ind w:left="940" w:right="40" w:hanging="318"/>
        <w:spacing w:after="0" w:line="320" w:lineRule="auto"/>
        <w:tabs>
          <w:tab w:leader="none" w:pos="9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51"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December 20, 2024</w:t>
      </w:r>
      <w:r>
        <w:rPr>
          <w:sz w:val="20"/>
          <w:szCs w:val="20"/>
          <w:color w:val="auto"/>
        </w:rPr>
        <w:tab/>
      </w:r>
      <w:r>
        <w:rPr>
          <w:rFonts w:ascii="Times New Roman" w:cs="Times New Roman" w:eastAsia="Times New Roman" w:hAnsi="Times New Roman"/>
          <w:sz w:val="17"/>
          <w:szCs w:val="17"/>
          <w:color w:val="auto"/>
        </w:rPr>
        <w:t>M. Graham O'Brien</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100"/>
      </w:cols>
      <w:pgMar w:left="340" w:top="140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2024-12-20T15:41:03Z</dcterms:created>
  <dcterms:modified xsi:type="dcterms:W3CDTF">2024-12-20T15:41:03Z</dcterms:modified>
</cp:coreProperties>
</file>