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6965950</wp:posOffset>
            </wp:positionH>
            <wp:positionV relativeFrom="paragraph">
              <wp:posOffset>-469900</wp:posOffset>
            </wp:positionV>
            <wp:extent cx="6350" cy="4705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-476250</wp:posOffset>
            </wp:positionV>
            <wp:extent cx="6350" cy="476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5643880</wp:posOffset>
            </wp:positionH>
            <wp:positionV relativeFrom="paragraph">
              <wp:posOffset>-457200</wp:posOffset>
            </wp:positionV>
            <wp:extent cx="1309370" cy="438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9370" cy="4387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6997700" cy="1353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135382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3"/>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20" w:type="dxa"/>
            <w:vAlign w:val="bottom"/>
            <w:vMerge w:val="restart"/>
          </w:tcPr>
          <w:p>
            <w:pPr>
              <w:ind w:left="20"/>
              <w:spacing w:after="0"/>
              <w:rPr>
                <w:rFonts w:ascii="Arial" w:cs="Arial" w:eastAsia="Arial" w:hAnsi="Arial"/>
                <w:sz w:val="16"/>
                <w:szCs w:val="16"/>
                <w:u w:val="single" w:color="auto"/>
                <w:color w:val="0000EE"/>
                <w:w w:val="94"/>
              </w:rPr>
            </w:pPr>
            <w:hyperlink r:id="rId12">
              <w:r>
                <w:rPr>
                  <w:rFonts w:ascii="Arial" w:cs="Arial" w:eastAsia="Arial" w:hAnsi="Arial"/>
                  <w:sz w:val="16"/>
                  <w:szCs w:val="16"/>
                  <w:u w:val="single" w:color="auto"/>
                  <w:color w:val="0000EE"/>
                  <w:w w:val="94"/>
                </w:rPr>
                <w:t>Mironov Jason</w:t>
              </w:r>
            </w:hyperlink>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2520" w:type="dxa"/>
            <w:vAlign w:val="bottom"/>
            <w:gridSpan w:val="2"/>
          </w:tcPr>
          <w:p>
            <w:pPr>
              <w:ind w:left="1260"/>
              <w:spacing w:after="0"/>
              <w:rPr>
                <w:sz w:val="20"/>
                <w:szCs w:val="20"/>
                <w:color w:val="auto"/>
              </w:rPr>
            </w:pPr>
            <w:r>
              <w:rPr>
                <w:rFonts w:ascii="Arial" w:cs="Arial" w:eastAsia="Arial" w:hAnsi="Arial"/>
                <w:sz w:val="13"/>
                <w:szCs w:val="13"/>
                <w:color w:val="0000FF"/>
              </w:rPr>
              <w:t>06/04/2020</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0"/>
                <w:szCs w:val="10"/>
                <w:color w:val="auto"/>
              </w:rPr>
              <w:t>(Last)</w:t>
            </w:r>
          </w:p>
        </w:tc>
        <w:tc>
          <w:tcPr>
            <w:tcW w:w="1000" w:type="dxa"/>
            <w:vAlign w:val="bottom"/>
          </w:tcPr>
          <w:p>
            <w:pPr>
              <w:ind w:left="4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44"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C/O ZOOMINFO TECHNOLOGIES INC.,</w:t>
      </w:r>
    </w:p>
    <w:p>
      <w:pPr>
        <w:spacing w:after="0" w:line="51"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805 BROADWAY STREET, SUITE 900</w:t>
      </w:r>
    </w:p>
    <w:p>
      <w:pPr>
        <w:spacing w:after="0" w:line="226" w:lineRule="exact"/>
        <w:rPr>
          <w:sz w:val="24"/>
          <w:szCs w:val="24"/>
          <w:color w:val="auto"/>
        </w:rPr>
      </w:pPr>
    </w:p>
    <w:tbl>
      <w:tblPr>
        <w:tblLayout w:type="fixed"/>
        <w:tblInd w:w="60" w:type="dxa"/>
        <w:tblCellMar>
          <w:top w:w="0" w:type="dxa"/>
          <w:left w:w="0" w:type="dxa"/>
          <w:bottom w:w="0" w:type="dxa"/>
          <w:right w:w="0" w:type="dxa"/>
        </w:tblCellMar>
      </w:tblPr>
      <w:tr>
        <w:trPr>
          <w:trHeight w:val="121"/>
        </w:trPr>
        <w:tc>
          <w:tcPr>
            <w:tcW w:w="1720" w:type="dxa"/>
            <w:vAlign w:val="bottom"/>
          </w:tcPr>
          <w:p>
            <w:pPr>
              <w:spacing w:after="0"/>
              <w:rPr>
                <w:sz w:val="20"/>
                <w:szCs w:val="20"/>
                <w:color w:val="auto"/>
              </w:rPr>
            </w:pPr>
            <w:r>
              <w:rPr>
                <w:rFonts w:ascii="Arial" w:cs="Arial" w:eastAsia="Arial" w:hAnsi="Arial"/>
                <w:sz w:val="10"/>
                <w:szCs w:val="10"/>
                <w:color w:val="auto"/>
              </w:rPr>
              <w:t>(Street)</w:t>
            </w:r>
          </w:p>
        </w:tc>
        <w:tc>
          <w:tcPr>
            <w:tcW w:w="740" w:type="dxa"/>
            <w:vAlign w:val="bottom"/>
          </w:tcPr>
          <w:p>
            <w:pPr>
              <w:spacing w:after="0"/>
              <w:rPr>
                <w:sz w:val="10"/>
                <w:szCs w:val="10"/>
                <w:color w:val="auto"/>
              </w:rPr>
            </w:pPr>
          </w:p>
        </w:tc>
      </w:tr>
      <w:tr>
        <w:trPr>
          <w:trHeight w:val="178"/>
        </w:trPr>
        <w:tc>
          <w:tcPr>
            <w:tcW w:w="1720" w:type="dxa"/>
            <w:vAlign w:val="bottom"/>
          </w:tcPr>
          <w:p>
            <w:pPr>
              <w:ind w:left="40"/>
              <w:spacing w:after="0"/>
              <w:rPr>
                <w:sz w:val="20"/>
                <w:szCs w:val="20"/>
                <w:color w:val="auto"/>
              </w:rPr>
            </w:pPr>
            <w:r>
              <w:rPr>
                <w:rFonts w:ascii="Arial" w:cs="Arial" w:eastAsia="Arial" w:hAnsi="Arial"/>
                <w:sz w:val="13"/>
                <w:szCs w:val="13"/>
                <w:color w:val="0000FF"/>
                <w:w w:val="95"/>
              </w:rPr>
              <w:t>VANCOUVERWA</w:t>
            </w:r>
          </w:p>
        </w:tc>
        <w:tc>
          <w:tcPr>
            <w:tcW w:w="740" w:type="dxa"/>
            <w:vAlign w:val="bottom"/>
          </w:tcPr>
          <w:p>
            <w:pPr>
              <w:jc w:val="right"/>
              <w:spacing w:after="0"/>
              <w:rPr>
                <w:sz w:val="20"/>
                <w:szCs w:val="20"/>
                <w:color w:val="auto"/>
              </w:rPr>
            </w:pPr>
            <w:r>
              <w:rPr>
                <w:rFonts w:ascii="Arial" w:cs="Arial" w:eastAsia="Arial" w:hAnsi="Arial"/>
                <w:sz w:val="13"/>
                <w:szCs w:val="13"/>
                <w:color w:val="0000FF"/>
              </w:rPr>
              <w:t>98660</w:t>
            </w:r>
          </w:p>
        </w:tc>
      </w:tr>
    </w:tbl>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tcPr>
          <w:p>
            <w:pPr>
              <w:ind w:left="60"/>
              <w:spacing w:after="0"/>
              <w:rPr>
                <w:sz w:val="20"/>
                <w:szCs w:val="20"/>
                <w:color w:val="auto"/>
              </w:rPr>
            </w:pPr>
            <w:r>
              <w:rPr>
                <w:rFonts w:ascii="Arial" w:cs="Arial" w:eastAsia="Arial" w:hAnsi="Arial"/>
                <w:sz w:val="10"/>
                <w:szCs w:val="10"/>
                <w:color w:val="auto"/>
                <w:w w:val="95"/>
              </w:rPr>
              <w:t>3.</w:t>
            </w:r>
          </w:p>
        </w:tc>
        <w:tc>
          <w:tcPr>
            <w:tcW w:w="196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3300" w:type="dxa"/>
            <w:vAlign w:val="bottom"/>
            <w:gridSpan w:val="4"/>
          </w:tcPr>
          <w:p>
            <w:pPr>
              <w:ind w:left="60"/>
              <w:spacing w:after="0"/>
              <w:rPr>
                <w:rFonts w:ascii="Arial" w:cs="Arial" w:eastAsia="Arial" w:hAnsi="Arial"/>
                <w:sz w:val="16"/>
                <w:szCs w:val="16"/>
                <w:color w:val="0000EE"/>
              </w:rPr>
            </w:pPr>
            <w:hyperlink r:id="rId13">
              <w:r>
                <w:rPr>
                  <w:rFonts w:ascii="Arial" w:cs="Arial" w:eastAsia="Arial" w:hAnsi="Arial"/>
                  <w:sz w:val="16"/>
                  <w:szCs w:val="16"/>
                  <w:u w:val="single" w:color="auto"/>
                  <w:color w:val="0000EE"/>
                </w:rPr>
                <w:t>ZoomInfo Technologies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ZI</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2"/>
        </w:trPr>
        <w:tc>
          <w:tcPr>
            <w:tcW w:w="160" w:type="dxa"/>
            <w:vAlign w:val="bottom"/>
            <w:tcBorders>
              <w:bottom w:val="single" w:sz="8" w:color="2C2C2C"/>
            </w:tcBorders>
          </w:tcPr>
          <w:p>
            <w:pPr>
              <w:spacing w:after="0"/>
              <w:rPr>
                <w:sz w:val="24"/>
                <w:szCs w:val="24"/>
                <w:color w:val="auto"/>
              </w:rPr>
            </w:pPr>
          </w:p>
        </w:tc>
        <w:tc>
          <w:tcPr>
            <w:tcW w:w="3140" w:type="dxa"/>
            <w:vAlign w:val="bottom"/>
            <w:tcBorders>
              <w:bottom w:val="single" w:sz="8" w:color="2C2C2C"/>
            </w:tcBorders>
            <w:gridSpan w:val="3"/>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60" w:type="dxa"/>
            <w:vAlign w:val="bottom"/>
          </w:tcPr>
          <w:p>
            <w:pPr>
              <w:ind w:left="60"/>
              <w:spacing w:after="0"/>
              <w:rPr>
                <w:sz w:val="20"/>
                <w:szCs w:val="20"/>
                <w:color w:val="auto"/>
              </w:rPr>
            </w:pPr>
            <w:r>
              <w:rPr>
                <w:rFonts w:ascii="Arial" w:cs="Arial" w:eastAsia="Arial" w:hAnsi="Arial"/>
                <w:sz w:val="10"/>
                <w:szCs w:val="10"/>
                <w:color w:val="auto"/>
                <w:w w:val="95"/>
              </w:rPr>
              <w:t>4.</w:t>
            </w:r>
          </w:p>
        </w:tc>
        <w:tc>
          <w:tcPr>
            <w:tcW w:w="3140" w:type="dxa"/>
            <w:vAlign w:val="bottom"/>
            <w:gridSpan w:val="3"/>
          </w:tcPr>
          <w:p>
            <w:pPr>
              <w:spacing w:after="0"/>
              <w:rPr>
                <w:sz w:val="20"/>
                <w:szCs w:val="20"/>
                <w:color w:val="auto"/>
              </w:rPr>
            </w:pPr>
            <w:r>
              <w:rPr>
                <w:rFonts w:ascii="Arial" w:cs="Arial" w:eastAsia="Arial" w:hAnsi="Arial"/>
                <w:sz w:val="10"/>
                <w:szCs w:val="10"/>
                <w:color w:val="auto"/>
              </w:rPr>
              <w:t>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20" w:type="dxa"/>
            <w:vAlign w:val="bottom"/>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21"/>
        </w:trPr>
        <w:tc>
          <w:tcPr>
            <w:tcW w:w="2120" w:type="dxa"/>
            <w:vAlign w:val="bottom"/>
            <w:gridSpan w:val="3"/>
          </w:tcPr>
          <w:p>
            <w:pPr>
              <w:ind w:left="60"/>
              <w:spacing w:after="0"/>
              <w:rPr>
                <w:sz w:val="20"/>
                <w:szCs w:val="20"/>
                <w:color w:val="auto"/>
              </w:rPr>
            </w:pPr>
            <w:r>
              <w:rPr>
                <w:rFonts w:ascii="Arial" w:cs="Arial" w:eastAsia="Arial" w:hAnsi="Arial"/>
                <w:sz w:val="10"/>
                <w:szCs w:val="10"/>
                <w:color w:val="auto"/>
              </w:rPr>
              <w:t>(Check all applicable)</w:t>
            </w: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60" w:type="dxa"/>
            <w:vAlign w:val="bottom"/>
          </w:tcPr>
          <w:p>
            <w:pPr>
              <w:spacing w:after="0"/>
              <w:rPr>
                <w:sz w:val="7"/>
                <w:szCs w:val="7"/>
                <w:color w:val="auto"/>
              </w:rPr>
            </w:pPr>
          </w:p>
        </w:tc>
        <w:tc>
          <w:tcPr>
            <w:tcW w:w="300" w:type="dxa"/>
            <w:vAlign w:val="bottom"/>
            <w:vMerge w:val="restart"/>
          </w:tcPr>
          <w:p>
            <w:pPr>
              <w:ind w:left="100"/>
              <w:spacing w:after="0"/>
              <w:rPr>
                <w:sz w:val="20"/>
                <w:szCs w:val="20"/>
                <w:color w:val="auto"/>
              </w:rPr>
            </w:pPr>
            <w:r>
              <w:rPr>
                <w:rFonts w:ascii="Arial" w:cs="Arial" w:eastAsia="Arial" w:hAnsi="Arial"/>
                <w:sz w:val="13"/>
                <w:szCs w:val="13"/>
                <w:color w:val="0000FF"/>
              </w:rPr>
              <w:t>X</w:t>
            </w:r>
          </w:p>
        </w:tc>
        <w:tc>
          <w:tcPr>
            <w:tcW w:w="1660" w:type="dxa"/>
            <w:vAlign w:val="bottom"/>
            <w:vMerge w:val="restart"/>
          </w:tcPr>
          <w:p>
            <w:pPr>
              <w:ind w:left="120"/>
              <w:spacing w:after="0"/>
              <w:rPr>
                <w:sz w:val="20"/>
                <w:szCs w:val="20"/>
                <w:color w:val="auto"/>
              </w:rPr>
            </w:pPr>
            <w:r>
              <w:rPr>
                <w:rFonts w:ascii="Arial" w:cs="Arial" w:eastAsia="Arial" w:hAnsi="Arial"/>
                <w:sz w:val="10"/>
                <w:szCs w:val="10"/>
                <w:color w:val="auto"/>
              </w:rPr>
              <w:t>Director</w:t>
            </w:r>
          </w:p>
        </w:tc>
        <w:tc>
          <w:tcPr>
            <w:tcW w:w="1180" w:type="dxa"/>
            <w:vAlign w:val="bottom"/>
            <w:vMerge w:val="restart"/>
          </w:tcPr>
          <w:p>
            <w:pPr>
              <w:ind w:left="40"/>
              <w:spacing w:after="0"/>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6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66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color w:val="auto"/>
              </w:rPr>
              <w:t>6.</w:t>
            </w:r>
          </w:p>
        </w:tc>
        <w:tc>
          <w:tcPr>
            <w:tcW w:w="2620" w:type="dxa"/>
            <w:vAlign w:val="bottom"/>
            <w:vMerge w:val="restart"/>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92"/>
        </w:trPr>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60" w:type="dxa"/>
            <w:vAlign w:val="bottom"/>
            <w:vMerge w:val="restart"/>
          </w:tcPr>
          <w:p>
            <w:pPr>
              <w:ind w:left="120"/>
              <w:spacing w:after="0"/>
              <w:rPr>
                <w:sz w:val="20"/>
                <w:szCs w:val="20"/>
                <w:color w:val="auto"/>
              </w:rPr>
            </w:pPr>
            <w:r>
              <w:rPr>
                <w:rFonts w:ascii="Arial" w:cs="Arial" w:eastAsia="Arial" w:hAnsi="Arial"/>
                <w:sz w:val="10"/>
                <w:szCs w:val="10"/>
                <w:color w:val="auto"/>
              </w:rPr>
              <w:t>Officer (give title below)</w:t>
            </w:r>
          </w:p>
        </w:tc>
        <w:tc>
          <w:tcPr>
            <w:tcW w:w="1180" w:type="dxa"/>
            <w:vAlign w:val="bottom"/>
            <w:vMerge w:val="restart"/>
          </w:tcPr>
          <w:p>
            <w:pPr>
              <w:ind w:left="40"/>
              <w:spacing w:after="0"/>
              <w:rPr>
                <w:sz w:val="20"/>
                <w:szCs w:val="20"/>
                <w:color w:val="auto"/>
              </w:rPr>
            </w:pPr>
            <w:r>
              <w:rPr>
                <w:rFonts w:ascii="Arial" w:cs="Arial" w:eastAsia="Arial" w:hAnsi="Arial"/>
                <w:sz w:val="10"/>
                <w:szCs w:val="10"/>
                <w:color w:val="auto"/>
              </w:rPr>
              <w:t>Other (specify below)</w:t>
            </w:r>
          </w:p>
        </w:tc>
        <w:tc>
          <w:tcPr>
            <w:tcW w:w="140" w:type="dxa"/>
            <w:vAlign w:val="bottom"/>
            <w:vMerge w:val="continue"/>
          </w:tcPr>
          <w:p>
            <w:pPr>
              <w:spacing w:after="0"/>
              <w:rPr>
                <w:sz w:val="8"/>
                <w:szCs w:val="8"/>
                <w:color w:val="auto"/>
              </w:rPr>
            </w:pPr>
          </w:p>
        </w:tc>
        <w:tc>
          <w:tcPr>
            <w:tcW w:w="2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2620" w:type="dxa"/>
            <w:vAlign w:val="bottom"/>
            <w:vMerge w:val="restart"/>
          </w:tcPr>
          <w:p>
            <w:pPr>
              <w:ind w:left="80"/>
              <w:spacing w:after="0"/>
              <w:rPr>
                <w:sz w:val="20"/>
                <w:szCs w:val="20"/>
                <w:color w:val="auto"/>
              </w:rPr>
            </w:pP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tc>
        <w:tc>
          <w:tcPr>
            <w:tcW w:w="0" w:type="dxa"/>
            <w:vAlign w:val="bottom"/>
          </w:tcPr>
          <w:p>
            <w:pPr>
              <w:spacing w:after="0"/>
              <w:rPr>
                <w:sz w:val="1"/>
                <w:szCs w:val="1"/>
                <w:color w:val="auto"/>
              </w:rPr>
            </w:pPr>
          </w:p>
        </w:tc>
      </w:tr>
      <w:tr>
        <w:trPr>
          <w:trHeight w:val="108"/>
        </w:trPr>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3800"/>
        <w:spacing w:after="0"/>
        <w:rPr>
          <w:sz w:val="20"/>
          <w:szCs w:val="20"/>
          <w:color w:val="auto"/>
        </w:rPr>
      </w:pPr>
      <w:r>
        <w:rPr>
          <w:rFonts w:ascii="Arial" w:cs="Arial" w:eastAsia="Arial" w:hAnsi="Arial"/>
          <w:sz w:val="10"/>
          <w:szCs w:val="10"/>
          <w:color w:val="auto"/>
        </w:rPr>
        <w:t>Form filed by More than One Reporting Person</w:t>
      </w:r>
    </w:p>
    <w:p>
      <w:pPr>
        <w:spacing w:after="0" w:line="303" w:lineRule="exact"/>
        <w:rPr>
          <w:sz w:val="24"/>
          <w:szCs w:val="24"/>
          <w:color w:val="auto"/>
        </w:rPr>
      </w:pPr>
    </w:p>
    <w:p>
      <w:pPr>
        <w:sectPr>
          <w:pgSz w:w="11900" w:h="16838" w:orient="portrait"/>
          <w:cols w:equalWidth="0" w:num="2">
            <w:col w:w="4620" w:space="320"/>
            <w:col w:w="6080"/>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6997700" cy="445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97700" cy="44513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3"/>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55"/>
        </w:trPr>
        <w:tc>
          <w:tcPr>
            <w:tcW w:w="2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6997700" cy="2465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2465705"/>
                    </a:xfrm>
                    <a:prstGeom prst="rect">
                      <a:avLst/>
                    </a:prstGeom>
                    <a:noFill/>
                  </pic:spPr>
                </pic:pic>
              </a:graphicData>
            </a:graphic>
          </wp:anchor>
        </w:drawing>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30480</wp:posOffset>
            </wp:positionV>
            <wp:extent cx="6985000" cy="546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5000" cy="546735"/>
                    </a:xfrm>
                    <a:prstGeom prst="rect">
                      <a:avLst/>
                    </a:prstGeom>
                    <a:noFill/>
                  </pic:spPr>
                </pic:pic>
              </a:graphicData>
            </a:graphic>
          </wp:anchor>
        </w:drawing>
      </w: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68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126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82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00" w:type="dxa"/>
            <w:vAlign w:val="bottom"/>
          </w:tcPr>
          <w:p>
            <w:pPr>
              <w:ind w:left="40"/>
              <w:spacing w:after="0"/>
              <w:rPr>
                <w:sz w:val="20"/>
                <w:szCs w:val="20"/>
                <w:color w:val="auto"/>
              </w:rPr>
            </w:pPr>
            <w:r>
              <w:rPr>
                <w:rFonts w:ascii="Arial" w:cs="Arial" w:eastAsia="Arial" w:hAnsi="Arial"/>
                <w:sz w:val="10"/>
                <w:szCs w:val="10"/>
                <w:b w:val="1"/>
                <w:bCs w:val="1"/>
                <w:color w:val="auto"/>
              </w:rPr>
              <w:t>4.</w:t>
            </w:r>
          </w:p>
        </w:tc>
        <w:tc>
          <w:tcPr>
            <w:tcW w:w="86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680" w:type="dxa"/>
            <w:vAlign w:val="bottom"/>
            <w:gridSpan w:val="2"/>
          </w:tcPr>
          <w:p>
            <w:pPr>
              <w:ind w:left="10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Expiration Date</w:t>
            </w:r>
          </w:p>
        </w:tc>
        <w:tc>
          <w:tcPr>
            <w:tcW w:w="194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Security (Instr. 4)</w:t>
            </w:r>
          </w:p>
        </w:tc>
        <w:tc>
          <w:tcPr>
            <w:tcW w:w="880" w:type="dxa"/>
            <w:vAlign w:val="bottom"/>
          </w:tcPr>
          <w:p>
            <w:pPr>
              <w:spacing w:after="0"/>
              <w:rPr>
                <w:sz w:val="9"/>
                <w:szCs w:val="9"/>
                <w:color w:val="auto"/>
              </w:rPr>
            </w:pPr>
          </w:p>
        </w:tc>
        <w:tc>
          <w:tcPr>
            <w:tcW w:w="70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Conversion</w:t>
            </w:r>
          </w:p>
        </w:tc>
        <w:tc>
          <w:tcPr>
            <w:tcW w:w="86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Form: Direct</w:t>
            </w:r>
          </w:p>
        </w:tc>
        <w:tc>
          <w:tcPr>
            <w:tcW w:w="1680" w:type="dxa"/>
            <w:vAlign w:val="bottom"/>
            <w:gridSpan w:val="2"/>
          </w:tcPr>
          <w:p>
            <w:pPr>
              <w:ind w:left="100"/>
              <w:spacing w:after="0" w:line="110" w:lineRule="exact"/>
              <w:rPr>
                <w:sz w:val="20"/>
                <w:szCs w:val="20"/>
                <w:color w:val="auto"/>
              </w:rPr>
            </w:pPr>
            <w:r>
              <w:rPr>
                <w:rFonts w:ascii="Arial" w:cs="Arial" w:eastAsia="Arial" w:hAnsi="Arial"/>
                <w:sz w:val="10"/>
                <w:szCs w:val="10"/>
                <w:b w:val="1"/>
                <w:bCs w:val="1"/>
                <w:color w:val="auto"/>
              </w:rPr>
              <w:t>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(Month/Day/Year)</w:t>
            </w:r>
          </w:p>
        </w:tc>
        <w:tc>
          <w:tcPr>
            <w:tcW w:w="1940" w:type="dxa"/>
            <w:vAlign w:val="bottom"/>
          </w:tcPr>
          <w:p>
            <w:pPr>
              <w:spacing w:after="0"/>
              <w:rPr>
                <w:sz w:val="9"/>
                <w:szCs w:val="9"/>
                <w:color w:val="auto"/>
              </w:rPr>
            </w:pPr>
          </w:p>
        </w:tc>
        <w:tc>
          <w:tcPr>
            <w:tcW w:w="880" w:type="dxa"/>
            <w:vAlign w:val="bottom"/>
          </w:tcPr>
          <w:p>
            <w:pPr>
              <w:spacing w:after="0"/>
              <w:rPr>
                <w:sz w:val="9"/>
                <w:szCs w:val="9"/>
                <w:color w:val="auto"/>
              </w:rPr>
            </w:pPr>
          </w:p>
        </w:tc>
        <w:tc>
          <w:tcPr>
            <w:tcW w:w="70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or Exercise</w:t>
            </w:r>
          </w:p>
        </w:tc>
        <w:tc>
          <w:tcPr>
            <w:tcW w:w="86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(D) or Indirect</w:t>
            </w:r>
          </w:p>
        </w:tc>
        <w:tc>
          <w:tcPr>
            <w:tcW w:w="1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68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00" w:type="dxa"/>
            <w:vAlign w:val="bottom"/>
            <w:vMerge w:val="restart"/>
          </w:tcPr>
          <w:p>
            <w:pPr>
              <w:ind w:left="40"/>
              <w:spacing w:after="0" w:line="110" w:lineRule="exact"/>
              <w:rPr>
                <w:sz w:val="20"/>
                <w:szCs w:val="20"/>
                <w:color w:val="auto"/>
              </w:rPr>
            </w:pPr>
            <w:r>
              <w:rPr>
                <w:rFonts w:ascii="Arial" w:cs="Arial" w:eastAsia="Arial" w:hAnsi="Arial"/>
                <w:sz w:val="10"/>
                <w:szCs w:val="10"/>
                <w:b w:val="1"/>
                <w:bCs w:val="1"/>
                <w:color w:val="auto"/>
              </w:rPr>
              <w:t>Price of</w:t>
            </w:r>
          </w:p>
        </w:tc>
        <w:tc>
          <w:tcPr>
            <w:tcW w:w="86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 (Instr. 5)</w:t>
            </w:r>
          </w:p>
        </w:tc>
        <w:tc>
          <w:tcPr>
            <w:tcW w:w="16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940" w:type="dxa"/>
            <w:vAlign w:val="bottom"/>
          </w:tcPr>
          <w:p>
            <w:pPr>
              <w:spacing w:after="0"/>
              <w:rPr>
                <w:sz w:val="3"/>
                <w:szCs w:val="3"/>
                <w:color w:val="auto"/>
              </w:rPr>
            </w:pPr>
          </w:p>
        </w:tc>
        <w:tc>
          <w:tcPr>
            <w:tcW w:w="880" w:type="dxa"/>
            <w:vAlign w:val="bottom"/>
            <w:vMerge w:val="restart"/>
          </w:tcPr>
          <w:p>
            <w:pPr>
              <w:ind w:left="240"/>
              <w:spacing w:after="0"/>
              <w:rPr>
                <w:sz w:val="20"/>
                <w:szCs w:val="20"/>
                <w:color w:val="auto"/>
              </w:rPr>
            </w:pPr>
            <w:r>
              <w:rPr>
                <w:rFonts w:ascii="Arial" w:cs="Arial" w:eastAsia="Arial" w:hAnsi="Arial"/>
                <w:sz w:val="10"/>
                <w:szCs w:val="10"/>
                <w:b w:val="1"/>
                <w:bCs w:val="1"/>
                <w:color w:val="auto"/>
              </w:rPr>
              <w:t>Amount or</w:t>
            </w:r>
          </w:p>
        </w:tc>
        <w:tc>
          <w:tcPr>
            <w:tcW w:w="70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16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700" w:type="dxa"/>
            <w:vAlign w:val="bottom"/>
          </w:tcPr>
          <w:p>
            <w:pPr>
              <w:ind w:left="40"/>
              <w:spacing w:after="0" w:line="103" w:lineRule="exact"/>
              <w:rPr>
                <w:sz w:val="20"/>
                <w:szCs w:val="20"/>
                <w:color w:val="auto"/>
              </w:rPr>
            </w:pPr>
            <w:r>
              <w:rPr>
                <w:rFonts w:ascii="Arial" w:cs="Arial" w:eastAsia="Arial" w:hAnsi="Arial"/>
                <w:sz w:val="10"/>
                <w:szCs w:val="10"/>
                <w:b w:val="1"/>
                <w:bCs w:val="1"/>
                <w:color w:val="auto"/>
              </w:rPr>
              <w:t>Derivative</w:t>
            </w:r>
          </w:p>
        </w:tc>
        <w:tc>
          <w:tcPr>
            <w:tcW w:w="8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Date</w:t>
            </w:r>
          </w:p>
        </w:tc>
        <w:tc>
          <w:tcPr>
            <w:tcW w:w="600" w:type="dxa"/>
            <w:vAlign w:val="bottom"/>
          </w:tcPr>
          <w:p>
            <w:pPr>
              <w:jc w:val="center"/>
              <w:spacing w:after="0" w:line="110" w:lineRule="exact"/>
              <w:rPr>
                <w:sz w:val="20"/>
                <w:szCs w:val="20"/>
                <w:color w:val="auto"/>
              </w:rPr>
            </w:pPr>
            <w:r>
              <w:rPr>
                <w:rFonts w:ascii="Arial" w:cs="Arial" w:eastAsia="Arial" w:hAnsi="Arial"/>
                <w:sz w:val="10"/>
                <w:szCs w:val="10"/>
                <w:b w:val="1"/>
                <w:bCs w:val="1"/>
                <w:color w:val="auto"/>
                <w:w w:val="98"/>
              </w:rPr>
              <w:t>Expiration</w:t>
            </w:r>
          </w:p>
        </w:tc>
        <w:tc>
          <w:tcPr>
            <w:tcW w:w="194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880" w:type="dxa"/>
            <w:vAlign w:val="bottom"/>
          </w:tcPr>
          <w:p>
            <w:pPr>
              <w:ind w:left="240"/>
              <w:spacing w:after="0" w:line="110" w:lineRule="exact"/>
              <w:rPr>
                <w:sz w:val="20"/>
                <w:szCs w:val="20"/>
                <w:color w:val="auto"/>
              </w:rPr>
            </w:pPr>
            <w:r>
              <w:rPr>
                <w:rFonts w:ascii="Arial" w:cs="Arial" w:eastAsia="Arial" w:hAnsi="Arial"/>
                <w:sz w:val="10"/>
                <w:szCs w:val="10"/>
                <w:b w:val="1"/>
                <w:bCs w:val="1"/>
                <w:color w:val="auto"/>
              </w:rPr>
              <w:t>Number of</w:t>
            </w:r>
          </w:p>
        </w:tc>
        <w:tc>
          <w:tcPr>
            <w:tcW w:w="70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Security</w:t>
            </w:r>
          </w:p>
        </w:tc>
        <w:tc>
          <w:tcPr>
            <w:tcW w:w="8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0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1940" w:type="dxa"/>
            <w:vAlign w:val="bottom"/>
            <w:vMerge w:val="continue"/>
          </w:tcPr>
          <w:p>
            <w:pPr>
              <w:spacing w:after="0"/>
              <w:rPr>
                <w:sz w:val="11"/>
                <w:szCs w:val="11"/>
                <w:color w:val="auto"/>
              </w:rPr>
            </w:pPr>
          </w:p>
        </w:tc>
        <w:tc>
          <w:tcPr>
            <w:tcW w:w="880" w:type="dxa"/>
            <w:vAlign w:val="bottom"/>
          </w:tcPr>
          <w:p>
            <w:pPr>
              <w:ind w:left="240"/>
              <w:spacing w:after="0"/>
              <w:rPr>
                <w:sz w:val="20"/>
                <w:szCs w:val="20"/>
                <w:color w:val="auto"/>
              </w:rPr>
            </w:pPr>
            <w:r>
              <w:rPr>
                <w:rFonts w:ascii="Arial" w:cs="Arial" w:eastAsia="Arial" w:hAnsi="Arial"/>
                <w:sz w:val="10"/>
                <w:szCs w:val="10"/>
                <w:b w:val="1"/>
                <w:bCs w:val="1"/>
                <w:color w:val="auto"/>
              </w:rPr>
              <w:t>Shares</w:t>
            </w: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6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68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Class C Common Stock</w:t>
            </w:r>
          </w:p>
        </w:tc>
        <w:tc>
          <w:tcPr>
            <w:tcW w:w="660" w:type="dxa"/>
            <w:vAlign w:val="bottom"/>
            <w:tcBorders>
              <w:bottom w:val="single" w:sz="8" w:color="2C2C2C"/>
            </w:tcBorders>
          </w:tcPr>
          <w:p>
            <w:pPr>
              <w:jc w:val="right"/>
              <w:ind w:right="236"/>
              <w:spacing w:after="0"/>
              <w:rPr>
                <w:sz w:val="20"/>
                <w:szCs w:val="20"/>
                <w:color w:val="auto"/>
              </w:rPr>
            </w:pPr>
            <w:r>
              <w:rPr>
                <w:rFonts w:ascii="Arial" w:cs="Arial" w:eastAsia="Arial" w:hAnsi="Arial"/>
                <w:sz w:val="8"/>
                <w:szCs w:val="8"/>
                <w:color w:val="008000"/>
              </w:rPr>
              <w:t>(1)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w w:val="81"/>
              </w:rPr>
              <w:t>(1)</w:t>
            </w:r>
          </w:p>
        </w:tc>
        <w:tc>
          <w:tcPr>
            <w:tcW w:w="1940" w:type="dxa"/>
            <w:vAlign w:val="bottom"/>
            <w:tcBorders>
              <w:bottom w:val="single" w:sz="8" w:color="2C2C2C"/>
            </w:tcBorders>
          </w:tcPr>
          <w:p>
            <w:pPr>
              <w:ind w:left="440"/>
              <w:spacing w:after="0"/>
              <w:rPr>
                <w:sz w:val="20"/>
                <w:szCs w:val="20"/>
                <w:color w:val="auto"/>
              </w:rPr>
            </w:pPr>
            <w:r>
              <w:rPr>
                <w:rFonts w:ascii="Arial" w:cs="Arial" w:eastAsia="Arial" w:hAnsi="Arial"/>
                <w:sz w:val="13"/>
                <w:szCs w:val="13"/>
                <w:color w:val="0000FF"/>
              </w:rPr>
              <w:t>Class A Common Stock</w:t>
            </w:r>
          </w:p>
        </w:tc>
        <w:tc>
          <w:tcPr>
            <w:tcW w:w="880" w:type="dxa"/>
            <w:vAlign w:val="bottom"/>
            <w:tcBorders>
              <w:bottom w:val="single" w:sz="8" w:color="2C2C2C"/>
            </w:tcBorders>
          </w:tcPr>
          <w:p>
            <w:pPr>
              <w:jc w:val="center"/>
              <w:ind w:left="118"/>
              <w:spacing w:after="0"/>
              <w:rPr>
                <w:sz w:val="20"/>
                <w:szCs w:val="20"/>
                <w:color w:val="auto"/>
              </w:rPr>
            </w:pPr>
            <w:r>
              <w:rPr>
                <w:rFonts w:ascii="Arial" w:cs="Arial" w:eastAsia="Arial" w:hAnsi="Arial"/>
                <w:sz w:val="13"/>
                <w:szCs w:val="13"/>
                <w:color w:val="0000FF"/>
                <w:w w:val="89"/>
              </w:rPr>
              <w:t>17,315,904</w:t>
            </w:r>
          </w:p>
        </w:tc>
        <w:tc>
          <w:tcPr>
            <w:tcW w:w="700" w:type="dxa"/>
            <w:vAlign w:val="bottom"/>
            <w:tcBorders>
              <w:bottom w:val="single" w:sz="8" w:color="2C2C2C"/>
            </w:tcBorders>
          </w:tcPr>
          <w:p>
            <w:pPr>
              <w:jc w:val="right"/>
              <w:ind w:right="235"/>
              <w:spacing w:after="0"/>
              <w:rPr>
                <w:sz w:val="20"/>
                <w:szCs w:val="20"/>
                <w:color w:val="auto"/>
              </w:rPr>
            </w:pPr>
            <w:r>
              <w:rPr>
                <w:rFonts w:ascii="Arial" w:cs="Arial" w:eastAsia="Arial" w:hAnsi="Arial"/>
                <w:sz w:val="8"/>
                <w:szCs w:val="8"/>
                <w:color w:val="008000"/>
              </w:rPr>
              <w:t>(1)</w:t>
            </w:r>
          </w:p>
        </w:tc>
        <w:tc>
          <w:tcPr>
            <w:tcW w:w="860" w:type="dxa"/>
            <w:vAlign w:val="bottom"/>
            <w:tcBorders>
              <w:bottom w:val="single" w:sz="8" w:color="2C2C2C"/>
            </w:tcBorders>
          </w:tcPr>
          <w:p>
            <w:pPr>
              <w:ind w:left="460"/>
              <w:spacing w:after="0"/>
              <w:rPr>
                <w:sz w:val="20"/>
                <w:szCs w:val="20"/>
                <w:color w:val="auto"/>
              </w:rPr>
            </w:pPr>
            <w:r>
              <w:rPr>
                <w:rFonts w:ascii="Arial" w:cs="Arial" w:eastAsia="Arial" w:hAnsi="Arial"/>
                <w:sz w:val="13"/>
                <w:szCs w:val="13"/>
                <w:color w:val="0000FF"/>
              </w:rPr>
              <w:t>I</w:t>
            </w:r>
          </w:p>
        </w:tc>
        <w:tc>
          <w:tcPr>
            <w:tcW w:w="166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See footnotes</w:t>
            </w:r>
            <w:r>
              <w:rPr>
                <w:rFonts w:ascii="Arial" w:cs="Arial" w:eastAsia="Arial" w:hAnsi="Arial"/>
                <w:sz w:val="16"/>
                <w:szCs w:val="16"/>
                <w:color w:val="008000"/>
                <w:vertAlign w:val="superscript"/>
              </w:rPr>
              <w:t>(2)(3)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68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Class C Common Stock</w:t>
            </w:r>
          </w:p>
        </w:tc>
        <w:tc>
          <w:tcPr>
            <w:tcW w:w="660" w:type="dxa"/>
            <w:vAlign w:val="bottom"/>
            <w:tcBorders>
              <w:bottom w:val="single" w:sz="8" w:color="2C2C2C"/>
            </w:tcBorders>
          </w:tcPr>
          <w:p>
            <w:pPr>
              <w:jc w:val="right"/>
              <w:ind w:right="236"/>
              <w:spacing w:after="0"/>
              <w:rPr>
                <w:sz w:val="20"/>
                <w:szCs w:val="20"/>
                <w:color w:val="auto"/>
              </w:rPr>
            </w:pPr>
            <w:r>
              <w:rPr>
                <w:rFonts w:ascii="Arial" w:cs="Arial" w:eastAsia="Arial" w:hAnsi="Arial"/>
                <w:sz w:val="8"/>
                <w:szCs w:val="8"/>
                <w:color w:val="008000"/>
              </w:rPr>
              <w:t>(1)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w w:val="81"/>
              </w:rPr>
              <w:t>(1)</w:t>
            </w:r>
          </w:p>
        </w:tc>
        <w:tc>
          <w:tcPr>
            <w:tcW w:w="1940" w:type="dxa"/>
            <w:vAlign w:val="bottom"/>
            <w:tcBorders>
              <w:bottom w:val="single" w:sz="8" w:color="2C2C2C"/>
            </w:tcBorders>
          </w:tcPr>
          <w:p>
            <w:pPr>
              <w:ind w:left="440"/>
              <w:spacing w:after="0"/>
              <w:rPr>
                <w:sz w:val="20"/>
                <w:szCs w:val="20"/>
                <w:color w:val="auto"/>
              </w:rPr>
            </w:pPr>
            <w:r>
              <w:rPr>
                <w:rFonts w:ascii="Arial" w:cs="Arial" w:eastAsia="Arial" w:hAnsi="Arial"/>
                <w:sz w:val="13"/>
                <w:szCs w:val="13"/>
                <w:color w:val="0000FF"/>
              </w:rPr>
              <w:t>Class A Common Stock</w:t>
            </w:r>
          </w:p>
        </w:tc>
        <w:tc>
          <w:tcPr>
            <w:tcW w:w="880" w:type="dxa"/>
            <w:vAlign w:val="bottom"/>
            <w:tcBorders>
              <w:bottom w:val="single" w:sz="8" w:color="2C2C2C"/>
            </w:tcBorders>
          </w:tcPr>
          <w:p>
            <w:pPr>
              <w:jc w:val="center"/>
              <w:ind w:left="118"/>
              <w:spacing w:after="0"/>
              <w:rPr>
                <w:sz w:val="20"/>
                <w:szCs w:val="20"/>
                <w:color w:val="auto"/>
              </w:rPr>
            </w:pPr>
            <w:r>
              <w:rPr>
                <w:rFonts w:ascii="Arial" w:cs="Arial" w:eastAsia="Arial" w:hAnsi="Arial"/>
                <w:sz w:val="13"/>
                <w:szCs w:val="13"/>
                <w:color w:val="0000FF"/>
                <w:w w:val="89"/>
              </w:rPr>
              <w:t>326,537</w:t>
            </w:r>
          </w:p>
        </w:tc>
        <w:tc>
          <w:tcPr>
            <w:tcW w:w="700" w:type="dxa"/>
            <w:vAlign w:val="bottom"/>
            <w:tcBorders>
              <w:bottom w:val="single" w:sz="8" w:color="2C2C2C"/>
            </w:tcBorders>
          </w:tcPr>
          <w:p>
            <w:pPr>
              <w:jc w:val="right"/>
              <w:ind w:right="235"/>
              <w:spacing w:after="0"/>
              <w:rPr>
                <w:sz w:val="20"/>
                <w:szCs w:val="20"/>
                <w:color w:val="auto"/>
              </w:rPr>
            </w:pPr>
            <w:r>
              <w:rPr>
                <w:rFonts w:ascii="Arial" w:cs="Arial" w:eastAsia="Arial" w:hAnsi="Arial"/>
                <w:sz w:val="8"/>
                <w:szCs w:val="8"/>
                <w:color w:val="008000"/>
              </w:rPr>
              <w:t>(1)</w:t>
            </w:r>
          </w:p>
        </w:tc>
        <w:tc>
          <w:tcPr>
            <w:tcW w:w="860" w:type="dxa"/>
            <w:vAlign w:val="bottom"/>
            <w:tcBorders>
              <w:bottom w:val="single" w:sz="8" w:color="2C2C2C"/>
            </w:tcBorders>
          </w:tcPr>
          <w:p>
            <w:pPr>
              <w:ind w:left="460"/>
              <w:spacing w:after="0"/>
              <w:rPr>
                <w:sz w:val="20"/>
                <w:szCs w:val="20"/>
                <w:color w:val="auto"/>
              </w:rPr>
            </w:pPr>
            <w:r>
              <w:rPr>
                <w:rFonts w:ascii="Arial" w:cs="Arial" w:eastAsia="Arial" w:hAnsi="Arial"/>
                <w:sz w:val="13"/>
                <w:szCs w:val="13"/>
                <w:color w:val="0000FF"/>
              </w:rPr>
              <w:t>I</w:t>
            </w:r>
          </w:p>
        </w:tc>
        <w:tc>
          <w:tcPr>
            <w:tcW w:w="166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See footnotes</w:t>
            </w:r>
            <w:r>
              <w:rPr>
                <w:rFonts w:ascii="Arial" w:cs="Arial" w:eastAsia="Arial" w:hAnsi="Arial"/>
                <w:sz w:val="16"/>
                <w:szCs w:val="16"/>
                <w:color w:val="008000"/>
                <w:vertAlign w:val="superscript"/>
              </w:rPr>
              <w:t>(3)(4)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68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Class C Common Stock</w:t>
            </w:r>
          </w:p>
        </w:tc>
        <w:tc>
          <w:tcPr>
            <w:tcW w:w="660" w:type="dxa"/>
            <w:vAlign w:val="bottom"/>
            <w:tcBorders>
              <w:bottom w:val="single" w:sz="8" w:color="2C2C2C"/>
            </w:tcBorders>
          </w:tcPr>
          <w:p>
            <w:pPr>
              <w:jc w:val="right"/>
              <w:ind w:right="236"/>
              <w:spacing w:after="0"/>
              <w:rPr>
                <w:sz w:val="20"/>
                <w:szCs w:val="20"/>
                <w:color w:val="auto"/>
              </w:rPr>
            </w:pPr>
            <w:r>
              <w:rPr>
                <w:rFonts w:ascii="Arial" w:cs="Arial" w:eastAsia="Arial" w:hAnsi="Arial"/>
                <w:sz w:val="8"/>
                <w:szCs w:val="8"/>
                <w:color w:val="008000"/>
              </w:rPr>
              <w:t>(1)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w w:val="81"/>
              </w:rPr>
              <w:t>(1)</w:t>
            </w:r>
          </w:p>
        </w:tc>
        <w:tc>
          <w:tcPr>
            <w:tcW w:w="1940" w:type="dxa"/>
            <w:vAlign w:val="bottom"/>
            <w:tcBorders>
              <w:bottom w:val="single" w:sz="8" w:color="2C2C2C"/>
            </w:tcBorders>
          </w:tcPr>
          <w:p>
            <w:pPr>
              <w:ind w:left="440"/>
              <w:spacing w:after="0"/>
              <w:rPr>
                <w:sz w:val="20"/>
                <w:szCs w:val="20"/>
                <w:color w:val="auto"/>
              </w:rPr>
            </w:pPr>
            <w:r>
              <w:rPr>
                <w:rFonts w:ascii="Arial" w:cs="Arial" w:eastAsia="Arial" w:hAnsi="Arial"/>
                <w:sz w:val="13"/>
                <w:szCs w:val="13"/>
                <w:color w:val="0000FF"/>
              </w:rPr>
              <w:t>Class A Common Stock</w:t>
            </w:r>
          </w:p>
        </w:tc>
        <w:tc>
          <w:tcPr>
            <w:tcW w:w="880" w:type="dxa"/>
            <w:vAlign w:val="bottom"/>
            <w:tcBorders>
              <w:bottom w:val="single" w:sz="8" w:color="2C2C2C"/>
            </w:tcBorders>
          </w:tcPr>
          <w:p>
            <w:pPr>
              <w:jc w:val="center"/>
              <w:ind w:left="118"/>
              <w:spacing w:after="0"/>
              <w:rPr>
                <w:sz w:val="20"/>
                <w:szCs w:val="20"/>
                <w:color w:val="auto"/>
              </w:rPr>
            </w:pPr>
            <w:r>
              <w:rPr>
                <w:rFonts w:ascii="Arial" w:cs="Arial" w:eastAsia="Arial" w:hAnsi="Arial"/>
                <w:sz w:val="13"/>
                <w:szCs w:val="13"/>
                <w:color w:val="0000FF"/>
                <w:w w:val="89"/>
              </w:rPr>
              <w:t>15,535,322</w:t>
            </w:r>
          </w:p>
        </w:tc>
        <w:tc>
          <w:tcPr>
            <w:tcW w:w="700" w:type="dxa"/>
            <w:vAlign w:val="bottom"/>
            <w:tcBorders>
              <w:bottom w:val="single" w:sz="8" w:color="2C2C2C"/>
            </w:tcBorders>
          </w:tcPr>
          <w:p>
            <w:pPr>
              <w:jc w:val="right"/>
              <w:ind w:right="235"/>
              <w:spacing w:after="0"/>
              <w:rPr>
                <w:sz w:val="20"/>
                <w:szCs w:val="20"/>
                <w:color w:val="auto"/>
              </w:rPr>
            </w:pPr>
            <w:r>
              <w:rPr>
                <w:rFonts w:ascii="Arial" w:cs="Arial" w:eastAsia="Arial" w:hAnsi="Arial"/>
                <w:sz w:val="8"/>
                <w:szCs w:val="8"/>
                <w:color w:val="008000"/>
              </w:rPr>
              <w:t>(1)</w:t>
            </w:r>
          </w:p>
        </w:tc>
        <w:tc>
          <w:tcPr>
            <w:tcW w:w="860" w:type="dxa"/>
            <w:vAlign w:val="bottom"/>
            <w:tcBorders>
              <w:bottom w:val="single" w:sz="8" w:color="2C2C2C"/>
            </w:tcBorders>
          </w:tcPr>
          <w:p>
            <w:pPr>
              <w:ind w:left="460"/>
              <w:spacing w:after="0"/>
              <w:rPr>
                <w:sz w:val="20"/>
                <w:szCs w:val="20"/>
                <w:color w:val="auto"/>
              </w:rPr>
            </w:pPr>
            <w:r>
              <w:rPr>
                <w:rFonts w:ascii="Arial" w:cs="Arial" w:eastAsia="Arial" w:hAnsi="Arial"/>
                <w:sz w:val="13"/>
                <w:szCs w:val="13"/>
                <w:color w:val="0000FF"/>
              </w:rPr>
              <w:t>I</w:t>
            </w:r>
          </w:p>
        </w:tc>
        <w:tc>
          <w:tcPr>
            <w:tcW w:w="166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See footnotes</w:t>
            </w:r>
            <w:r>
              <w:rPr>
                <w:rFonts w:ascii="Arial" w:cs="Arial" w:eastAsia="Arial" w:hAnsi="Arial"/>
                <w:sz w:val="16"/>
                <w:szCs w:val="16"/>
                <w:color w:val="008000"/>
                <w:vertAlign w:val="superscript"/>
              </w:rPr>
              <w:t>(3)(5)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68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Units of ZoomInfo Holdings LLC</w:t>
            </w:r>
          </w:p>
        </w:tc>
        <w:tc>
          <w:tcPr>
            <w:tcW w:w="660" w:type="dxa"/>
            <w:vAlign w:val="bottom"/>
            <w:tcBorders>
              <w:bottom w:val="single" w:sz="8" w:color="2C2C2C"/>
            </w:tcBorders>
          </w:tcPr>
          <w:p>
            <w:pPr>
              <w:jc w:val="right"/>
              <w:ind w:right="236"/>
              <w:spacing w:after="0"/>
              <w:rPr>
                <w:sz w:val="20"/>
                <w:szCs w:val="20"/>
                <w:color w:val="auto"/>
              </w:rPr>
            </w:pPr>
            <w:r>
              <w:rPr>
                <w:rFonts w:ascii="Arial" w:cs="Arial" w:eastAsia="Arial" w:hAnsi="Arial"/>
                <w:sz w:val="8"/>
                <w:szCs w:val="8"/>
                <w:color w:val="008000"/>
              </w:rPr>
              <w:t>(6)</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w w:val="81"/>
              </w:rPr>
              <w:t>(6)</w:t>
            </w:r>
          </w:p>
        </w:tc>
        <w:tc>
          <w:tcPr>
            <w:tcW w:w="1940" w:type="dxa"/>
            <w:vAlign w:val="bottom"/>
            <w:tcBorders>
              <w:bottom w:val="single" w:sz="8" w:color="2C2C2C"/>
            </w:tcBorders>
          </w:tcPr>
          <w:p>
            <w:pPr>
              <w:ind w:left="440"/>
              <w:spacing w:after="0"/>
              <w:rPr>
                <w:sz w:val="20"/>
                <w:szCs w:val="20"/>
                <w:color w:val="auto"/>
              </w:rPr>
            </w:pPr>
            <w:r>
              <w:rPr>
                <w:rFonts w:ascii="Arial" w:cs="Arial" w:eastAsia="Arial" w:hAnsi="Arial"/>
                <w:sz w:val="13"/>
                <w:szCs w:val="13"/>
                <w:color w:val="0000FF"/>
              </w:rPr>
              <w:t>Class A Common Stock</w:t>
            </w:r>
          </w:p>
        </w:tc>
        <w:tc>
          <w:tcPr>
            <w:tcW w:w="880" w:type="dxa"/>
            <w:vAlign w:val="bottom"/>
            <w:tcBorders>
              <w:bottom w:val="single" w:sz="8" w:color="2C2C2C"/>
            </w:tcBorders>
          </w:tcPr>
          <w:p>
            <w:pPr>
              <w:jc w:val="center"/>
              <w:ind w:left="118"/>
              <w:spacing w:after="0"/>
              <w:rPr>
                <w:sz w:val="20"/>
                <w:szCs w:val="20"/>
                <w:color w:val="auto"/>
              </w:rPr>
            </w:pPr>
            <w:r>
              <w:rPr>
                <w:rFonts w:ascii="Arial" w:cs="Arial" w:eastAsia="Arial" w:hAnsi="Arial"/>
                <w:sz w:val="13"/>
                <w:szCs w:val="13"/>
                <w:color w:val="0000FF"/>
                <w:w w:val="89"/>
              </w:rPr>
              <w:t>66,197,636</w:t>
            </w:r>
          </w:p>
        </w:tc>
        <w:tc>
          <w:tcPr>
            <w:tcW w:w="700" w:type="dxa"/>
            <w:vAlign w:val="bottom"/>
            <w:tcBorders>
              <w:bottom w:val="single" w:sz="8" w:color="2C2C2C"/>
            </w:tcBorders>
          </w:tcPr>
          <w:p>
            <w:pPr>
              <w:jc w:val="right"/>
              <w:ind w:right="235"/>
              <w:spacing w:after="0"/>
              <w:rPr>
                <w:sz w:val="20"/>
                <w:szCs w:val="20"/>
                <w:color w:val="auto"/>
              </w:rPr>
            </w:pPr>
            <w:r>
              <w:rPr>
                <w:rFonts w:ascii="Arial" w:cs="Arial" w:eastAsia="Arial" w:hAnsi="Arial"/>
                <w:sz w:val="8"/>
                <w:szCs w:val="8"/>
                <w:color w:val="008000"/>
              </w:rPr>
              <w:t>(6)</w:t>
            </w:r>
          </w:p>
        </w:tc>
        <w:tc>
          <w:tcPr>
            <w:tcW w:w="860" w:type="dxa"/>
            <w:vAlign w:val="bottom"/>
            <w:tcBorders>
              <w:bottom w:val="single" w:sz="8" w:color="2C2C2C"/>
            </w:tcBorders>
          </w:tcPr>
          <w:p>
            <w:pPr>
              <w:ind w:left="460"/>
              <w:spacing w:after="0"/>
              <w:rPr>
                <w:sz w:val="20"/>
                <w:szCs w:val="20"/>
                <w:color w:val="auto"/>
              </w:rPr>
            </w:pPr>
            <w:r>
              <w:rPr>
                <w:rFonts w:ascii="Arial" w:cs="Arial" w:eastAsia="Arial" w:hAnsi="Arial"/>
                <w:sz w:val="13"/>
                <w:szCs w:val="13"/>
                <w:color w:val="0000FF"/>
              </w:rPr>
              <w:t>I</w:t>
            </w:r>
          </w:p>
        </w:tc>
        <w:tc>
          <w:tcPr>
            <w:tcW w:w="166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See footnotes</w:t>
            </w:r>
            <w:r>
              <w:rPr>
                <w:rFonts w:ascii="Arial" w:cs="Arial" w:eastAsia="Arial" w:hAnsi="Arial"/>
                <w:sz w:val="16"/>
                <w:szCs w:val="16"/>
                <w:color w:val="008000"/>
                <w:vertAlign w:val="superscript"/>
              </w:rPr>
              <w:t>(3)(7)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68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Units of ZoomInfo Holdings LLC</w:t>
            </w:r>
          </w:p>
        </w:tc>
        <w:tc>
          <w:tcPr>
            <w:tcW w:w="660" w:type="dxa"/>
            <w:vAlign w:val="bottom"/>
            <w:tcBorders>
              <w:bottom w:val="single" w:sz="8" w:color="2C2C2C"/>
            </w:tcBorders>
          </w:tcPr>
          <w:p>
            <w:pPr>
              <w:jc w:val="right"/>
              <w:ind w:right="236"/>
              <w:spacing w:after="0"/>
              <w:rPr>
                <w:sz w:val="20"/>
                <w:szCs w:val="20"/>
                <w:color w:val="auto"/>
              </w:rPr>
            </w:pPr>
            <w:r>
              <w:rPr>
                <w:rFonts w:ascii="Arial" w:cs="Arial" w:eastAsia="Arial" w:hAnsi="Arial"/>
                <w:sz w:val="8"/>
                <w:szCs w:val="8"/>
                <w:color w:val="008000"/>
              </w:rPr>
              <w:t>(6)</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w w:val="81"/>
              </w:rPr>
              <w:t>(6)</w:t>
            </w:r>
          </w:p>
        </w:tc>
        <w:tc>
          <w:tcPr>
            <w:tcW w:w="1940" w:type="dxa"/>
            <w:vAlign w:val="bottom"/>
            <w:tcBorders>
              <w:bottom w:val="single" w:sz="8" w:color="2C2C2C"/>
            </w:tcBorders>
          </w:tcPr>
          <w:p>
            <w:pPr>
              <w:ind w:left="440"/>
              <w:spacing w:after="0"/>
              <w:rPr>
                <w:sz w:val="20"/>
                <w:szCs w:val="20"/>
                <w:color w:val="auto"/>
              </w:rPr>
            </w:pPr>
            <w:r>
              <w:rPr>
                <w:rFonts w:ascii="Arial" w:cs="Arial" w:eastAsia="Arial" w:hAnsi="Arial"/>
                <w:sz w:val="13"/>
                <w:szCs w:val="13"/>
                <w:color w:val="0000FF"/>
              </w:rPr>
              <w:t>Class A Common Stock</w:t>
            </w:r>
          </w:p>
        </w:tc>
        <w:tc>
          <w:tcPr>
            <w:tcW w:w="880" w:type="dxa"/>
            <w:vAlign w:val="bottom"/>
            <w:tcBorders>
              <w:bottom w:val="single" w:sz="8" w:color="2C2C2C"/>
            </w:tcBorders>
          </w:tcPr>
          <w:p>
            <w:pPr>
              <w:jc w:val="center"/>
              <w:ind w:left="138"/>
              <w:spacing w:after="0"/>
              <w:rPr>
                <w:sz w:val="20"/>
                <w:szCs w:val="20"/>
                <w:color w:val="auto"/>
              </w:rPr>
            </w:pPr>
            <w:r>
              <w:rPr>
                <w:rFonts w:ascii="Arial" w:cs="Arial" w:eastAsia="Arial" w:hAnsi="Arial"/>
                <w:sz w:val="13"/>
                <w:szCs w:val="13"/>
                <w:color w:val="0000FF"/>
                <w:w w:val="89"/>
              </w:rPr>
              <w:t>1,708,916</w:t>
            </w:r>
          </w:p>
        </w:tc>
        <w:tc>
          <w:tcPr>
            <w:tcW w:w="700" w:type="dxa"/>
            <w:vAlign w:val="bottom"/>
            <w:tcBorders>
              <w:bottom w:val="single" w:sz="8" w:color="2C2C2C"/>
            </w:tcBorders>
          </w:tcPr>
          <w:p>
            <w:pPr>
              <w:jc w:val="right"/>
              <w:ind w:right="235"/>
              <w:spacing w:after="0"/>
              <w:rPr>
                <w:sz w:val="20"/>
                <w:szCs w:val="20"/>
                <w:color w:val="auto"/>
              </w:rPr>
            </w:pPr>
            <w:r>
              <w:rPr>
                <w:rFonts w:ascii="Arial" w:cs="Arial" w:eastAsia="Arial" w:hAnsi="Arial"/>
                <w:sz w:val="8"/>
                <w:szCs w:val="8"/>
                <w:color w:val="008000"/>
              </w:rPr>
              <w:t>(6)</w:t>
            </w:r>
          </w:p>
        </w:tc>
        <w:tc>
          <w:tcPr>
            <w:tcW w:w="860" w:type="dxa"/>
            <w:vAlign w:val="bottom"/>
            <w:tcBorders>
              <w:bottom w:val="single" w:sz="8" w:color="2C2C2C"/>
            </w:tcBorders>
          </w:tcPr>
          <w:p>
            <w:pPr>
              <w:ind w:left="460"/>
              <w:spacing w:after="0"/>
              <w:rPr>
                <w:sz w:val="20"/>
                <w:szCs w:val="20"/>
                <w:color w:val="auto"/>
              </w:rPr>
            </w:pPr>
            <w:r>
              <w:rPr>
                <w:rFonts w:ascii="Arial" w:cs="Arial" w:eastAsia="Arial" w:hAnsi="Arial"/>
                <w:sz w:val="13"/>
                <w:szCs w:val="13"/>
                <w:color w:val="0000FF"/>
              </w:rPr>
              <w:t>I</w:t>
            </w:r>
          </w:p>
        </w:tc>
        <w:tc>
          <w:tcPr>
            <w:tcW w:w="166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See footnotes</w:t>
            </w:r>
            <w:r>
              <w:rPr>
                <w:rFonts w:ascii="Arial" w:cs="Arial" w:eastAsia="Arial" w:hAnsi="Arial"/>
                <w:sz w:val="16"/>
                <w:szCs w:val="16"/>
                <w:color w:val="008000"/>
                <w:vertAlign w:val="superscript"/>
              </w:rPr>
              <w:t>(3)(8)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68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Units of ZoomInfo Holdings LLC</w:t>
            </w:r>
          </w:p>
        </w:tc>
        <w:tc>
          <w:tcPr>
            <w:tcW w:w="660" w:type="dxa"/>
            <w:vAlign w:val="bottom"/>
            <w:tcBorders>
              <w:bottom w:val="single" w:sz="8" w:color="2C2C2C"/>
            </w:tcBorders>
          </w:tcPr>
          <w:p>
            <w:pPr>
              <w:jc w:val="right"/>
              <w:ind w:right="236"/>
              <w:spacing w:after="0"/>
              <w:rPr>
                <w:sz w:val="20"/>
                <w:szCs w:val="20"/>
                <w:color w:val="auto"/>
              </w:rPr>
            </w:pPr>
            <w:r>
              <w:rPr>
                <w:rFonts w:ascii="Arial" w:cs="Arial" w:eastAsia="Arial" w:hAnsi="Arial"/>
                <w:sz w:val="8"/>
                <w:szCs w:val="8"/>
                <w:color w:val="008000"/>
              </w:rPr>
              <w:t>(6)</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w w:val="81"/>
              </w:rPr>
              <w:t>(6)</w:t>
            </w:r>
          </w:p>
        </w:tc>
        <w:tc>
          <w:tcPr>
            <w:tcW w:w="1940" w:type="dxa"/>
            <w:vAlign w:val="bottom"/>
            <w:tcBorders>
              <w:bottom w:val="single" w:sz="8" w:color="2C2C2C"/>
            </w:tcBorders>
          </w:tcPr>
          <w:p>
            <w:pPr>
              <w:ind w:left="440"/>
              <w:spacing w:after="0"/>
              <w:rPr>
                <w:sz w:val="20"/>
                <w:szCs w:val="20"/>
                <w:color w:val="auto"/>
              </w:rPr>
            </w:pPr>
            <w:r>
              <w:rPr>
                <w:rFonts w:ascii="Arial" w:cs="Arial" w:eastAsia="Arial" w:hAnsi="Arial"/>
                <w:sz w:val="13"/>
                <w:szCs w:val="13"/>
                <w:color w:val="0000FF"/>
              </w:rPr>
              <w:t>Class A Common Stock</w:t>
            </w:r>
          </w:p>
        </w:tc>
        <w:tc>
          <w:tcPr>
            <w:tcW w:w="880" w:type="dxa"/>
            <w:vAlign w:val="bottom"/>
            <w:tcBorders>
              <w:bottom w:val="single" w:sz="8" w:color="2C2C2C"/>
            </w:tcBorders>
          </w:tcPr>
          <w:p>
            <w:pPr>
              <w:jc w:val="center"/>
              <w:ind w:left="118"/>
              <w:spacing w:after="0"/>
              <w:rPr>
                <w:sz w:val="20"/>
                <w:szCs w:val="20"/>
                <w:color w:val="auto"/>
              </w:rPr>
            </w:pPr>
            <w:r>
              <w:rPr>
                <w:rFonts w:ascii="Arial" w:cs="Arial" w:eastAsia="Arial" w:hAnsi="Arial"/>
                <w:sz w:val="13"/>
                <w:szCs w:val="13"/>
                <w:color w:val="0000FF"/>
                <w:w w:val="89"/>
              </w:rPr>
              <w:t>11,432,270</w:t>
            </w:r>
          </w:p>
        </w:tc>
        <w:tc>
          <w:tcPr>
            <w:tcW w:w="700" w:type="dxa"/>
            <w:vAlign w:val="bottom"/>
            <w:tcBorders>
              <w:bottom w:val="single" w:sz="8" w:color="2C2C2C"/>
            </w:tcBorders>
          </w:tcPr>
          <w:p>
            <w:pPr>
              <w:jc w:val="right"/>
              <w:ind w:right="235"/>
              <w:spacing w:after="0"/>
              <w:rPr>
                <w:sz w:val="20"/>
                <w:szCs w:val="20"/>
                <w:color w:val="auto"/>
              </w:rPr>
            </w:pPr>
            <w:r>
              <w:rPr>
                <w:rFonts w:ascii="Arial" w:cs="Arial" w:eastAsia="Arial" w:hAnsi="Arial"/>
                <w:sz w:val="8"/>
                <w:szCs w:val="8"/>
                <w:color w:val="008000"/>
              </w:rPr>
              <w:t>(6)</w:t>
            </w:r>
          </w:p>
        </w:tc>
        <w:tc>
          <w:tcPr>
            <w:tcW w:w="860" w:type="dxa"/>
            <w:vAlign w:val="bottom"/>
            <w:tcBorders>
              <w:bottom w:val="single" w:sz="8" w:color="2C2C2C"/>
            </w:tcBorders>
          </w:tcPr>
          <w:p>
            <w:pPr>
              <w:ind w:left="460"/>
              <w:spacing w:after="0"/>
              <w:rPr>
                <w:sz w:val="20"/>
                <w:szCs w:val="20"/>
                <w:color w:val="auto"/>
              </w:rPr>
            </w:pPr>
            <w:r>
              <w:rPr>
                <w:rFonts w:ascii="Arial" w:cs="Arial" w:eastAsia="Arial" w:hAnsi="Arial"/>
                <w:sz w:val="13"/>
                <w:szCs w:val="13"/>
                <w:color w:val="0000FF"/>
              </w:rPr>
              <w:t>I</w:t>
            </w:r>
          </w:p>
        </w:tc>
        <w:tc>
          <w:tcPr>
            <w:tcW w:w="166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See footnotes</w:t>
            </w:r>
            <w:r>
              <w:rPr>
                <w:rFonts w:ascii="Arial" w:cs="Arial" w:eastAsia="Arial" w:hAnsi="Arial"/>
                <w:sz w:val="16"/>
                <w:szCs w:val="16"/>
                <w:color w:val="008000"/>
                <w:vertAlign w:val="superscript"/>
              </w:rPr>
              <w:t>(3)(9)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68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Units of ZoomInfo Holdings LLC</w:t>
            </w:r>
          </w:p>
        </w:tc>
        <w:tc>
          <w:tcPr>
            <w:tcW w:w="660" w:type="dxa"/>
            <w:vAlign w:val="bottom"/>
            <w:tcBorders>
              <w:bottom w:val="single" w:sz="8" w:color="2C2C2C"/>
            </w:tcBorders>
          </w:tcPr>
          <w:p>
            <w:pPr>
              <w:jc w:val="right"/>
              <w:ind w:right="236"/>
              <w:spacing w:after="0"/>
              <w:rPr>
                <w:sz w:val="20"/>
                <w:szCs w:val="20"/>
                <w:color w:val="auto"/>
              </w:rPr>
            </w:pPr>
            <w:r>
              <w:rPr>
                <w:rFonts w:ascii="Arial" w:cs="Arial" w:eastAsia="Arial" w:hAnsi="Arial"/>
                <w:sz w:val="8"/>
                <w:szCs w:val="8"/>
                <w:color w:val="008000"/>
              </w:rPr>
              <w:t>(6)</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w w:val="81"/>
              </w:rPr>
              <w:t>(6)</w:t>
            </w:r>
          </w:p>
        </w:tc>
        <w:tc>
          <w:tcPr>
            <w:tcW w:w="1940" w:type="dxa"/>
            <w:vAlign w:val="bottom"/>
            <w:tcBorders>
              <w:bottom w:val="single" w:sz="8" w:color="2C2C2C"/>
            </w:tcBorders>
          </w:tcPr>
          <w:p>
            <w:pPr>
              <w:ind w:left="440"/>
              <w:spacing w:after="0"/>
              <w:rPr>
                <w:sz w:val="20"/>
                <w:szCs w:val="20"/>
                <w:color w:val="auto"/>
              </w:rPr>
            </w:pPr>
            <w:r>
              <w:rPr>
                <w:rFonts w:ascii="Arial" w:cs="Arial" w:eastAsia="Arial" w:hAnsi="Arial"/>
                <w:sz w:val="13"/>
                <w:szCs w:val="13"/>
                <w:color w:val="0000FF"/>
              </w:rPr>
              <w:t>Class A Common Stock</w:t>
            </w:r>
          </w:p>
        </w:tc>
        <w:tc>
          <w:tcPr>
            <w:tcW w:w="880" w:type="dxa"/>
            <w:vAlign w:val="bottom"/>
            <w:tcBorders>
              <w:bottom w:val="single" w:sz="8" w:color="2C2C2C"/>
            </w:tcBorders>
          </w:tcPr>
          <w:p>
            <w:pPr>
              <w:jc w:val="center"/>
              <w:ind w:left="138"/>
              <w:spacing w:after="0"/>
              <w:rPr>
                <w:sz w:val="20"/>
                <w:szCs w:val="20"/>
                <w:color w:val="auto"/>
              </w:rPr>
            </w:pPr>
            <w:r>
              <w:rPr>
                <w:rFonts w:ascii="Arial" w:cs="Arial" w:eastAsia="Arial" w:hAnsi="Arial"/>
                <w:sz w:val="13"/>
                <w:szCs w:val="13"/>
                <w:color w:val="0000FF"/>
                <w:w w:val="89"/>
              </w:rPr>
              <w:t>2,458,550</w:t>
            </w:r>
          </w:p>
        </w:tc>
        <w:tc>
          <w:tcPr>
            <w:tcW w:w="700" w:type="dxa"/>
            <w:vAlign w:val="bottom"/>
            <w:tcBorders>
              <w:bottom w:val="single" w:sz="8" w:color="2C2C2C"/>
            </w:tcBorders>
          </w:tcPr>
          <w:p>
            <w:pPr>
              <w:jc w:val="right"/>
              <w:ind w:right="235"/>
              <w:spacing w:after="0"/>
              <w:rPr>
                <w:sz w:val="20"/>
                <w:szCs w:val="20"/>
                <w:color w:val="auto"/>
              </w:rPr>
            </w:pPr>
            <w:r>
              <w:rPr>
                <w:rFonts w:ascii="Arial" w:cs="Arial" w:eastAsia="Arial" w:hAnsi="Arial"/>
                <w:sz w:val="8"/>
                <w:szCs w:val="8"/>
                <w:color w:val="008000"/>
              </w:rPr>
              <w:t>(6)</w:t>
            </w:r>
          </w:p>
        </w:tc>
        <w:tc>
          <w:tcPr>
            <w:tcW w:w="860" w:type="dxa"/>
            <w:vAlign w:val="bottom"/>
            <w:tcBorders>
              <w:bottom w:val="single" w:sz="8" w:color="2C2C2C"/>
            </w:tcBorders>
          </w:tcPr>
          <w:p>
            <w:pPr>
              <w:ind w:left="460"/>
              <w:spacing w:after="0"/>
              <w:rPr>
                <w:sz w:val="20"/>
                <w:szCs w:val="20"/>
                <w:color w:val="auto"/>
              </w:rPr>
            </w:pPr>
            <w:r>
              <w:rPr>
                <w:rFonts w:ascii="Arial" w:cs="Arial" w:eastAsia="Arial" w:hAnsi="Arial"/>
                <w:sz w:val="13"/>
                <w:szCs w:val="13"/>
                <w:color w:val="0000FF"/>
              </w:rPr>
              <w:t>I</w:t>
            </w:r>
          </w:p>
        </w:tc>
        <w:tc>
          <w:tcPr>
            <w:tcW w:w="166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See footnotes</w:t>
            </w:r>
            <w:r>
              <w:rPr>
                <w:rFonts w:ascii="Arial" w:cs="Arial" w:eastAsia="Arial" w:hAnsi="Arial"/>
                <w:sz w:val="16"/>
                <w:szCs w:val="16"/>
                <w:color w:val="008000"/>
                <w:vertAlign w:val="superscript"/>
              </w:rPr>
              <w:t>(3)(10)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68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Units of ZoomInfo Holdings LLC</w:t>
            </w:r>
          </w:p>
        </w:tc>
        <w:tc>
          <w:tcPr>
            <w:tcW w:w="660" w:type="dxa"/>
            <w:vAlign w:val="bottom"/>
            <w:tcBorders>
              <w:bottom w:val="single" w:sz="8" w:color="2C2C2C"/>
            </w:tcBorders>
          </w:tcPr>
          <w:p>
            <w:pPr>
              <w:jc w:val="right"/>
              <w:ind w:right="236"/>
              <w:spacing w:after="0"/>
              <w:rPr>
                <w:sz w:val="20"/>
                <w:szCs w:val="20"/>
                <w:color w:val="auto"/>
              </w:rPr>
            </w:pPr>
            <w:r>
              <w:rPr>
                <w:rFonts w:ascii="Arial" w:cs="Arial" w:eastAsia="Arial" w:hAnsi="Arial"/>
                <w:sz w:val="8"/>
                <w:szCs w:val="8"/>
                <w:color w:val="008000"/>
              </w:rPr>
              <w:t>(6)</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w w:val="81"/>
              </w:rPr>
              <w:t>(6)</w:t>
            </w:r>
          </w:p>
        </w:tc>
        <w:tc>
          <w:tcPr>
            <w:tcW w:w="1940" w:type="dxa"/>
            <w:vAlign w:val="bottom"/>
            <w:tcBorders>
              <w:bottom w:val="single" w:sz="8" w:color="2C2C2C"/>
            </w:tcBorders>
          </w:tcPr>
          <w:p>
            <w:pPr>
              <w:ind w:left="440"/>
              <w:spacing w:after="0"/>
              <w:rPr>
                <w:sz w:val="20"/>
                <w:szCs w:val="20"/>
                <w:color w:val="auto"/>
              </w:rPr>
            </w:pPr>
            <w:r>
              <w:rPr>
                <w:rFonts w:ascii="Arial" w:cs="Arial" w:eastAsia="Arial" w:hAnsi="Arial"/>
                <w:sz w:val="13"/>
                <w:szCs w:val="13"/>
                <w:color w:val="0000FF"/>
              </w:rPr>
              <w:t>Class A Common Stock</w:t>
            </w:r>
          </w:p>
        </w:tc>
        <w:tc>
          <w:tcPr>
            <w:tcW w:w="880" w:type="dxa"/>
            <w:vAlign w:val="bottom"/>
            <w:tcBorders>
              <w:bottom w:val="single" w:sz="8" w:color="2C2C2C"/>
            </w:tcBorders>
          </w:tcPr>
          <w:p>
            <w:pPr>
              <w:jc w:val="center"/>
              <w:ind w:left="138"/>
              <w:spacing w:after="0"/>
              <w:rPr>
                <w:sz w:val="20"/>
                <w:szCs w:val="20"/>
                <w:color w:val="auto"/>
              </w:rPr>
            </w:pPr>
            <w:r>
              <w:rPr>
                <w:rFonts w:ascii="Arial" w:cs="Arial" w:eastAsia="Arial" w:hAnsi="Arial"/>
                <w:sz w:val="13"/>
                <w:szCs w:val="13"/>
                <w:color w:val="0000FF"/>
                <w:w w:val="89"/>
              </w:rPr>
              <w:t>3,883,830</w:t>
            </w:r>
          </w:p>
        </w:tc>
        <w:tc>
          <w:tcPr>
            <w:tcW w:w="700" w:type="dxa"/>
            <w:vAlign w:val="bottom"/>
            <w:tcBorders>
              <w:bottom w:val="single" w:sz="8" w:color="2C2C2C"/>
            </w:tcBorders>
          </w:tcPr>
          <w:p>
            <w:pPr>
              <w:jc w:val="right"/>
              <w:ind w:right="235"/>
              <w:spacing w:after="0"/>
              <w:rPr>
                <w:sz w:val="20"/>
                <w:szCs w:val="20"/>
                <w:color w:val="auto"/>
              </w:rPr>
            </w:pPr>
            <w:r>
              <w:rPr>
                <w:rFonts w:ascii="Arial" w:cs="Arial" w:eastAsia="Arial" w:hAnsi="Arial"/>
                <w:sz w:val="8"/>
                <w:szCs w:val="8"/>
                <w:color w:val="008000"/>
              </w:rPr>
              <w:t>(6)</w:t>
            </w:r>
          </w:p>
        </w:tc>
        <w:tc>
          <w:tcPr>
            <w:tcW w:w="860" w:type="dxa"/>
            <w:vAlign w:val="bottom"/>
            <w:tcBorders>
              <w:bottom w:val="single" w:sz="8" w:color="2C2C2C"/>
            </w:tcBorders>
          </w:tcPr>
          <w:p>
            <w:pPr>
              <w:ind w:left="460"/>
              <w:spacing w:after="0"/>
              <w:rPr>
                <w:sz w:val="20"/>
                <w:szCs w:val="20"/>
                <w:color w:val="auto"/>
              </w:rPr>
            </w:pPr>
            <w:r>
              <w:rPr>
                <w:rFonts w:ascii="Arial" w:cs="Arial" w:eastAsia="Arial" w:hAnsi="Arial"/>
                <w:sz w:val="13"/>
                <w:szCs w:val="13"/>
                <w:color w:val="0000FF"/>
              </w:rPr>
              <w:t>I</w:t>
            </w:r>
          </w:p>
        </w:tc>
        <w:tc>
          <w:tcPr>
            <w:tcW w:w="166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See footnotes</w:t>
            </w:r>
            <w:r>
              <w:rPr>
                <w:rFonts w:ascii="Arial" w:cs="Arial" w:eastAsia="Arial" w:hAnsi="Arial"/>
                <w:sz w:val="16"/>
                <w:szCs w:val="16"/>
                <w:color w:val="008000"/>
                <w:vertAlign w:val="superscript"/>
              </w:rPr>
              <w:t>(3)(11)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68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Units of ZoomInfo Holdings LLC</w:t>
            </w:r>
          </w:p>
        </w:tc>
        <w:tc>
          <w:tcPr>
            <w:tcW w:w="660" w:type="dxa"/>
            <w:vAlign w:val="bottom"/>
            <w:tcBorders>
              <w:bottom w:val="single" w:sz="8" w:color="2C2C2C"/>
            </w:tcBorders>
          </w:tcPr>
          <w:p>
            <w:pPr>
              <w:jc w:val="right"/>
              <w:ind w:right="236"/>
              <w:spacing w:after="0"/>
              <w:rPr>
                <w:sz w:val="20"/>
                <w:szCs w:val="20"/>
                <w:color w:val="auto"/>
              </w:rPr>
            </w:pPr>
            <w:r>
              <w:rPr>
                <w:rFonts w:ascii="Arial" w:cs="Arial" w:eastAsia="Arial" w:hAnsi="Arial"/>
                <w:sz w:val="8"/>
                <w:szCs w:val="8"/>
                <w:color w:val="008000"/>
              </w:rPr>
              <w:t>(6)</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w w:val="81"/>
              </w:rPr>
              <w:t>(6)</w:t>
            </w:r>
          </w:p>
        </w:tc>
        <w:tc>
          <w:tcPr>
            <w:tcW w:w="1940" w:type="dxa"/>
            <w:vAlign w:val="bottom"/>
            <w:tcBorders>
              <w:bottom w:val="single" w:sz="8" w:color="2C2C2C"/>
            </w:tcBorders>
          </w:tcPr>
          <w:p>
            <w:pPr>
              <w:ind w:left="440"/>
              <w:spacing w:after="0"/>
              <w:rPr>
                <w:sz w:val="20"/>
                <w:szCs w:val="20"/>
                <w:color w:val="auto"/>
              </w:rPr>
            </w:pPr>
            <w:r>
              <w:rPr>
                <w:rFonts w:ascii="Arial" w:cs="Arial" w:eastAsia="Arial" w:hAnsi="Arial"/>
                <w:sz w:val="13"/>
                <w:szCs w:val="13"/>
                <w:color w:val="0000FF"/>
              </w:rPr>
              <w:t>Class A Common Stock</w:t>
            </w:r>
          </w:p>
        </w:tc>
        <w:tc>
          <w:tcPr>
            <w:tcW w:w="880" w:type="dxa"/>
            <w:vAlign w:val="bottom"/>
            <w:tcBorders>
              <w:bottom w:val="single" w:sz="8" w:color="2C2C2C"/>
            </w:tcBorders>
          </w:tcPr>
          <w:p>
            <w:pPr>
              <w:jc w:val="center"/>
              <w:ind w:left="138"/>
              <w:spacing w:after="0"/>
              <w:rPr>
                <w:sz w:val="20"/>
                <w:szCs w:val="20"/>
                <w:color w:val="auto"/>
              </w:rPr>
            </w:pPr>
            <w:r>
              <w:rPr>
                <w:rFonts w:ascii="Arial" w:cs="Arial" w:eastAsia="Arial" w:hAnsi="Arial"/>
                <w:sz w:val="13"/>
                <w:szCs w:val="13"/>
                <w:color w:val="0000FF"/>
                <w:w w:val="90"/>
              </w:rPr>
              <w:t>81,634</w:t>
            </w:r>
          </w:p>
        </w:tc>
        <w:tc>
          <w:tcPr>
            <w:tcW w:w="700" w:type="dxa"/>
            <w:vAlign w:val="bottom"/>
            <w:tcBorders>
              <w:bottom w:val="single" w:sz="8" w:color="2C2C2C"/>
            </w:tcBorders>
          </w:tcPr>
          <w:p>
            <w:pPr>
              <w:jc w:val="right"/>
              <w:ind w:right="235"/>
              <w:spacing w:after="0"/>
              <w:rPr>
                <w:sz w:val="20"/>
                <w:szCs w:val="20"/>
                <w:color w:val="auto"/>
              </w:rPr>
            </w:pPr>
            <w:r>
              <w:rPr>
                <w:rFonts w:ascii="Arial" w:cs="Arial" w:eastAsia="Arial" w:hAnsi="Arial"/>
                <w:sz w:val="8"/>
                <w:szCs w:val="8"/>
                <w:color w:val="008000"/>
              </w:rPr>
              <w:t>(6)</w:t>
            </w:r>
          </w:p>
        </w:tc>
        <w:tc>
          <w:tcPr>
            <w:tcW w:w="860" w:type="dxa"/>
            <w:vAlign w:val="bottom"/>
            <w:tcBorders>
              <w:bottom w:val="single" w:sz="8" w:color="2C2C2C"/>
            </w:tcBorders>
          </w:tcPr>
          <w:p>
            <w:pPr>
              <w:ind w:left="460"/>
              <w:spacing w:after="0"/>
              <w:rPr>
                <w:sz w:val="20"/>
                <w:szCs w:val="20"/>
                <w:color w:val="auto"/>
              </w:rPr>
            </w:pPr>
            <w:r>
              <w:rPr>
                <w:rFonts w:ascii="Arial" w:cs="Arial" w:eastAsia="Arial" w:hAnsi="Arial"/>
                <w:sz w:val="13"/>
                <w:szCs w:val="13"/>
                <w:color w:val="0000FF"/>
              </w:rPr>
              <w:t>I</w:t>
            </w:r>
          </w:p>
        </w:tc>
        <w:tc>
          <w:tcPr>
            <w:tcW w:w="166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See footnotes</w:t>
            </w:r>
            <w:r>
              <w:rPr>
                <w:rFonts w:ascii="Arial" w:cs="Arial" w:eastAsia="Arial" w:hAnsi="Arial"/>
                <w:sz w:val="16"/>
                <w:szCs w:val="16"/>
                <w:color w:val="008000"/>
                <w:vertAlign w:val="superscript"/>
              </w:rPr>
              <w:t>(3)(12)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Borders>
              <w:bottom w:val="single" w:sz="8" w:color="2C2C2C"/>
            </w:tcBorders>
          </w:tcPr>
          <w:p>
            <w:pPr>
              <w:spacing w:after="0"/>
              <w:rPr>
                <w:sz w:val="20"/>
                <w:szCs w:val="20"/>
                <w:color w:val="auto"/>
              </w:rPr>
            </w:pPr>
          </w:p>
        </w:tc>
        <w:tc>
          <w:tcPr>
            <w:tcW w:w="368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Units of ZoomInfo Holdings LLC</w:t>
            </w:r>
          </w:p>
        </w:tc>
        <w:tc>
          <w:tcPr>
            <w:tcW w:w="660" w:type="dxa"/>
            <w:vAlign w:val="bottom"/>
            <w:tcBorders>
              <w:bottom w:val="single" w:sz="8" w:color="2C2C2C"/>
            </w:tcBorders>
          </w:tcPr>
          <w:p>
            <w:pPr>
              <w:jc w:val="right"/>
              <w:ind w:right="236"/>
              <w:spacing w:after="0"/>
              <w:rPr>
                <w:sz w:val="20"/>
                <w:szCs w:val="20"/>
                <w:color w:val="auto"/>
              </w:rPr>
            </w:pPr>
            <w:r>
              <w:rPr>
                <w:rFonts w:ascii="Arial" w:cs="Arial" w:eastAsia="Arial" w:hAnsi="Arial"/>
                <w:sz w:val="8"/>
                <w:szCs w:val="8"/>
                <w:color w:val="008000"/>
              </w:rPr>
              <w:t>(6)</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w w:val="81"/>
              </w:rPr>
              <w:t>(6)</w:t>
            </w:r>
          </w:p>
        </w:tc>
        <w:tc>
          <w:tcPr>
            <w:tcW w:w="1940" w:type="dxa"/>
            <w:vAlign w:val="bottom"/>
            <w:tcBorders>
              <w:bottom w:val="single" w:sz="8" w:color="2C2C2C"/>
            </w:tcBorders>
          </w:tcPr>
          <w:p>
            <w:pPr>
              <w:ind w:left="440"/>
              <w:spacing w:after="0"/>
              <w:rPr>
                <w:sz w:val="20"/>
                <w:szCs w:val="20"/>
                <w:color w:val="auto"/>
              </w:rPr>
            </w:pPr>
            <w:r>
              <w:rPr>
                <w:rFonts w:ascii="Arial" w:cs="Arial" w:eastAsia="Arial" w:hAnsi="Arial"/>
                <w:sz w:val="13"/>
                <w:szCs w:val="13"/>
                <w:color w:val="0000FF"/>
              </w:rPr>
              <w:t>Class A Common Stock</w:t>
            </w:r>
          </w:p>
        </w:tc>
        <w:tc>
          <w:tcPr>
            <w:tcW w:w="880" w:type="dxa"/>
            <w:vAlign w:val="bottom"/>
            <w:tcBorders>
              <w:bottom w:val="single" w:sz="8" w:color="2C2C2C"/>
            </w:tcBorders>
          </w:tcPr>
          <w:p>
            <w:pPr>
              <w:jc w:val="center"/>
              <w:ind w:left="138"/>
              <w:spacing w:after="0"/>
              <w:rPr>
                <w:sz w:val="20"/>
                <w:szCs w:val="20"/>
                <w:color w:val="auto"/>
              </w:rPr>
            </w:pPr>
            <w:r>
              <w:rPr>
                <w:rFonts w:ascii="Arial" w:cs="Arial" w:eastAsia="Arial" w:hAnsi="Arial"/>
                <w:sz w:val="13"/>
                <w:szCs w:val="13"/>
                <w:color w:val="0000FF"/>
                <w:w w:val="89"/>
              </w:rPr>
              <w:t>4,328,976</w:t>
            </w:r>
          </w:p>
        </w:tc>
        <w:tc>
          <w:tcPr>
            <w:tcW w:w="700" w:type="dxa"/>
            <w:vAlign w:val="bottom"/>
            <w:tcBorders>
              <w:bottom w:val="single" w:sz="8" w:color="2C2C2C"/>
            </w:tcBorders>
          </w:tcPr>
          <w:p>
            <w:pPr>
              <w:jc w:val="right"/>
              <w:ind w:right="235"/>
              <w:spacing w:after="0"/>
              <w:rPr>
                <w:sz w:val="20"/>
                <w:szCs w:val="20"/>
                <w:color w:val="auto"/>
              </w:rPr>
            </w:pPr>
            <w:r>
              <w:rPr>
                <w:rFonts w:ascii="Arial" w:cs="Arial" w:eastAsia="Arial" w:hAnsi="Arial"/>
                <w:sz w:val="8"/>
                <w:szCs w:val="8"/>
                <w:color w:val="008000"/>
              </w:rPr>
              <w:t>(6)</w:t>
            </w:r>
          </w:p>
        </w:tc>
        <w:tc>
          <w:tcPr>
            <w:tcW w:w="860" w:type="dxa"/>
            <w:vAlign w:val="bottom"/>
            <w:tcBorders>
              <w:bottom w:val="single" w:sz="8" w:color="2C2C2C"/>
            </w:tcBorders>
          </w:tcPr>
          <w:p>
            <w:pPr>
              <w:ind w:left="460"/>
              <w:spacing w:after="0"/>
              <w:rPr>
                <w:sz w:val="20"/>
                <w:szCs w:val="20"/>
                <w:color w:val="auto"/>
              </w:rPr>
            </w:pPr>
            <w:r>
              <w:rPr>
                <w:rFonts w:ascii="Arial" w:cs="Arial" w:eastAsia="Arial" w:hAnsi="Arial"/>
                <w:sz w:val="13"/>
                <w:szCs w:val="13"/>
                <w:color w:val="0000FF"/>
              </w:rPr>
              <w:t>I</w:t>
            </w:r>
          </w:p>
        </w:tc>
        <w:tc>
          <w:tcPr>
            <w:tcW w:w="1680" w:type="dxa"/>
            <w:vAlign w:val="bottom"/>
            <w:tcBorders>
              <w:bottom w:val="single" w:sz="8" w:color="2C2C2C"/>
            </w:tcBorders>
            <w:gridSpan w:val="2"/>
          </w:tcPr>
          <w:p>
            <w:pPr>
              <w:ind w:left="100"/>
              <w:spacing w:after="0"/>
              <w:rPr>
                <w:sz w:val="20"/>
                <w:szCs w:val="20"/>
                <w:color w:val="auto"/>
              </w:rPr>
            </w:pPr>
            <w:r>
              <w:rPr>
                <w:rFonts w:ascii="Arial" w:cs="Arial" w:eastAsia="Arial" w:hAnsi="Arial"/>
                <w:sz w:val="13"/>
                <w:szCs w:val="13"/>
                <w:color w:val="0000FF"/>
              </w:rPr>
              <w:t>See footnotes</w:t>
            </w:r>
            <w:r>
              <w:rPr>
                <w:rFonts w:ascii="Arial" w:cs="Arial" w:eastAsia="Arial" w:hAnsi="Arial"/>
                <w:sz w:val="16"/>
                <w:szCs w:val="16"/>
                <w:color w:val="008000"/>
                <w:vertAlign w:val="superscript"/>
              </w:rPr>
              <w:t>(3)(13)</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68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-1753235</wp:posOffset>
            </wp:positionV>
            <wp:extent cx="6985000" cy="1652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85000" cy="1652270"/>
                    </a:xfrm>
                    <a:prstGeom prst="rect">
                      <a:avLst/>
                    </a:prstGeom>
                    <a:noFill/>
                  </pic:spPr>
                </pic:pic>
              </a:graphicData>
            </a:graphic>
          </wp:anchor>
        </w:drawing>
      </w:r>
    </w:p>
    <w:p>
      <w:pPr>
        <w:spacing w:after="0" w:line="3" w:lineRule="exact"/>
        <w:rPr>
          <w:sz w:val="24"/>
          <w:szCs w:val="24"/>
          <w:color w:val="auto"/>
        </w:rPr>
      </w:pPr>
    </w:p>
    <w:p>
      <w:pPr>
        <w:ind w:left="40" w:right="80" w:hanging="10"/>
        <w:spacing w:after="0" w:line="273" w:lineRule="auto"/>
        <w:tabs>
          <w:tab w:leader="none" w:pos="140" w:val="left"/>
        </w:tabs>
        <w:numPr>
          <w:ilvl w:val="0"/>
          <w:numId w:val="1"/>
        </w:numPr>
        <w:rPr>
          <w:rFonts w:ascii="Arial" w:cs="Arial" w:eastAsia="Arial" w:hAnsi="Arial"/>
          <w:sz w:val="9"/>
          <w:szCs w:val="9"/>
          <w:color w:val="008000"/>
        </w:rPr>
      </w:pPr>
      <w:r>
        <w:rPr>
          <w:rFonts w:ascii="Arial" w:cs="Arial" w:eastAsia="Arial" w:hAnsi="Arial"/>
          <w:sz w:val="9"/>
          <w:szCs w:val="9"/>
          <w:color w:val="008000"/>
        </w:rPr>
        <w:t>As described in Issuer's Registration Statement on Form S-1 (Registration No. 333-236674) (the "Registration Statement"), the Class C Common Stock is convertible at the option of the holder on a one-for-one basis for shares of Class A Common Stock of the Issuer and has no expiration date. Upon any transfer of shares of Class C Common Stock, whether or not for value, each such transferred share will automatically convert into one share of Class A Common Stock, except for certain transfers described in the Issuer's amended and restated certificate of incorporation. The shares of Class C Common Stock will convert automatically into Class A Common Stock, on a one-for-one basis, when the aggregate number of outstanding shares of the Company's Class B Common Stock and Class C Common Stock represents less than 5% of the aggregate number of the Company's outstanding shares of Common Stock. The shares of Class C Common Stock have ten votes per share.</w:t>
      </w:r>
    </w:p>
    <w:p>
      <w:pPr>
        <w:spacing w:after="0" w:line="9" w:lineRule="exact"/>
        <w:rPr>
          <w:rFonts w:ascii="Arial" w:cs="Arial" w:eastAsia="Arial" w:hAnsi="Arial"/>
          <w:sz w:val="9"/>
          <w:szCs w:val="9"/>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Shares of Class C Common Stock of the Issuer are held by TA XI DO Feeder, L.P ("XI DO").</w:t>
      </w:r>
    </w:p>
    <w:p>
      <w:pPr>
        <w:spacing w:after="0" w:line="35" w:lineRule="exact"/>
        <w:rPr>
          <w:rFonts w:ascii="Arial" w:cs="Arial" w:eastAsia="Arial" w:hAnsi="Arial"/>
          <w:sz w:val="10"/>
          <w:szCs w:val="10"/>
          <w:color w:val="008000"/>
        </w:rPr>
      </w:pPr>
    </w:p>
    <w:p>
      <w:pPr>
        <w:jc w:val="both"/>
        <w:ind w:left="40" w:right="80" w:hanging="10"/>
        <w:spacing w:after="0" w:line="242" w:lineRule="auto"/>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TA Associates, L.P. is the ultimate general partner of each of XI DO, SDF III Feeder, Atlantic &amp; Pacific VII-B, XI DO AIV, SDF III DO, Atlantic &amp; Pacific VII-A, Investors IV, AP VII-B, SDF III DO AIV II and XI DO AIV II (collectively, the "TA Associates Funds"). Investment and voting control of the TA Associates Funds is held by TA Associates, L.P. The Reporting Person disclaims beneficial ownership of these securities, except to the extent of his pecuniary interest therein, and this report shall not be deemed an admission that the Reporting Person is the beneficial owners of such securities for Section 16 or any other purpose.</w:t>
      </w:r>
    </w:p>
    <w:p>
      <w:pPr>
        <w:spacing w:after="0" w:line="22"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Shares of Class C Common Stock of the Issuer are held by TA SDF III DO Feeder, L.P. ("SDF III Feeder").</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Shares of Class C Common Stock of the Issuer are held by TA Atlantic &amp; Pacific VII-B, L.P. ("Atlantic &amp; Pacific VII-B").</w:t>
      </w:r>
    </w:p>
    <w:p>
      <w:pPr>
        <w:spacing w:after="0" w:line="35" w:lineRule="exact"/>
        <w:rPr>
          <w:rFonts w:ascii="Arial" w:cs="Arial" w:eastAsia="Arial" w:hAnsi="Arial"/>
          <w:sz w:val="10"/>
          <w:szCs w:val="10"/>
          <w:color w:val="008000"/>
        </w:rPr>
      </w:pPr>
    </w:p>
    <w:p>
      <w:pPr>
        <w:ind w:left="40" w:right="60" w:hanging="10"/>
        <w:spacing w:after="0" w:line="242" w:lineRule="auto"/>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Units of ZoomInfo Holdings LLC ("Opco") represent limited liability company units of Opco and a corresponding number of shares of Class B Common Stock of the Issuer, which together are exchangeable at the option of the holder on a one-for-one basis for shares of Class A Common Stock of the Issuer, subject to customary conversion rate adjustments for stock splits, stock dividends, and reclassifications, pursuant to the amended and restated limited liability company agreement of Opco and has no expiration date. The shares of Class B Common Stock (i) confer no incidents of economic ownership on the holders thereof and (ii) only confer ten-to-one voting rights on the holders thereof.</w:t>
      </w:r>
    </w:p>
    <w:p>
      <w:pPr>
        <w:spacing w:after="0" w:line="22"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Securities are held by TA XI DO AIV, L.P. ("XI DO AIV").</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Securities are held by TA SDF III DO AIV, L.P. ("SDF III DO").</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Securities are held by TA Atlantic &amp; Pacific VII-A, L.P. ("Atlantic &amp; Pacific VII-A").</w:t>
      </w:r>
    </w:p>
    <w:p>
      <w:pPr>
        <w:spacing w:after="0" w:line="35" w:lineRule="exact"/>
        <w:rPr>
          <w:rFonts w:ascii="Arial" w:cs="Arial" w:eastAsia="Arial" w:hAnsi="Arial"/>
          <w:sz w:val="10"/>
          <w:szCs w:val="10"/>
          <w:color w:val="008000"/>
        </w:rPr>
      </w:pPr>
    </w:p>
    <w:p>
      <w:pPr>
        <w:ind w:left="180" w:hanging="150"/>
        <w:spacing w:after="0"/>
        <w:tabs>
          <w:tab w:leader="none" w:pos="18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Securities are held by TA Investors IV, L.P. ("Investors IV").</w:t>
      </w:r>
    </w:p>
    <w:p>
      <w:pPr>
        <w:spacing w:after="0" w:line="35" w:lineRule="exact"/>
        <w:rPr>
          <w:rFonts w:ascii="Arial" w:cs="Arial" w:eastAsia="Arial" w:hAnsi="Arial"/>
          <w:sz w:val="10"/>
          <w:szCs w:val="10"/>
          <w:color w:val="008000"/>
        </w:rPr>
      </w:pPr>
    </w:p>
    <w:p>
      <w:pPr>
        <w:ind w:left="180" w:hanging="150"/>
        <w:spacing w:after="0"/>
        <w:tabs>
          <w:tab w:leader="none" w:pos="18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Securities are held by TA AP VII-B DO Subsidiary Partnership, L.P. ("AP VII-B").</w:t>
      </w:r>
    </w:p>
    <w:p>
      <w:pPr>
        <w:spacing w:after="0" w:line="35" w:lineRule="exact"/>
        <w:rPr>
          <w:rFonts w:ascii="Arial" w:cs="Arial" w:eastAsia="Arial" w:hAnsi="Arial"/>
          <w:sz w:val="10"/>
          <w:szCs w:val="10"/>
          <w:color w:val="008000"/>
        </w:rPr>
      </w:pPr>
    </w:p>
    <w:p>
      <w:pPr>
        <w:ind w:left="180" w:hanging="150"/>
        <w:spacing w:after="0"/>
        <w:tabs>
          <w:tab w:leader="none" w:pos="18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Securities are held by TA SDF III DO AIV II, L.P. ("SDF III DO AIV II").</w:t>
      </w:r>
    </w:p>
    <w:p>
      <w:pPr>
        <w:spacing w:after="0" w:line="35" w:lineRule="exact"/>
        <w:rPr>
          <w:rFonts w:ascii="Arial" w:cs="Arial" w:eastAsia="Arial" w:hAnsi="Arial"/>
          <w:sz w:val="10"/>
          <w:szCs w:val="10"/>
          <w:color w:val="008000"/>
        </w:rPr>
      </w:pPr>
    </w:p>
    <w:p>
      <w:pPr>
        <w:ind w:left="180" w:hanging="150"/>
        <w:spacing w:after="0"/>
        <w:tabs>
          <w:tab w:leader="none" w:pos="18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Securities are held by TA XI DO AIV II, L.P. ("XI DO AIV II").</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List: Exhibit 24 - Power of Attorney</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2"/>
          </w:tcPr>
          <w:p>
            <w:pPr>
              <w:spacing w:after="0"/>
              <w:rPr>
                <w:sz w:val="20"/>
                <w:szCs w:val="20"/>
                <w:color w:val="auto"/>
              </w:rPr>
            </w:pPr>
            <w:r>
              <w:rPr>
                <w:rFonts w:ascii="Arial" w:cs="Arial" w:eastAsia="Arial" w:hAnsi="Arial"/>
                <w:sz w:val="13"/>
                <w:szCs w:val="13"/>
                <w:color w:val="0000FF"/>
              </w:rPr>
              <w:t>/s/ Jason Mironov</w:t>
            </w:r>
          </w:p>
        </w:tc>
        <w:tc>
          <w:tcPr>
            <w:tcW w:w="600" w:type="dxa"/>
            <w:vAlign w:val="bottom"/>
          </w:tcPr>
          <w:p>
            <w:pPr>
              <w:spacing w:after="0"/>
              <w:rPr>
                <w:sz w:val="20"/>
                <w:szCs w:val="20"/>
                <w:color w:val="auto"/>
              </w:rPr>
            </w:pPr>
            <w:r>
              <w:rPr>
                <w:rFonts w:ascii="Arial" w:cs="Arial" w:eastAsia="Arial" w:hAnsi="Arial"/>
                <w:sz w:val="13"/>
                <w:szCs w:val="13"/>
                <w:color w:val="0000FF"/>
                <w:w w:val="89"/>
              </w:rPr>
              <w:t>06/04/2020</w:t>
            </w:r>
          </w:p>
        </w:tc>
      </w:tr>
      <w:tr>
        <w:trPr>
          <w:trHeight w:val="20"/>
        </w:trPr>
        <w:tc>
          <w:tcPr>
            <w:tcW w:w="65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70"/>
        </w:trPr>
        <w:tc>
          <w:tcPr>
            <w:tcW w:w="6580" w:type="dxa"/>
            <w:vAlign w:val="bottom"/>
          </w:tcPr>
          <w:p>
            <w:pPr>
              <w:spacing w:after="0"/>
              <w:rPr>
                <w:sz w:val="14"/>
                <w:szCs w:val="14"/>
                <w:color w:val="auto"/>
              </w:rPr>
            </w:pPr>
          </w:p>
        </w:tc>
        <w:tc>
          <w:tcPr>
            <w:tcW w:w="220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does hereby make, constitute and appoint each of Henry Schuck, Cameron Hyzer, Anthony Stark,</w:t>
      </w: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 /s/ Jason Mironov</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Name: Jason Mironov</w:t>
      </w: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Date: May 1, 2020</w:t>
      </w:r>
    </w:p>
    <w:sectPr>
      <w:pgSz w:w="11900" w:h="16838" w:orient="portrait"/>
      <w:cols w:equalWidth="0" w:num="1">
        <w:col w:w="11000"/>
      </w:cols>
      <w:pgMar w:left="440" w:top="1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10831" TargetMode="External"/><Relationship Id="rId13" Type="http://schemas.openxmlformats.org/officeDocument/2006/relationships/hyperlink" Target="http://www.sec.gov/cgi-bin/browse-edgar?action=getcompany&amp;CIK=00017945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2020-06-04T19:32:48Z</dcterms:created>
  <dcterms:modified xsi:type="dcterms:W3CDTF">2020-06-04T19:32:48Z</dcterms:modified>
</cp:coreProperties>
</file>