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CG Subsidiary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
        <w:spacing w:after="0" w:line="395" w:lineRule="auto"/>
        <w:rPr>
          <w:sz w:val="20"/>
          <w:szCs w:val="20"/>
          <w:color w:val="auto"/>
        </w:rPr>
      </w:pPr>
      <w:r>
        <w:rPr>
          <w:rFonts w:ascii="Arial" w:cs="Arial" w:eastAsia="Arial" w:hAnsi="Arial"/>
          <w:sz w:val="16"/>
          <w:szCs w:val="16"/>
          <w:color w:val="0000FF"/>
        </w:rPr>
        <w:t>C/O THE CARLYLE GROUP, 1001 PENNSYLVANIA AVE. NW, SUITE 220 SOUTH</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WASHINGTON DC</w:t>
            </w:r>
          </w:p>
        </w:tc>
        <w:tc>
          <w:tcPr>
            <w:tcW w:w="1600" w:type="dxa"/>
            <w:vAlign w:val="bottom"/>
          </w:tcPr>
          <w:p>
            <w:pPr>
              <w:ind w:left="4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ZoomInfo Technologies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500" w:type="dxa"/>
            <w:vAlign w:val="bottom"/>
            <w:gridSpan w:val="3"/>
          </w:tcPr>
          <w:p>
            <w:pPr>
              <w:ind w:left="80"/>
              <w:spacing w:after="0"/>
              <w:rPr>
                <w:sz w:val="20"/>
                <w:szCs w:val="20"/>
                <w:color w:val="auto"/>
              </w:rPr>
            </w:pPr>
            <w:r>
              <w:rPr>
                <w:rFonts w:ascii="Arial" w:cs="Arial" w:eastAsia="Arial" w:hAnsi="Arial"/>
                <w:sz w:val="17"/>
                <w:szCs w:val="17"/>
                <w:color w:val="0000FF"/>
              </w:rPr>
              <w:t>10/12/2021</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000" w:type="dxa"/>
            <w:vAlign w:val="bottom"/>
            <w:gridSpan w:val="3"/>
            <w:vMerge w:val="continue"/>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10/12/2021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36,824</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vMerge w:val="restart"/>
          </w:tcPr>
          <w:p>
            <w:pPr>
              <w:jc w:val="center"/>
              <w:ind w:left="34"/>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62.5435</w:t>
            </w:r>
            <w:r>
              <w:rPr>
                <w:rFonts w:ascii="Arial" w:cs="Arial" w:eastAsia="Arial" w:hAnsi="Arial"/>
                <w:sz w:val="22"/>
                <w:szCs w:val="22"/>
                <w:color w:val="008000"/>
                <w:w w:val="87"/>
                <w:vertAlign w:val="superscript"/>
              </w:rPr>
              <w:t>(2)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59,297,669</w:t>
            </w:r>
          </w:p>
        </w:tc>
        <w:tc>
          <w:tcPr>
            <w:tcW w:w="34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10/12/2021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79,747</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jc w:val="center"/>
              <w:ind w:left="34"/>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63.444</w:t>
            </w:r>
            <w:r>
              <w:rPr>
                <w:rFonts w:ascii="Arial" w:cs="Arial" w:eastAsia="Arial" w:hAnsi="Arial"/>
                <w:sz w:val="22"/>
                <w:szCs w:val="22"/>
                <w:color w:val="008000"/>
                <w:w w:val="88"/>
                <w:vertAlign w:val="superscript"/>
              </w:rPr>
              <w:t>(5)</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59,217,922</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10/13/2021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68,537</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jc w:val="center"/>
              <w:ind w:left="34"/>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64.1606</w:t>
            </w:r>
            <w:r>
              <w:rPr>
                <w:rFonts w:ascii="Arial" w:cs="Arial" w:eastAsia="Arial" w:hAnsi="Arial"/>
                <w:sz w:val="22"/>
                <w:szCs w:val="22"/>
                <w:color w:val="008000"/>
                <w:w w:val="87"/>
                <w:vertAlign w:val="superscript"/>
              </w:rPr>
              <w:t>(6)</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59,149,385</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10/13/2021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273,057</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jc w:val="center"/>
              <w:ind w:left="34"/>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64.8702</w:t>
            </w:r>
            <w:r>
              <w:rPr>
                <w:rFonts w:ascii="Arial" w:cs="Arial" w:eastAsia="Arial" w:hAnsi="Arial"/>
                <w:sz w:val="22"/>
                <w:szCs w:val="22"/>
                <w:color w:val="008000"/>
                <w:w w:val="87"/>
                <w:vertAlign w:val="superscript"/>
              </w:rPr>
              <w:t>(7)</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58,876,328</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60" w:type="dxa"/>
            <w:vAlign w:val="bottom"/>
            <w:gridSpan w:val="17"/>
          </w:tcPr>
          <w:p>
            <w:pPr>
              <w:jc w:val="center"/>
              <w:ind w:left="41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00" w:type="dxa"/>
            <w:vAlign w:val="bottom"/>
            <w:gridSpan w:val="13"/>
          </w:tcPr>
          <w:p>
            <w:pPr>
              <w:jc w:val="center"/>
              <w:ind w:left="24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CG Subsidiary Holdings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7"/>
                <w:szCs w:val="17"/>
                <w:color w:val="0000FF"/>
                <w:w w:val="96"/>
              </w:rPr>
              <w:t>C/O THE CARLYLE GROUP, 1001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PENNSYLVANIA AVE. NW, SUITE 220 SOUTH</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7"/>
                <w:szCs w:val="17"/>
                <w:color w:val="0000FF"/>
              </w:rPr>
              <w:t>WASHINGTON</w:t>
            </w:r>
          </w:p>
        </w:tc>
        <w:tc>
          <w:tcPr>
            <w:tcW w:w="1180" w:type="dxa"/>
            <w:vAlign w:val="bottom"/>
          </w:tcPr>
          <w:p>
            <w:pPr>
              <w:spacing w:after="0"/>
              <w:rPr>
                <w:sz w:val="20"/>
                <w:szCs w:val="20"/>
                <w:color w:val="auto"/>
              </w:rPr>
            </w:pPr>
            <w:r>
              <w:rPr>
                <w:rFonts w:ascii="Arial" w:cs="Arial" w:eastAsia="Arial" w:hAnsi="Arial"/>
                <w:sz w:val="17"/>
                <w:szCs w:val="17"/>
                <w:color w:val="0000FF"/>
              </w:rPr>
              <w:t>DC</w:t>
            </w:r>
          </w:p>
        </w:tc>
        <w:tc>
          <w:tcPr>
            <w:tcW w:w="1080" w:type="dxa"/>
            <w:vAlign w:val="bottom"/>
            <w:gridSpan w:val="2"/>
          </w:tcPr>
          <w:p>
            <w:pPr>
              <w:ind w:left="220"/>
              <w:spacing w:after="0"/>
              <w:rPr>
                <w:sz w:val="20"/>
                <w:szCs w:val="20"/>
                <w:color w:val="auto"/>
              </w:rPr>
            </w:pPr>
            <w:r>
              <w:rPr>
                <w:rFonts w:ascii="Arial" w:cs="Arial" w:eastAsia="Arial" w:hAnsi="Arial"/>
                <w:sz w:val="17"/>
                <w:szCs w:val="17"/>
                <w:color w:val="0000FF"/>
                <w:w w:val="92"/>
              </w:rPr>
              <w:t>20004-2505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spacing w:after="0" w:line="221"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TC Group, LLC</w:t>
              </w:r>
            </w:hyperlink>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WASHINGTON</w:t>
        <w:tab/>
        <w:t>DC</w:t>
      </w:r>
      <w:r>
        <w:rPr>
          <w:sz w:val="20"/>
          <w:szCs w:val="20"/>
          <w:color w:val="auto"/>
        </w:rPr>
        <w:tab/>
      </w:r>
      <w:r>
        <w:rPr>
          <w:rFonts w:ascii="Arial" w:cs="Arial" w:eastAsia="Arial" w:hAnsi="Arial"/>
          <w:sz w:val="15"/>
          <w:szCs w:val="15"/>
          <w:color w:val="0000FF"/>
        </w:rPr>
        <w:t>20004-2505</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34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91344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TC Group Sub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TC Group VI S1,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TC Group VI S1,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020" w:type="dxa"/>
            <w:vAlign w:val="bottom"/>
          </w:tcPr>
          <w:p>
            <w:pPr>
              <w:ind w:left="120"/>
              <w:spacing w:after="0"/>
              <w:rPr>
                <w:sz w:val="20"/>
                <w:szCs w:val="20"/>
                <w:color w:val="auto"/>
              </w:rPr>
            </w:pPr>
            <w:r>
              <w:rPr>
                <w:rFonts w:ascii="Arial" w:cs="Arial" w:eastAsia="Arial" w:hAnsi="Arial"/>
                <w:sz w:val="17"/>
                <w:szCs w:val="17"/>
                <w:color w:val="0000FF"/>
              </w:rPr>
              <w:t>DC</w:t>
            </w:r>
          </w:p>
        </w:tc>
        <w:tc>
          <w:tcPr>
            <w:tcW w:w="1860" w:type="dxa"/>
            <w:vAlign w:val="bottom"/>
          </w:tcPr>
          <w:p>
            <w:pPr>
              <w:ind w:left="5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Carlyle Partners VI Evergreen Holdings,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460" w:type="dxa"/>
            <w:vAlign w:val="bottom"/>
          </w:tcPr>
          <w:p>
            <w:pPr>
              <w:ind w:left="120"/>
              <w:spacing w:after="0"/>
              <w:rPr>
                <w:sz w:val="20"/>
                <w:szCs w:val="20"/>
                <w:color w:val="auto"/>
              </w:rPr>
            </w:pPr>
            <w:r>
              <w:rPr>
                <w:rFonts w:ascii="Arial" w:cs="Arial" w:eastAsia="Arial" w:hAnsi="Arial"/>
                <w:sz w:val="17"/>
                <w:szCs w:val="17"/>
                <w:color w:val="0000FF"/>
              </w:rPr>
              <w:t>DC</w:t>
            </w:r>
          </w:p>
        </w:tc>
        <w:tc>
          <w:tcPr>
            <w:tcW w:w="1420" w:type="dxa"/>
            <w:vAlign w:val="bottom"/>
          </w:tcPr>
          <w:p>
            <w:pPr>
              <w:ind w:left="6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40" w:type="dxa"/>
            <w:vAlign w:val="bottom"/>
            <w:tcBorders>
              <w:bottom w:val="single" w:sz="8" w:color="0000EE"/>
            </w:tcBorders>
            <w:gridSpan w:val="2"/>
          </w:tcPr>
          <w:p>
            <w:pPr>
              <w:spacing w:after="0" w:line="221" w:lineRule="exact"/>
              <w:rPr>
                <w:rFonts w:ascii="Arial" w:cs="Arial" w:eastAsia="Arial" w:hAnsi="Arial"/>
                <w:sz w:val="21"/>
                <w:szCs w:val="21"/>
                <w:color w:val="0000EE"/>
                <w:w w:val="92"/>
              </w:rPr>
            </w:pPr>
            <w:hyperlink r:id="rId21">
              <w:r>
                <w:rPr>
                  <w:rFonts w:ascii="Arial" w:cs="Arial" w:eastAsia="Arial" w:hAnsi="Arial"/>
                  <w:sz w:val="21"/>
                  <w:szCs w:val="21"/>
                  <w:color w:val="0000EE"/>
                  <w:w w:val="92"/>
                </w:rPr>
                <w:t>CP VI Evergreen Holdings,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020" w:type="dxa"/>
            <w:vAlign w:val="bottom"/>
          </w:tcPr>
          <w:p>
            <w:pPr>
              <w:ind w:left="120"/>
              <w:spacing w:after="0"/>
              <w:rPr>
                <w:sz w:val="20"/>
                <w:szCs w:val="20"/>
                <w:color w:val="auto"/>
              </w:rPr>
            </w:pPr>
            <w:r>
              <w:rPr>
                <w:rFonts w:ascii="Arial" w:cs="Arial" w:eastAsia="Arial" w:hAnsi="Arial"/>
                <w:sz w:val="17"/>
                <w:szCs w:val="17"/>
                <w:color w:val="0000FF"/>
              </w:rPr>
              <w:t>DC</w:t>
            </w:r>
          </w:p>
        </w:tc>
        <w:tc>
          <w:tcPr>
            <w:tcW w:w="1860" w:type="dxa"/>
            <w:vAlign w:val="bottom"/>
          </w:tcPr>
          <w:p>
            <w:pPr>
              <w:ind w:left="5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50"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$61.97 to $62.965.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Following the transactions reported herein, includes (i) 29,519,835 shares of Class A Common Stock held of record by CP VI Evergreen Holdings, L.P. ("CP VI Evergreen") and (ii) 29,356,493 shares of Class A Common Stock held of record by Carlyle Partners VI Evergreen Holdings, L.P. ("Carlyle Evergreen").</w:t>
      </w:r>
    </w:p>
    <w:p>
      <w:pPr>
        <w:spacing w:after="0" w:line="1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Carlyle Group Inc., which is a publicly traded entity listed on the Nasdaq, is the sole shareholder of Carlyle Holdings I GP Inc., which is the sole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29" w:lineRule="exact"/>
        <w:rPr>
          <w:rFonts w:ascii="Arial" w:cs="Arial" w:eastAsia="Arial" w:hAnsi="Arial"/>
          <w:sz w:val="13"/>
          <w:szCs w:val="13"/>
          <w:color w:val="008000"/>
        </w:rPr>
      </w:pPr>
    </w:p>
    <w:p>
      <w:pPr>
        <w:jc w:val="center"/>
        <w:ind w:left="20" w:right="40" w:firstLine="7"/>
        <w:spacing w:after="0" w:line="30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$62.97 to $63.885. The reporting person undertakes to provide the Issuer, any security holder of the Issuer, or the staff of the Securities and Exchange Commission, upon request, full information regarding the number of shares sold at each separate price within the range</w:t>
      </w:r>
    </w:p>
    <w:p>
      <w:pPr>
        <w:sectPr>
          <w:pgSz w:w="11900" w:h="16969" w:orient="portrait"/>
          <w:cols w:equalWidth="0" w:num="1">
            <w:col w:w="10880"/>
          </w:cols>
          <w:pgMar w:left="480" w:top="179" w:right="53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008000"/>
        </w:rPr>
        <w:t>set forth in this footnote.</w:t>
      </w:r>
    </w:p>
    <w:p>
      <w:pPr>
        <w:spacing w:after="0" w:line="50" w:lineRule="exact"/>
        <w:rPr>
          <w:sz w:val="20"/>
          <w:szCs w:val="20"/>
          <w:color w:val="auto"/>
        </w:rPr>
      </w:pPr>
    </w:p>
    <w:p>
      <w:pPr>
        <w:ind w:right="2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$63.44 to $64.43.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2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$64.44 to $65.39.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3"/>
          <w:szCs w:val="13"/>
          <w:color w:val="008000"/>
        </w:rPr>
        <w:t>Due to the limitations of the electronic filing system, each of The Carlyle Group Inc., Carlyle Holdings I GP Inc., Carlyle Holdings I GP Sub L.L.C., and Carlyle Holdings I L.P. are filing a separate Form 4.</w:t>
      </w:r>
    </w:p>
    <w:p>
      <w:pPr>
        <w:sectPr>
          <w:pgSz w:w="11900" w:h="16838" w:orient="portrait"/>
          <w:cols w:equalWidth="0" w:num="1">
            <w:col w:w="10840"/>
          </w:cols>
          <w:pgMar w:left="500" w:top="131" w:right="559" w:bottom="1440" w:gutter="0" w:footer="0" w:header="0"/>
        </w:sectPr>
      </w:pP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1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Frederick,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Curtis L. Buser,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98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Anne Frederick,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6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Sub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66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8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Frederick,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Curtis L. Buser,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VI S1,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5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01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TC Group VI S1,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081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Carlyle Partners VI Evergreen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32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Holdings, L.P., By: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01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VI S1,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82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68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10/14/2021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10/14/2021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10/14/2021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10/14/2021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10/14/2021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10/14/2021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0" w:lineRule="exact"/>
        <w:rPr>
          <w:sz w:val="20"/>
          <w:szCs w:val="20"/>
          <w:color w:val="auto"/>
        </w:rPr>
      </w:pPr>
    </w:p>
    <w:p>
      <w:pPr>
        <w:sectPr>
          <w:pgSz w:w="11900" w:h="16838" w:orient="portrait"/>
          <w:cols w:equalWidth="0" w:num="2">
            <w:col w:w="8680" w:space="60"/>
            <w:col w:w="2100"/>
          </w:cols>
          <w:pgMar w:left="500" w:top="131" w:right="559" w:bottom="1440" w:gutter="0" w:footer="0" w:header="0"/>
          <w:type w:val="continuous"/>
        </w:sectPr>
      </w:pPr>
    </w:p>
    <w:p>
      <w:pPr>
        <w:ind w:left="6540"/>
        <w:spacing w:after="0"/>
        <w:rPr>
          <w:sz w:val="20"/>
          <w:szCs w:val="20"/>
          <w:color w:val="auto"/>
        </w:rPr>
      </w:pPr>
      <w:r>
        <w:rPr>
          <w:rFonts w:ascii="Arial" w:cs="Arial" w:eastAsia="Arial" w:hAnsi="Arial"/>
          <w:sz w:val="17"/>
          <w:szCs w:val="17"/>
          <w:color w:val="0000FF"/>
        </w:rPr>
        <w:t>CP VI Evergreen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141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TC Group VI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 /s/ 10/14/2021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12" Type="http://schemas.openxmlformats.org/officeDocument/2006/relationships/hyperlink" Target="http://www.sec.gov/cgi-bin/browse-edgar?action=getcompany&amp;CIK=0001790577" TargetMode="External"/><Relationship Id="rId13" Type="http://schemas.openxmlformats.org/officeDocument/2006/relationships/hyperlink" Target="http://www.sec.gov/cgi-bin/browse-edgar?action=getcompany&amp;CIK=0001794515" TargetMode="External"/><Relationship Id="rId14" Type="http://schemas.openxmlformats.org/officeDocument/2006/relationships/hyperlink" Target="http://www.sec.gov/cgi-bin/browse-edgar?action=getcompany&amp;CIK=0000933790" TargetMode="External"/><Relationship Id="rId17" Type="http://schemas.openxmlformats.org/officeDocument/2006/relationships/hyperlink" Target="http://www.sec.gov/cgi-bin/browse-edgar?action=getcompany&amp;CIK=0001548639" TargetMode="External"/><Relationship Id="rId18" Type="http://schemas.openxmlformats.org/officeDocument/2006/relationships/hyperlink" Target="http://www.sec.gov/cgi-bin/browse-edgar?action=getcompany&amp;CIK=0001766541" TargetMode="External"/><Relationship Id="rId19" Type="http://schemas.openxmlformats.org/officeDocument/2006/relationships/hyperlink" Target="http://www.sec.gov/cgi-bin/browse-edgar?action=getcompany&amp;CIK=0001766496" TargetMode="External"/><Relationship Id="rId20" Type="http://schemas.openxmlformats.org/officeDocument/2006/relationships/hyperlink" Target="http://www.sec.gov/cgi-bin/browse-edgar?action=getcompany&amp;CIK=0001802267" TargetMode="External"/><Relationship Id="rId21" Type="http://schemas.openxmlformats.org/officeDocument/2006/relationships/hyperlink" Target="http://www.sec.gov/cgi-bin/browse-edgar?action=getcompany&amp;CIK=0001813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2021-10-14T15:33:50Z</dcterms:created>
  <dcterms:modified xsi:type="dcterms:W3CDTF">2021-10-14T15:33:50Z</dcterms:modified>
</cp:coreProperties>
</file>