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color w:val="FFFFFF"/>
        </w:rPr>
        <w:drawing>
          <wp:anchor simplePos="0" relativeHeight="251657728" behindDoc="1" locked="0" layoutInCell="0" allowOverlap="1">
            <wp:simplePos x="0" y="0"/>
            <wp:positionH relativeFrom="page">
              <wp:posOffset>276860</wp:posOffset>
            </wp:positionH>
            <wp:positionV relativeFrom="page">
              <wp:posOffset>388620</wp:posOffset>
            </wp:positionV>
            <wp:extent cx="7003415" cy="9060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9060815"/>
                    </a:xfrm>
                    <a:prstGeom prst="rect">
                      <a:avLst/>
                    </a:prstGeom>
                    <a:noFill/>
                  </pic:spPr>
                </pic:pic>
              </a:graphicData>
            </a:graphic>
          </wp:anchor>
        </w:drawing>
        <w:t>Filed Pursuant to Rule 424(b)(3)</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FFFFFF"/>
        </w:rPr>
        <w:t>Registration No. 333-250905</w:t>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FFFFFF"/>
        </w:rPr>
        <w:t>PROSPECTUS</w:t>
      </w:r>
    </w:p>
    <w:p>
      <w:pPr>
        <w:spacing w:after="0" w:line="37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1"/>
          <w:szCs w:val="31"/>
          <w:b w:val="1"/>
          <w:bCs w:val="1"/>
          <w:color w:val="FFFFFF"/>
        </w:rPr>
        <w:t>4,500,000 Shares</w:t>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FFFFFF"/>
        </w:rPr>
        <w:t>ZoomInfo Technologies Inc.</w:t>
      </w:r>
    </w:p>
    <w:p>
      <w:pPr>
        <w:spacing w:after="0" w:line="4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i w:val="1"/>
          <w:iCs w:val="1"/>
          <w:color w:val="FFFFFF"/>
        </w:rPr>
        <w:t>Class A Common Stock</w:t>
      </w:r>
    </w:p>
    <w:p>
      <w:pPr>
        <w:spacing w:after="0" w:line="1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2"/>
          <w:szCs w:val="22"/>
          <w:b w:val="1"/>
          <w:bCs w:val="1"/>
          <w:i w:val="1"/>
          <w:iCs w:val="1"/>
          <w:color w:val="FFFFFF"/>
        </w:rPr>
        <w:t>Issuable Upon Exchange or Settlement of</w:t>
      </w:r>
    </w:p>
    <w:p>
      <w:pPr>
        <w:spacing w:after="0" w:line="3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2"/>
          <w:szCs w:val="22"/>
          <w:b w:val="1"/>
          <w:bCs w:val="1"/>
          <w:i w:val="1"/>
          <w:iCs w:val="1"/>
          <w:color w:val="FFFFFF"/>
        </w:rPr>
        <w:t>Outstanding Equity Interests From Time to Time</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FFFFFF"/>
        </w:rPr>
        <w:t>ZoomInfo Technologies Inc. is registering 4,500,000 shares of Class A common stock under the registration statement of which this prospectus forms a part that may be issued from time to time upon (i) exchange of Pre-IPO Class P Units by Continuing Class P Unitholders and (ii) settlement of HSKB Phantom Units by ZoomInfo Technologies Inc. for Continuing HSKB Phantom Unitholders (each as defined herein), all of which units represent direct or indirect equity interests in us held by certain of our officers and employees prior to the IPO (as defined herein).</w:t>
      </w:r>
    </w:p>
    <w:p>
      <w:pPr>
        <w:spacing w:after="0" w:line="66"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FFFFFF"/>
        </w:rPr>
        <w:t>Our Class A common stock is listed and traded on the Nasdaq Global Select Market (the “Nasdaq”) under the trading symbol “ZI.” On November 25, 2020 the closing price of our Class A common stock as reported on the Nasdaq was $47.10 per share.</w:t>
      </w:r>
    </w:p>
    <w:p>
      <w:pPr>
        <w:spacing w:after="0" w:line="55" w:lineRule="exact"/>
        <w:rPr>
          <w:sz w:val="24"/>
          <w:szCs w:val="24"/>
          <w:color w:val="auto"/>
        </w:rPr>
      </w:pPr>
    </w:p>
    <w:p>
      <w:pPr>
        <w:jc w:val="both"/>
        <w:ind w:right="20"/>
        <w:spacing w:after="0" w:line="235" w:lineRule="auto"/>
        <w:rPr>
          <w:sz w:val="20"/>
          <w:szCs w:val="20"/>
          <w:color w:val="auto"/>
        </w:rPr>
      </w:pPr>
      <w:r>
        <w:rPr>
          <w:rFonts w:ascii="Times New Roman" w:cs="Times New Roman" w:eastAsia="Times New Roman" w:hAnsi="Times New Roman"/>
          <w:sz w:val="17"/>
          <w:szCs w:val="17"/>
          <w:color w:val="FFFFFF"/>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 See “Organizational Structure—IPO Transactions.”</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FFFFFF"/>
        </w:rPr>
        <w:t>We will not receive any cash proceeds from the issuance of any of the shares of Class A common stock registered hereunder.</w:t>
      </w:r>
    </w:p>
    <w:p>
      <w:pPr>
        <w:spacing w:after="0" w:line="90" w:lineRule="exact"/>
        <w:rPr>
          <w:sz w:val="24"/>
          <w:szCs w:val="24"/>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FFFFFF"/>
        </w:rPr>
        <w:t>Certain affiliates of each of TA Associates, Carlyle, and our Founders (each as defined herein) are parties to a stockholders agreement and, as of October 31, 2020, beneficially owned approximately 89.0% of the combined voting power of our Class A, Class B, and Class C common stock. As a result, we are a “controlled company” within the meaning of the Nasdaq corporate governance standards. See “Management—Controlled Company Exception” and “Principal Stockholders.”</w:t>
      </w:r>
    </w:p>
    <w:p>
      <w:pPr>
        <w:spacing w:after="0" w:line="64" w:lineRule="exact"/>
        <w:rPr>
          <w:sz w:val="24"/>
          <w:szCs w:val="24"/>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60" w:lineRule="exact"/>
        <w:rPr>
          <w:sz w:val="24"/>
          <w:szCs w:val="24"/>
          <w:color w:val="auto"/>
        </w:rPr>
      </w:pPr>
    </w:p>
    <w:p>
      <w:pPr>
        <w:spacing w:after="0"/>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 xml:space="preserve">Investing in shares of our Class A common stock involves risks. See “Risk Factors” beginning on page </w:t>
      </w:r>
      <w:hyperlink w:anchor="page33">
        <w:r>
          <w:rPr>
            <w:rFonts w:ascii="Times New Roman" w:cs="Times New Roman" w:eastAsia="Times New Roman" w:hAnsi="Times New Roman"/>
            <w:sz w:val="18"/>
            <w:szCs w:val="18"/>
            <w:b w:val="1"/>
            <w:bCs w:val="1"/>
            <w:color w:val="FFFFFF"/>
          </w:rPr>
          <w:t>29.</w:t>
        </w:r>
      </w:hyperlink>
    </w:p>
    <w:p>
      <w:pPr>
        <w:spacing w:after="0" w:line="94"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ectPr>
          <w:pgSz w:w="11900" w:h="16838" w:orient="portrait"/>
          <w:cols w:equalWidth="0" w:num="1">
            <w:col w:w="9300"/>
          </w:cols>
          <w:pgMar w:left="1280" w:top="1318" w:right="1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FFFFFF"/>
        </w:rPr>
        <w:t>The date of this prospectus is November 27, 2020.</w:t>
      </w:r>
    </w:p>
    <w:p>
      <w:pPr>
        <w:sectPr>
          <w:pgSz w:w="11900" w:h="16838" w:orient="portrait"/>
          <w:cols w:equalWidth="0" w:num="1">
            <w:col w:w="9300"/>
          </w:cols>
          <w:pgMar w:left="1280" w:top="1318" w:right="13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044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71"/>
        </w:trPr>
        <w:tc>
          <w:tcPr>
            <w:tcW w:w="104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Summary</w:t>
              </w:r>
            </w:hyperlink>
          </w:p>
        </w:tc>
        <w:tc>
          <w:tcPr>
            <w:tcW w:w="780" w:type="dxa"/>
            <w:vAlign w:val="bottom"/>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1</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Risk Factors</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33">
              <w:r>
                <w:rPr>
                  <w:rFonts w:ascii="Times New Roman" w:cs="Times New Roman" w:eastAsia="Times New Roman" w:hAnsi="Times New Roman"/>
                  <w:sz w:val="18"/>
                  <w:szCs w:val="18"/>
                  <w:color w:val="auto"/>
                  <w:w w:val="99"/>
                </w:rPr>
                <w:t>29</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Forward-Looking Statements</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80">
              <w:r>
                <w:rPr>
                  <w:rFonts w:ascii="Times New Roman" w:cs="Times New Roman" w:eastAsia="Times New Roman" w:hAnsi="Times New Roman"/>
                  <w:sz w:val="18"/>
                  <w:szCs w:val="18"/>
                  <w:color w:val="auto"/>
                  <w:w w:val="99"/>
                </w:rPr>
                <w:t>76</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Market and Industry Data</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82">
              <w:r>
                <w:rPr>
                  <w:rFonts w:ascii="Times New Roman" w:cs="Times New Roman" w:eastAsia="Times New Roman" w:hAnsi="Times New Roman"/>
                  <w:sz w:val="18"/>
                  <w:szCs w:val="18"/>
                  <w:color w:val="auto"/>
                  <w:w w:val="99"/>
                </w:rPr>
                <w:t>78</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Organizational Structure</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83">
              <w:r>
                <w:rPr>
                  <w:rFonts w:ascii="Times New Roman" w:cs="Times New Roman" w:eastAsia="Times New Roman" w:hAnsi="Times New Roman"/>
                  <w:sz w:val="18"/>
                  <w:szCs w:val="18"/>
                  <w:color w:val="auto"/>
                  <w:w w:val="99"/>
                </w:rPr>
                <w:t>79</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Use of Proceeds</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91">
              <w:r>
                <w:rPr>
                  <w:rFonts w:ascii="Times New Roman" w:cs="Times New Roman" w:eastAsia="Times New Roman" w:hAnsi="Times New Roman"/>
                  <w:sz w:val="18"/>
                  <w:szCs w:val="18"/>
                  <w:color w:val="auto"/>
                  <w:w w:val="99"/>
                </w:rPr>
                <w:t>87</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Dividend Policy</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92">
              <w:r>
                <w:rPr>
                  <w:rFonts w:ascii="Times New Roman" w:cs="Times New Roman" w:eastAsia="Times New Roman" w:hAnsi="Times New Roman"/>
                  <w:sz w:val="18"/>
                  <w:szCs w:val="18"/>
                  <w:color w:val="auto"/>
                  <w:w w:val="99"/>
                </w:rPr>
                <w:t>88</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Capitalization</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94">
              <w:r>
                <w:rPr>
                  <w:rFonts w:ascii="Times New Roman" w:cs="Times New Roman" w:eastAsia="Times New Roman" w:hAnsi="Times New Roman"/>
                  <w:sz w:val="18"/>
                  <w:szCs w:val="18"/>
                  <w:color w:val="auto"/>
                  <w:w w:val="99"/>
                </w:rPr>
                <w:t>90</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Unaudited Pro Forma Combined and Consolidated Financial Information</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95">
              <w:r>
                <w:rPr>
                  <w:rFonts w:ascii="Times New Roman" w:cs="Times New Roman" w:eastAsia="Times New Roman" w:hAnsi="Times New Roman"/>
                  <w:sz w:val="18"/>
                  <w:szCs w:val="18"/>
                  <w:color w:val="auto"/>
                  <w:w w:val="99"/>
                </w:rPr>
                <w:t>91</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Selected Historical Consolidated Financial Data</w:t>
              </w:r>
            </w:hyperlink>
          </w:p>
        </w:tc>
        <w:tc>
          <w:tcPr>
            <w:tcW w:w="780" w:type="dxa"/>
            <w:vAlign w:val="bottom"/>
          </w:tcPr>
          <w:p>
            <w:pPr>
              <w:jc w:val="center"/>
              <w:spacing w:after="0"/>
              <w:rPr>
                <w:rFonts w:ascii="Times New Roman" w:cs="Times New Roman" w:eastAsia="Times New Roman" w:hAnsi="Times New Roman"/>
                <w:sz w:val="18"/>
                <w:szCs w:val="18"/>
                <w:color w:val="auto"/>
                <w:w w:val="99"/>
              </w:rPr>
            </w:pPr>
            <w:hyperlink w:anchor="page102">
              <w:r>
                <w:rPr>
                  <w:rFonts w:ascii="Times New Roman" w:cs="Times New Roman" w:eastAsia="Times New Roman" w:hAnsi="Times New Roman"/>
                  <w:sz w:val="18"/>
                  <w:szCs w:val="18"/>
                  <w:color w:val="auto"/>
                  <w:w w:val="99"/>
                </w:rPr>
                <w:t>98</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05">
              <w:r>
                <w:rPr>
                  <w:rFonts w:ascii="Times New Roman" w:cs="Times New Roman" w:eastAsia="Times New Roman" w:hAnsi="Times New Roman"/>
                  <w:sz w:val="18"/>
                  <w:szCs w:val="18"/>
                  <w:color w:val="auto"/>
                  <w:w w:val="96"/>
                </w:rPr>
                <w:t>101</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Business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40">
              <w:r>
                <w:rPr>
                  <w:rFonts w:ascii="Times New Roman" w:cs="Times New Roman" w:eastAsia="Times New Roman" w:hAnsi="Times New Roman"/>
                  <w:sz w:val="18"/>
                  <w:szCs w:val="18"/>
                  <w:color w:val="auto"/>
                  <w:w w:val="96"/>
                </w:rPr>
                <w:t>136</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56">
              <w:r>
                <w:rPr>
                  <w:rFonts w:ascii="Times New Roman" w:cs="Times New Roman" w:eastAsia="Times New Roman" w:hAnsi="Times New Roman"/>
                  <w:sz w:val="18"/>
                  <w:szCs w:val="18"/>
                  <w:u w:val="single" w:color="auto"/>
                  <w:color w:val="0000FF"/>
                </w:rPr>
                <w:t>Management</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56">
              <w:r>
                <w:rPr>
                  <w:rFonts w:ascii="Times New Roman" w:cs="Times New Roman" w:eastAsia="Times New Roman" w:hAnsi="Times New Roman"/>
                  <w:sz w:val="18"/>
                  <w:szCs w:val="18"/>
                  <w:color w:val="auto"/>
                  <w:w w:val="96"/>
                </w:rPr>
                <w:t>152</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62">
              <w:r>
                <w:rPr>
                  <w:rFonts w:ascii="Times New Roman" w:cs="Times New Roman" w:eastAsia="Times New Roman" w:hAnsi="Times New Roman"/>
                  <w:sz w:val="18"/>
                  <w:szCs w:val="18"/>
                  <w:u w:val="single" w:color="auto"/>
                  <w:color w:val="0000FF"/>
                </w:rPr>
                <w:t>Executive Compensation</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62">
              <w:r>
                <w:rPr>
                  <w:rFonts w:ascii="Times New Roman" w:cs="Times New Roman" w:eastAsia="Times New Roman" w:hAnsi="Times New Roman"/>
                  <w:sz w:val="18"/>
                  <w:szCs w:val="18"/>
                  <w:color w:val="auto"/>
                  <w:w w:val="96"/>
                </w:rPr>
                <w:t>158</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80">
              <w:r>
                <w:rPr>
                  <w:rFonts w:ascii="Times New Roman" w:cs="Times New Roman" w:eastAsia="Times New Roman" w:hAnsi="Times New Roman"/>
                  <w:sz w:val="18"/>
                  <w:szCs w:val="18"/>
                  <w:u w:val="single" w:color="auto"/>
                  <w:color w:val="0000FF"/>
                </w:rPr>
                <w:t>Certain Relationships and Related Person Transactions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80">
              <w:r>
                <w:rPr>
                  <w:rFonts w:ascii="Times New Roman" w:cs="Times New Roman" w:eastAsia="Times New Roman" w:hAnsi="Times New Roman"/>
                  <w:sz w:val="18"/>
                  <w:szCs w:val="18"/>
                  <w:color w:val="auto"/>
                  <w:w w:val="96"/>
                </w:rPr>
                <w:t>176</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88">
              <w:r>
                <w:rPr>
                  <w:rFonts w:ascii="Times New Roman" w:cs="Times New Roman" w:eastAsia="Times New Roman" w:hAnsi="Times New Roman"/>
                  <w:sz w:val="18"/>
                  <w:szCs w:val="18"/>
                  <w:u w:val="single" w:color="auto"/>
                  <w:color w:val="0000FF"/>
                </w:rPr>
                <w:t>Principal Stockholders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88">
              <w:r>
                <w:rPr>
                  <w:rFonts w:ascii="Times New Roman" w:cs="Times New Roman" w:eastAsia="Times New Roman" w:hAnsi="Times New Roman"/>
                  <w:sz w:val="18"/>
                  <w:szCs w:val="18"/>
                  <w:color w:val="auto"/>
                  <w:w w:val="96"/>
                </w:rPr>
                <w:t>184</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92">
              <w:r>
                <w:rPr>
                  <w:rFonts w:ascii="Times New Roman" w:cs="Times New Roman" w:eastAsia="Times New Roman" w:hAnsi="Times New Roman"/>
                  <w:sz w:val="18"/>
                  <w:szCs w:val="18"/>
                  <w:u w:val="single" w:color="auto"/>
                  <w:color w:val="0000FF"/>
                </w:rPr>
                <w:t>Description of Certain Indebtedness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92">
              <w:r>
                <w:rPr>
                  <w:rFonts w:ascii="Times New Roman" w:cs="Times New Roman" w:eastAsia="Times New Roman" w:hAnsi="Times New Roman"/>
                  <w:sz w:val="18"/>
                  <w:szCs w:val="18"/>
                  <w:color w:val="auto"/>
                  <w:w w:val="96"/>
                </w:rPr>
                <w:t>188</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195">
              <w:r>
                <w:rPr>
                  <w:rFonts w:ascii="Times New Roman" w:cs="Times New Roman" w:eastAsia="Times New Roman" w:hAnsi="Times New Roman"/>
                  <w:sz w:val="18"/>
                  <w:szCs w:val="18"/>
                  <w:u w:val="single" w:color="auto"/>
                  <w:color w:val="0000FF"/>
                </w:rPr>
                <w:t>Description of Capital Stock</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195">
              <w:r>
                <w:rPr>
                  <w:rFonts w:ascii="Times New Roman" w:cs="Times New Roman" w:eastAsia="Times New Roman" w:hAnsi="Times New Roman"/>
                  <w:sz w:val="18"/>
                  <w:szCs w:val="18"/>
                  <w:color w:val="auto"/>
                  <w:w w:val="96"/>
                </w:rPr>
                <w:t>191</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04">
              <w:r>
                <w:rPr>
                  <w:rFonts w:ascii="Times New Roman" w:cs="Times New Roman" w:eastAsia="Times New Roman" w:hAnsi="Times New Roman"/>
                  <w:sz w:val="18"/>
                  <w:szCs w:val="18"/>
                  <w:u w:val="single" w:color="auto"/>
                  <w:color w:val="0000FF"/>
                </w:rPr>
                <w:t>Certain U.S. Federal Income and Estate Tax Consequences to Non-U.S. Holders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04">
              <w:r>
                <w:rPr>
                  <w:rFonts w:ascii="Times New Roman" w:cs="Times New Roman" w:eastAsia="Times New Roman" w:hAnsi="Times New Roman"/>
                  <w:sz w:val="18"/>
                  <w:szCs w:val="18"/>
                  <w:color w:val="auto"/>
                  <w:w w:val="96"/>
                </w:rPr>
                <w:t>200</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07">
              <w:r>
                <w:rPr>
                  <w:rFonts w:ascii="Times New Roman" w:cs="Times New Roman" w:eastAsia="Times New Roman" w:hAnsi="Times New Roman"/>
                  <w:sz w:val="18"/>
                  <w:szCs w:val="18"/>
                  <w:u w:val="single" w:color="auto"/>
                  <w:color w:val="0000FF"/>
                </w:rPr>
                <w:t>Shares Eligible for Future Sale</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07">
              <w:r>
                <w:rPr>
                  <w:rFonts w:ascii="Times New Roman" w:cs="Times New Roman" w:eastAsia="Times New Roman" w:hAnsi="Times New Roman"/>
                  <w:sz w:val="18"/>
                  <w:szCs w:val="18"/>
                  <w:color w:val="auto"/>
                  <w:w w:val="96"/>
                </w:rPr>
                <w:t>203</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10">
              <w:r>
                <w:rPr>
                  <w:rFonts w:ascii="Times New Roman" w:cs="Times New Roman" w:eastAsia="Times New Roman" w:hAnsi="Times New Roman"/>
                  <w:sz w:val="18"/>
                  <w:szCs w:val="18"/>
                  <w:u w:val="single" w:color="auto"/>
                  <w:color w:val="0000FF"/>
                </w:rPr>
                <w:t>Plan of Distribution</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10">
              <w:r>
                <w:rPr>
                  <w:rFonts w:ascii="Times New Roman" w:cs="Times New Roman" w:eastAsia="Times New Roman" w:hAnsi="Times New Roman"/>
                  <w:sz w:val="18"/>
                  <w:szCs w:val="18"/>
                  <w:color w:val="auto"/>
                  <w:w w:val="96"/>
                </w:rPr>
                <w:t>206</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11">
              <w:r>
                <w:rPr>
                  <w:rFonts w:ascii="Times New Roman" w:cs="Times New Roman" w:eastAsia="Times New Roman" w:hAnsi="Times New Roman"/>
                  <w:sz w:val="18"/>
                  <w:szCs w:val="18"/>
                  <w:u w:val="single" w:color="auto"/>
                  <w:color w:val="0000FF"/>
                </w:rPr>
                <w:t>Legal Matters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11">
              <w:r>
                <w:rPr>
                  <w:rFonts w:ascii="Times New Roman" w:cs="Times New Roman" w:eastAsia="Times New Roman" w:hAnsi="Times New Roman"/>
                  <w:sz w:val="18"/>
                  <w:szCs w:val="18"/>
                  <w:color w:val="auto"/>
                  <w:w w:val="96"/>
                </w:rPr>
                <w:t>207</w:t>
              </w:r>
            </w:hyperlink>
          </w:p>
        </w:tc>
      </w:tr>
      <w:tr>
        <w:trPr>
          <w:trHeight w:val="23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12">
              <w:r>
                <w:rPr>
                  <w:rFonts w:ascii="Times New Roman" w:cs="Times New Roman" w:eastAsia="Times New Roman" w:hAnsi="Times New Roman"/>
                  <w:sz w:val="18"/>
                  <w:szCs w:val="18"/>
                  <w:u w:val="single" w:color="auto"/>
                  <w:color w:val="0000FF"/>
                </w:rPr>
                <w:t>Experts</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12">
              <w:r>
                <w:rPr>
                  <w:rFonts w:ascii="Times New Roman" w:cs="Times New Roman" w:eastAsia="Times New Roman" w:hAnsi="Times New Roman"/>
                  <w:sz w:val="18"/>
                  <w:szCs w:val="18"/>
                  <w:color w:val="auto"/>
                  <w:w w:val="96"/>
                </w:rPr>
                <w:t>207</w:t>
              </w:r>
            </w:hyperlink>
          </w:p>
        </w:tc>
      </w:tr>
      <w:tr>
        <w:trPr>
          <w:trHeight w:val="229"/>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12">
              <w:r>
                <w:rPr>
                  <w:rFonts w:ascii="Times New Roman" w:cs="Times New Roman" w:eastAsia="Times New Roman" w:hAnsi="Times New Roman"/>
                  <w:sz w:val="18"/>
                  <w:szCs w:val="18"/>
                  <w:u w:val="single" w:color="auto"/>
                  <w:color w:val="0000FF"/>
                </w:rPr>
                <w:t>Where You Can Find More Information</w:t>
              </w:r>
            </w:hyperlink>
          </w:p>
        </w:tc>
        <w:tc>
          <w:tcPr>
            <w:tcW w:w="780" w:type="dxa"/>
            <w:vAlign w:val="bottom"/>
          </w:tcPr>
          <w:p>
            <w:pPr>
              <w:jc w:val="center"/>
              <w:spacing w:after="0"/>
              <w:rPr>
                <w:rFonts w:ascii="Times New Roman" w:cs="Times New Roman" w:eastAsia="Times New Roman" w:hAnsi="Times New Roman"/>
                <w:sz w:val="18"/>
                <w:szCs w:val="18"/>
                <w:color w:val="auto"/>
                <w:w w:val="96"/>
              </w:rPr>
            </w:pPr>
            <w:hyperlink w:anchor="page212">
              <w:r>
                <w:rPr>
                  <w:rFonts w:ascii="Times New Roman" w:cs="Times New Roman" w:eastAsia="Times New Roman" w:hAnsi="Times New Roman"/>
                  <w:sz w:val="18"/>
                  <w:szCs w:val="18"/>
                  <w:color w:val="auto"/>
                  <w:w w:val="96"/>
                </w:rPr>
                <w:t>207</w:t>
              </w:r>
            </w:hyperlink>
          </w:p>
        </w:tc>
      </w:tr>
      <w:tr>
        <w:trPr>
          <w:trHeight w:val="234"/>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212">
              <w:r>
                <w:rPr>
                  <w:rFonts w:ascii="Times New Roman" w:cs="Times New Roman" w:eastAsia="Times New Roman" w:hAnsi="Times New Roman"/>
                  <w:sz w:val="18"/>
                  <w:szCs w:val="18"/>
                  <w:u w:val="single" w:color="auto"/>
                  <w:color w:val="0000FF"/>
                </w:rPr>
                <w:t>Index to Financial Statements</w:t>
              </w:r>
            </w:hyperlink>
          </w:p>
        </w:tc>
        <w:tc>
          <w:tcPr>
            <w:tcW w:w="780" w:type="dxa"/>
            <w:vAlign w:val="bottom"/>
          </w:tcPr>
          <w:p>
            <w:pPr>
              <w:jc w:val="center"/>
              <w:spacing w:after="0"/>
              <w:rPr>
                <w:rFonts w:ascii="Times New Roman" w:cs="Times New Roman" w:eastAsia="Times New Roman" w:hAnsi="Times New Roman"/>
                <w:sz w:val="18"/>
                <w:szCs w:val="18"/>
                <w:color w:val="auto"/>
              </w:rPr>
            </w:pPr>
            <w:hyperlink w:anchor="page212">
              <w:r>
                <w:rPr>
                  <w:rFonts w:ascii="Times New Roman" w:cs="Times New Roman" w:eastAsia="Times New Roman" w:hAnsi="Times New Roman"/>
                  <w:sz w:val="18"/>
                  <w:szCs w:val="18"/>
                  <w:color w:val="auto"/>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111125</wp:posOffset>
            </wp:positionV>
            <wp:extent cx="141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amendment or supplement to this prospectus, or any free writing prospectus we may authorize to be delivered or made available to you. This prospectus is an offer to issue upon exchange shares of Class A common stock registered hereby, but only under the circumstances and in jurisdictions where it is lawful to do so. We have not authorized anyone to provide you with information different from that contained in this prospectus, any amendment or supplement to this prospectus, or any free writing prospectus prepared by us or on our behalf. We do not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issuance of shares of our Class A common stock. Our business, financial condition, results of operations, and prospects may have changed since that date.</w:t>
      </w:r>
    </w:p>
    <w:p>
      <w:pPr>
        <w:spacing w:after="0" w:line="13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are offering to issue shares of our Class A common stock only in jurisdictions where offers and sales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We have not done anything that would permit this issuance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issuance of the shares of our Class A common stock and the distribution of this prospectus outside the United States.</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requires otherwise:</w:t>
      </w:r>
    </w:p>
    <w:p>
      <w:pPr>
        <w:spacing w:after="0" w:line="17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“22C Capital” refers to investment funds associated with 22C Capital LLC and its predecessor.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Companies” refers to certain of our Pre-IPO OpCo Unitholders that are taxable as corporations for U.S. federal income tax purposes.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refers to investment funds associated with The Carlyle Group.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3" w:right="339" w:bottom="1440" w:gutter="0" w:footer="0" w:header="0"/>
        </w:sectPr>
      </w:pPr>
    </w:p>
    <w:bookmarkStart w:id="3" w:name="page4"/>
    <w:bookmarkEnd w:id="3"/>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HSKB Phantom Unitholders” refers to certain pre-IPO owners who held HSKB Phantom Units prior to, and continue to hold HSKB Phantom Units following, the consummation of the Reorganization Transactions and the IPO Transactions.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record event” refers to receipt of additional information or confirmatory evidence about a contact.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“Datanyze” refers, collectively, to Datanyze, Inc. and Datanyze Rus, LLC.</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Units” refers to the portion of HoldCo Units into which certain existing Class P Units (including, without limitation, certain indirectly held Class P Units) were converted in the Reorganization Transactions.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Tax Receivable Agreement” refers to the tax receivable agreement entered into with certain Pre-IPO OpCo Unitholders.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Henry Schuck, our Chief Executive Officer, and Kirk Brown.</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“HSKB Phantom Units” refers to phantom units awarded pursuant to the HSKB 2019 Phantom Unit Plan.</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“HSKB Units” refers to the class of common units of HSKB.</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29"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3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“NeverBounce” refers to Metrics Delivered LLC.</w:t>
      </w:r>
    </w:p>
    <w:p>
      <w:pPr>
        <w:spacing w:after="0" w:line="17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8"/>
          </w:cols>
          <w:pgMar w:left="652" w:top="1417" w:right="339" w:bottom="1440" w:gutter="0" w:footer="0" w:header="0"/>
        </w:sectPr>
      </w:pPr>
    </w:p>
    <w:bookmarkStart w:id="4" w:name="page5"/>
    <w:bookmarkEnd w:id="4"/>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users” refers to employees or other affiliated persons of a customer that have been granted access to our system under the terms of a contract with a customer.</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Blocker Holders” refers to the pre-IPO owners that held their interests in us through the Blocker Companies immediately prior to the consummation of the IPO.</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Class P Units” refers to Class P Units that were held by Continuing Class P Unitholders prior to the consummation of the Reorganization Transactions and the IPO Transactions and that were not converted into Employee Units in connection with the Reclassification.</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HoldCo Unitholders” refers to the pre-IPO owners that held HoldCo Units immediately prior to the consummation of the IPO.</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OpCo Unitholders” refers to the pre-IPO owners that held OpCo Units immediately prior to the consummation of the IPO.</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owners” refers, collectively, to the Sponsors, the Founders, and the management and other equity holders who were the direct or indirect owners of ZoomInfo OpCo immediately prior to the Transactions (as defined herein).</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“RainKing” refers to Rain King Software, Inc.</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Tax Receivable Agreement” refers to the tax receivable agreement entered into with the Pre-IPO Blocker Holders.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Units” refers to the Series A preferred units of ZoomInfo OpCo outstanding immediately prior to the consummation of the IPO and the use of proceeds therefrom.</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TA Associates, Carlyle, and 22C Capital.</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 Associates” refers to investment funds associated with TA Associates.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agreements” refers, collectively, to the Exchange Tax Receivable Agreement and the Reorganization Tax Receivable Agreement.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34"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HoldCo” refers to ZoomInfo Intermediate Holdings LLC, a Delaware limited liability company, and a direct subsidiary of ZoomInfo Technologies Inc. following the Reorganization Transactions.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97155</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08"/>
          </w:cols>
          <w:pgMar w:left="652" w:top="1417" w:right="339" w:bottom="1440" w:gutter="0" w:footer="0" w:header="0"/>
        </w:sectPr>
      </w:pPr>
    </w:p>
    <w:bookmarkStart w:id="5" w:name="page6"/>
    <w:bookmarkEnd w:id="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48304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you should consider before before deciding to (i) exchange your Pre-IPO Class P Units or (ii) have your HSKB Phantom Units settled for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20"/>
          </w:cols>
          <w:pgMar w:left="840" w:top="1440" w:right="839" w:bottom="1440" w:gutter="0" w:footer="0" w:header="0"/>
        </w:sectPr>
      </w:pPr>
    </w:p>
    <w:bookmarkStart w:id="6" w:name="page7"/>
    <w:bookmarkEnd w:id="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33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Independent of size or industry, we believe our platform can make almost any sales and marketing team more effective and more efficient.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18 customers spending over $1,000,000 in ACV.</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w:t>
      </w:r>
    </w:p>
    <w:p>
      <w:pPr>
        <w:sectPr>
          <w:pgSz w:w="11900" w:h="16838" w:orient="portrait"/>
          <w:cols w:equalWidth="0" w:num="1">
            <w:col w:w="10220"/>
          </w:cols>
          <w:pgMar w:left="84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20"/>
          </w:cols>
          <w:pgMar w:left="840" w:top="1440" w:right="839" w:bottom="1440" w:gutter="0" w:footer="0" w:header="0"/>
          <w:type w:val="continuous"/>
        </w:sectPr>
      </w:pPr>
    </w:p>
    <w:bookmarkStart w:id="7" w:name="page8"/>
    <w:bookmarkEnd w:id="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8"/>
          <w:szCs w:val="18"/>
          <w:color w:val="auto"/>
        </w:rPr>
        <w:t>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 $(72.7)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is Fundamental to Every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Business-to-Business (“B2B”) Sales and Marketing has Changed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is Still Inefficient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4" w:lineRule="exact"/>
        <w:rPr>
          <w:sz w:val="20"/>
          <w:szCs w:val="20"/>
          <w:color w:val="auto"/>
        </w:rPr>
      </w:pPr>
    </w:p>
    <w:p>
      <w:pPr>
        <w:ind w:left="640" w:right="20" w:hanging="324"/>
        <w:spacing w:after="0" w:line="286" w:lineRule="auto"/>
        <w:tabs>
          <w:tab w:leader="none" w:pos="6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find and engage with decision makers. </w:t>
      </w:r>
      <w:r>
        <w:rPr>
          <w:rFonts w:ascii="Times New Roman" w:cs="Times New Roman" w:eastAsia="Times New Roman" w:hAnsi="Times New Roman"/>
          <w:sz w:val="18"/>
          <w:szCs w:val="18"/>
          <w:color w:val="auto"/>
        </w:rPr>
        <w:t>Inaccurate or missing contact information plagues efforts to engage with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of targets quickly and efficiently.</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know when to engage. </w:t>
      </w:r>
      <w:r>
        <w:rPr>
          <w:rFonts w:ascii="Times New Roman" w:cs="Times New Roman" w:eastAsia="Times New Roman" w:hAnsi="Times New Roman"/>
          <w:sz w:val="18"/>
          <w:szCs w:val="18"/>
          <w:color w:val="auto"/>
        </w:rPr>
        <w:t>Sales and marketing professionals need to manually gather information across various sources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when a potential customer intends to make a purchase.</w:t>
      </w:r>
    </w:p>
    <w:p>
      <w:pPr>
        <w:spacing w:after="0" w:line="100" w:lineRule="exact"/>
        <w:rPr>
          <w:rFonts w:ascii="Times New Roman" w:cs="Times New Roman" w:eastAsia="Times New Roman" w:hAnsi="Times New Roman"/>
          <w:sz w:val="18"/>
          <w:szCs w:val="18"/>
          <w:color w:val="auto"/>
        </w:rPr>
      </w:pPr>
    </w:p>
    <w:p>
      <w:pPr>
        <w:ind w:left="640" w:hanging="324"/>
        <w:spacing w:after="0" w:line="286" w:lineRule="auto"/>
        <w:tabs>
          <w:tab w:leader="none" w:pos="6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data-driven way to prioritize targets. </w:t>
      </w:r>
      <w:r>
        <w:rPr>
          <w:rFonts w:ascii="Times New Roman" w:cs="Times New Roman" w:eastAsia="Times New Roman" w:hAnsi="Times New Roman"/>
          <w:sz w:val="18"/>
          <w:szCs w:val="18"/>
          <w:color w:val="auto"/>
        </w:rPr>
        <w:t>Prioritization decisions for sales and marketing resources are often made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intuition, random knowledge gathering, or incomplete and inaccurate data.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w:t>
      </w:r>
    </w:p>
    <w:p>
      <w:pPr>
        <w:sectPr>
          <w:pgSz w:w="11900" w:h="16838" w:orient="portrait"/>
          <w:cols w:equalWidth="0" w:num="1">
            <w:col w:w="10220"/>
          </w:cols>
          <w:pgMar w:left="84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220"/>
          </w:cols>
          <w:pgMar w:left="840" w:top="1440" w:right="839" w:bottom="1440" w:gutter="0" w:footer="0" w:header="0"/>
          <w:type w:val="continuous"/>
        </w:sectPr>
      </w:pPr>
    </w:p>
    <w:bookmarkStart w:id="8" w:name="page9"/>
    <w:bookmarkEnd w:id="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that have implemented some B2B intelligence practices and technology have realized 35% more leads and 45% higher-quality leads, leading to higher revenue and faster growth.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ZoomInfo Platform</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a comprehensive 360-degree view on approximately 14 million companies and over 119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Machine Learning and Artificial Intelligence Technologies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Our Data Sources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 number of data sources, including proprietary sources, that enrich our platform:</w:t>
      </w:r>
    </w:p>
    <w:p>
      <w:pPr>
        <w:spacing w:after="0" w:line="167" w:lineRule="exact"/>
        <w:rPr>
          <w:sz w:val="20"/>
          <w:szCs w:val="20"/>
          <w:color w:val="auto"/>
        </w:rPr>
      </w:pPr>
    </w:p>
    <w:p>
      <w:pPr>
        <w:ind w:left="640" w:hanging="324"/>
        <w:spacing w:after="0" w:line="28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Contributory Network. </w:t>
      </w:r>
      <w:r>
        <w:rPr>
          <w:rFonts w:ascii="Times New Roman" w:cs="Times New Roman" w:eastAsia="Times New Roman" w:hAnsi="Times New Roman"/>
          <w:sz w:val="18"/>
          <w:szCs w:val="18"/>
          <w:color w:val="auto"/>
        </w:rPr>
        <w:t>Our free users and many of our paying customers contribute data that enhances our platform.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contributory network captures data on approximately 50 million contact record events daily.</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Unstructured Public Information. </w:t>
      </w:r>
      <w:r>
        <w:rPr>
          <w:rFonts w:ascii="Times New Roman" w:cs="Times New Roman" w:eastAsia="Times New Roman" w:hAnsi="Times New Roman"/>
          <w:sz w:val="18"/>
          <w:szCs w:val="18"/>
          <w:color w:val="auto"/>
        </w:rPr>
        <w:t>Our patented and proprietary technologies extract and parse unstructured information found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webpages, newsfeeds, blogs, and other public sources, and then match that information with entities that we have previously identified.</w:t>
      </w:r>
    </w:p>
    <w:p>
      <w:pPr>
        <w:spacing w:after="0" w:line="116"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Training Lab. </w:t>
      </w:r>
      <w:r>
        <w:rPr>
          <w:rFonts w:ascii="Times New Roman" w:cs="Times New Roman" w:eastAsia="Times New Roman" w:hAnsi="Times New Roman"/>
          <w:sz w:val="18"/>
          <w:szCs w:val="18"/>
          <w:color w:val="auto"/>
        </w:rPr>
        <w:t>We have developed hundreds of processes, largely automated, to gather information from sources, such as PBX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directories, website traffic and source code, and proprietary surveys.</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Generally Available Information. </w:t>
      </w:r>
      <w:r>
        <w:rPr>
          <w:rFonts w:ascii="Times New Roman" w:cs="Times New Roman" w:eastAsia="Times New Roman" w:hAnsi="Times New Roman"/>
          <w:sz w:val="18"/>
          <w:szCs w:val="18"/>
          <w:color w:val="auto"/>
        </w:rPr>
        <w:t>Our technology adds value to public information and a limited amount of purchased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combining them with our proprietary insights.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Benefits of Our Platform</w:t>
      </w:r>
    </w:p>
    <w:p>
      <w:pPr>
        <w:spacing w:after="0" w:line="171" w:lineRule="exact"/>
        <w:rPr>
          <w:sz w:val="20"/>
          <w:szCs w:val="20"/>
          <w:color w:val="auto"/>
        </w:rPr>
      </w:pPr>
    </w:p>
    <w:p>
      <w:pPr>
        <w:ind w:left="640" w:right="20" w:hanging="324"/>
        <w:spacing w:after="0" w:line="28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and Measurable Revenue Improvement. </w:t>
      </w:r>
      <w:r>
        <w:rPr>
          <w:rFonts w:ascii="Times New Roman" w:cs="Times New Roman" w:eastAsia="Times New Roman" w:hAnsi="Times New Roman"/>
          <w:sz w:val="18"/>
          <w:szCs w:val="18"/>
          <w:color w:val="auto"/>
        </w:rPr>
        <w:t>Our platform increases revenue for our customers who can easily measure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because we integrate with the systems that they use to attribute revenue.</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Unmatched Accuracy, Depth, and Coverage of Data. </w:t>
      </w:r>
      <w:r>
        <w:rPr>
          <w:rFonts w:ascii="Times New Roman" w:cs="Times New Roman" w:eastAsia="Times New Roman" w:hAnsi="Times New Roman"/>
          <w:sz w:val="18"/>
          <w:szCs w:val="18"/>
          <w:color w:val="auto"/>
        </w:rPr>
        <w:t>We are able to provide a guarantee of 95%+ accuracy as a result of our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quality, coupled with proprietary methods to extract, parse, match, and clean data. We do not believe that any other solution provides the depth and breadth of data that we provide on approximately 14 million companies and over 119 million professionals.</w:t>
      </w:r>
    </w:p>
    <w:p>
      <w:pPr>
        <w:spacing w:after="0" w:line="116"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Data Points Drive Valuable Insights. </w:t>
      </w:r>
      <w:r>
        <w:rPr>
          <w:rFonts w:ascii="Times New Roman" w:cs="Times New Roman" w:eastAsia="Times New Roman" w:hAnsi="Times New Roman"/>
          <w:sz w:val="18"/>
          <w:szCs w:val="18"/>
          <w:color w:val="auto"/>
        </w:rPr>
        <w:t>We integrate unique data points that are proprietary to ZoomInfo with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to enrich their information and develop unique insights.</w:t>
      </w:r>
    </w:p>
    <w:p>
      <w:pPr>
        <w:sectPr>
          <w:pgSz w:w="11900" w:h="16838" w:orient="portrait"/>
          <w:cols w:equalWidth="0" w:num="1">
            <w:col w:w="10220"/>
          </w:cols>
          <w:pgMar w:left="84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20"/>
          </w:cols>
          <w:pgMar w:left="840" w:top="1440" w:right="839" w:bottom="1440" w:gutter="0" w:footer="0" w:header="0"/>
          <w:type w:val="continuous"/>
        </w:sectPr>
      </w:pPr>
    </w:p>
    <w:bookmarkStart w:id="9" w:name="page10"/>
    <w:bookmarkEnd w:id="9"/>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19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jc w:val="both"/>
        <w:ind w:left="640" w:hanging="324"/>
        <w:spacing w:after="0" w:line="26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and Automated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insights are available on our cloud-based platform and can also be delivered directly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ind w:left="64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Leader with a Comprehensive Go-to-Market Intelligence Platform. </w:t>
      </w:r>
      <w:r>
        <w:rPr>
          <w:rFonts w:ascii="Times New Roman" w:cs="Times New Roman" w:eastAsia="Times New Roman" w:hAnsi="Times New Roman"/>
          <w:sz w:val="18"/>
          <w:szCs w:val="18"/>
          <w:color w:val="auto"/>
        </w:rPr>
        <w:t>We provide the most accurate and comprehensive go-to-market intelligence platform available.</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Finely Tuned Go-to-Market Model. </w:t>
      </w:r>
      <w:r>
        <w:rPr>
          <w:rFonts w:ascii="Times New Roman" w:cs="Times New Roman" w:eastAsia="Times New Roman" w:hAnsi="Times New Roman"/>
          <w:sz w:val="18"/>
          <w:szCs w:val="18"/>
          <w:color w:val="auto"/>
        </w:rPr>
        <w:t>We utilize the ZoomInfo platform to power our efficient go-to-market motion. For the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2020, our average LTV to average CAC was over 10x.</w:t>
      </w:r>
    </w:p>
    <w:p>
      <w:pPr>
        <w:spacing w:after="0" w:line="100"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High-Velocity Software Development. </w:t>
      </w:r>
      <w:r>
        <w:rPr>
          <w:rFonts w:ascii="Times New Roman" w:cs="Times New Roman" w:eastAsia="Times New Roman" w:hAnsi="Times New Roman"/>
          <w:sz w:val="18"/>
          <w:szCs w:val="18"/>
          <w:color w:val="auto"/>
        </w:rPr>
        <w:t>We foster an innovative, fast-paced engineering culture that enabled the release of 112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features and services in 2019.</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and Significant Network Effects. </w:t>
      </w:r>
      <w:r>
        <w:rPr>
          <w:rFonts w:ascii="Times New Roman" w:cs="Times New Roman" w:eastAsia="Times New Roman" w:hAnsi="Times New Roman"/>
          <w:sz w:val="18"/>
          <w:szCs w:val="18"/>
          <w:color w:val="auto"/>
        </w:rPr>
        <w:t>As our user base grows, so does the data we receive, which enables us to provide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our customers.</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Founder-Led Management Team. </w:t>
      </w:r>
      <w:r>
        <w:rPr>
          <w:rFonts w:ascii="Times New Roman" w:cs="Times New Roman" w:eastAsia="Times New Roman" w:hAnsi="Times New Roman"/>
          <w:sz w:val="18"/>
          <w:szCs w:val="18"/>
          <w:color w:val="auto"/>
        </w:rPr>
        <w:t>Our highly talented, customer-centric senior leadership, led by our co-founder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CEO, Henry Schuck, enables us to rapidly develop new products, move more quickly than our competition, and build our fast-paced, execution-oriented culture.</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estimate the TAM for our platform to be approximately $30 billion, based on data as of September 30, 2020.</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31"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18"/>
          <w:szCs w:val="18"/>
          <w:color w:val="auto"/>
        </w:rPr>
        <w:t>We intend to drive the growth of our business through the following strategies:</w:t>
      </w:r>
    </w:p>
    <w:p>
      <w:pPr>
        <w:spacing w:after="0" w:line="167" w:lineRule="exact"/>
        <w:rPr>
          <w:sz w:val="20"/>
          <w:szCs w:val="20"/>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Continue to Acquire New Customers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Deliver Additional High-Value Solutions to Our Existing Customers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Drive Incremental Penetration Within Enterprises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Leverage Our Platform for Adjacent Use Cases such as Recruiting</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to International Markets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20"/>
          </w:cols>
          <w:pgMar w:left="840" w:top="1440" w:right="839" w:bottom="1440" w:gutter="0" w:footer="0" w:header="0"/>
        </w:sectPr>
      </w:pPr>
    </w:p>
    <w:bookmarkStart w:id="10" w:name="page11"/>
    <w:bookmarkEnd w:id="10"/>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50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8, 2020, we completed the IPO, in which we sold 51,175,000 shares of our Class A common stock at a price to the public of $21.00 per share and received net proceeds of approximately $1,019.6 million after deducting underwriting discount. We used the net proceeds from the IPO to purchase 48,528,783 newly issued HoldCo Units from ZoomInfo HoldCo for approximately $966.9 million (which ZoomInfo HoldCo in turn used to purchase the same number of newly issued OpCo Units from ZoomInfo OpCo), to purchase 2,370,948 OpCo Units from certain Pre-IPO OpCo Unitholders for approximately $47.2 million, and to fund $5.5 million of merger consideration payable to certain Pre-IPO Blocker Holders in connection with the Blocker Mergers. To date, ZoomInfo OpCo used a portion of the proceeds it received through ZoomInfo HoldCo from the IPO (i) to redeem and cancel all outstanding Series A Preferred Units of ZoomInfo OpCo for approximately $274.2 million, including accumulated but unpaid distributions and related prepayment premiums, (ii) to repay the entire aggregate principal amount under our second lien credit agreement for approximately $380.6 million, including related prepayment premiums and accrued interest, (iii) to repay $35.0 million of outstanding borrowings under our first lien revolving credit facility, (iv) to pay certain expenses related to the IPO, and (v) to prepay $100.0 million aggregate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840" w:top="1440" w:right="839" w:bottom="1440" w:gutter="0" w:footer="0" w:header="0"/>
        </w:sectPr>
      </w:pPr>
    </w:p>
    <w:bookmarkStart w:id="11" w:name="page12"/>
    <w:bookmarkEnd w:id="1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lien term loans outstanding under our first lien credit agreement, including accrued interest thereon. ZoomInfo OpCo intends to use the remaining proceeds from the IPO for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of First Lien Credit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17, 2020, we used approximately $101.2 million to prepay $100.0 million aggregate principal amount of the first lien term loans outstanding under our first lien credit agreement, including accrued interest thereon. The prepayment was funded with a portion of the net proceeds received from our IPO. Following the prepayment, as of June 17, 2020, $756.4 million aggregate principal amount of first lien term loans were outstanding under our first lien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24, 2020, certain selling stockholders, including entities affiliated with the Sponsors, completed a secondary offering of 17,179,135 shares of Class A common stock (the “Secondary Offering”) at a price to the public of $37.00 per share. The selling stockholders received all of the net proceeds of approximately $615 million after deducting the underwriting discount.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2020, we acquired substantially all the assets, and certain specified liabilities, of Clickagy, LLC, a leading provider of artificial intelligence-powered buyer intent data. In November 2020, we acquired EverString Technology, LLC, a leading artificial intelligence-powered, B2B data solutions provider. In connection with these acquisitions, we agreed to pay an aggregate cash consideration of approximately $71.5 million, subject to working capital and other customary adjustments, and issued 67,075 shares of unregistered Class A common stock. We funded cash payments made at closing with cash on hand.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22" w:lineRule="exact"/>
        <w:rPr>
          <w:sz w:val="20"/>
          <w:szCs w:val="20"/>
          <w:color w:val="auto"/>
        </w:rPr>
      </w:pPr>
    </w:p>
    <w:p>
      <w:pPr>
        <w:ind w:left="640" w:right="20" w:hanging="324"/>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shifting their existing business models to become more competitive with us;</w:t>
      </w:r>
    </w:p>
    <w:p>
      <w:pPr>
        <w:spacing w:after="0" w:line="171"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or adapt our platform for changes in laws and regulations or public perception, or changes in the enforcement of such laws, relating to data privacy;</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companies more effectively catering to our customers by offering more tailored products or platforms at lower costs;</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reducing spending on sales and marketing;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declining demand for sales and marketing subscription platforms;</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technology and keep up with new processes for data collection, organization, and cleansing;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highly accurate, reliable, and comprehensive platform moving forward;</w:t>
      </w:r>
    </w:p>
    <w:p>
      <w:pPr>
        <w:spacing w:after="0" w:line="171"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systems that we do not control to integrate with our system and our potential inability to continue to support integration;</w:t>
      </w:r>
    </w:p>
    <w:p>
      <w:pPr>
        <w:spacing w:after="0" w:line="107"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research and development potentially limiting introduction of new features, integrations, and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20"/>
          </w:cols>
          <w:pgMar w:left="840" w:top="1440" w:right="839" w:bottom="1440" w:gutter="0" w:footer="0" w:header="0"/>
        </w:sectPr>
      </w:pPr>
    </w:p>
    <w:bookmarkStart w:id="12" w:name="page13"/>
    <w:bookmarkEnd w:id="1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expand existing subscriptions;</w:t>
      </w:r>
    </w:p>
    <w:p>
      <w:pPr>
        <w:spacing w:after="0" w:line="17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impacting the depth, breadth, and accuracy of our platform;</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and maintain our brand and our ability to attract and retain customers;</w:t>
      </w:r>
    </w:p>
    <w:p>
      <w:pPr>
        <w:spacing w:after="0" w:line="17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and maintain effective internal controls over financial reporting;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controlling us and their interests conflicting with ours or yours in the future; and</w:t>
      </w:r>
    </w:p>
    <w:p>
      <w:pPr>
        <w:spacing w:after="0" w:line="17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Please see “Risk Factors” for a discussion of these and other factors you should consider before making an investment in shares of our Class A common stock.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 simplified diagram depicting our current organizational structure, see “Organizational Structure.”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29" w:lineRule="exact"/>
        <w:rPr>
          <w:sz w:val="20"/>
          <w:szCs w:val="20"/>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71" w:lineRule="exact"/>
        <w:rPr>
          <w:rFonts w:ascii="Times New Roman" w:cs="Times New Roman" w:eastAsia="Times New Roman" w:hAnsi="Times New Roman"/>
          <w:sz w:val="18"/>
          <w:szCs w:val="18"/>
          <w:color w:val="auto"/>
        </w:rPr>
      </w:pPr>
    </w:p>
    <w:p>
      <w:pPr>
        <w:jc w:val="both"/>
        <w:ind w:left="640" w:hanging="324"/>
        <w:spacing w:after="0" w:line="25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w:t>
      </w:r>
    </w:p>
    <w:p>
      <w:pPr>
        <w:spacing w:after="0" w:line="2" w:lineRule="exact"/>
        <w:rPr>
          <w:rFonts w:ascii="Times New Roman" w:cs="Times New Roman" w:eastAsia="Times New Roman" w:hAnsi="Times New Roman"/>
          <w:sz w:val="18"/>
          <w:szCs w:val="18"/>
          <w:color w:val="auto"/>
        </w:rPr>
      </w:pPr>
    </w:p>
    <w:p>
      <w:pPr>
        <w:jc w:val="both"/>
        <w:ind w:left="6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shares of Class C common stock of ZoomInfo Technologies Inc. and (ii) a cash amount in respect of reductions in such Pre-IPO Blocker Holders’ equity interests, based on the initial public offering price of the Class A common stock in the IPO (see “Organizational Structure—Blocker Mergers”);</w:t>
      </w:r>
    </w:p>
    <w:p>
      <w:pPr>
        <w:spacing w:after="0" w:line="13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1"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Pursuant to the amended and restated limited liability company agreement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840" w:top="1440" w:right="839" w:bottom="1440" w:gutter="0" w:footer="0" w:header="0"/>
        </w:sectPr>
      </w:pPr>
    </w:p>
    <w:bookmarkStart w:id="13" w:name="page14"/>
    <w:bookmarkEnd w:id="13"/>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61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3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Holders of shares of Class A common stock, upon (i) exchange of Pre-IPO Class P Units or (ii) settlement of HSKB Phantom Units,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840" w:top="1440" w:right="839" w:bottom="1440" w:gutter="0" w:footer="0" w:header="0"/>
        </w:sectPr>
      </w:pPr>
    </w:p>
    <w:bookmarkStart w:id="14" w:name="page15"/>
    <w:bookmarkEnd w:id="1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7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not typically afforded. We do not believe that our UP-C structure gives rise to any significant business or strategic benefit or detriment to us.</w:t>
      </w:r>
    </w:p>
    <w:p>
      <w:pPr>
        <w:spacing w:after="0" w:line="10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described below under “Certain Relationships and Related Person Transactions—Tax Receivable Agreements,” we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3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prospectus) is approximately $344.8 million (assuming a public offering price of $42.99 per share of Class A common stock, which is the last reported sale price of our Class A common stock on the Nasdaq on September 30, 2020). Certain late payments under the tax receivable agreements generally will accrue interest at an uncapped, per annum rate equal to LIBOR (or its successor rate) plus 500 basis points. See “Certain Relationships and Related Person Transactions— Tax Receivable Agreements.”</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a tax sharing agreement with ZoomInfo HoldCo (the “tax sharing agreement”). Pursuant to the tax sharing agreement, ZoomInfo HoldCo is required to make certain payments to us to enable us to pay taxes of the ZoomInfo Tax Group and to meet our obligations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840" w:top="1440" w:right="839" w:bottom="1440" w:gutter="0" w:footer="0" w:header="0"/>
        </w:sectPr>
      </w:pPr>
    </w:p>
    <w:bookmarkStart w:id="15" w:name="page16"/>
    <w:bookmarkEnd w:id="1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684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684770"/>
                    </a:xfrm>
                    <a:prstGeom prst="rect">
                      <a:avLst/>
                    </a:prstGeom>
                    <a:noFill/>
                  </pic:spPr>
                </pic:pic>
              </a:graphicData>
            </a:graphic>
          </wp:anchor>
        </w:drawing>
      </w: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on its consolidated balance sheet and statement of operations.</w:t>
      </w:r>
    </w:p>
    <w:p>
      <w:pPr>
        <w:spacing w:after="0" w:line="133"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The simplified diagram below depicts our organizational structure as of October 31, 2020.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jc w:val="both"/>
        <w:ind w:left="328" w:hanging="328"/>
        <w:spacing w:after="0" w:line="249"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ectPr>
          <w:pgSz w:w="11900" w:h="16838" w:orient="portrait"/>
          <w:cols w:equalWidth="0" w:num="1">
            <w:col w:w="10228"/>
          </w:cols>
          <w:pgMar w:left="832"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28"/>
          </w:cols>
          <w:pgMar w:left="832" w:top="1440" w:right="839" w:bottom="1440" w:gutter="0" w:footer="0" w:header="0"/>
          <w:type w:val="continuous"/>
        </w:sectPr>
      </w:pPr>
    </w:p>
    <w:bookmarkStart w:id="16" w:name="page17"/>
    <w:bookmarkEnd w:id="1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124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124575"/>
                    </a:xfrm>
                    <a:prstGeom prst="rect">
                      <a:avLst/>
                    </a:prstGeom>
                    <a:noFill/>
                  </pic:spPr>
                </pic:pic>
              </a:graphicData>
            </a:graphic>
          </wp:anchor>
        </w:drawing>
      </w:r>
    </w:p>
    <w:p>
      <w:pPr>
        <w:jc w:val="both"/>
        <w:ind w:left="328"/>
        <w:spacing w:after="0" w:line="246" w:lineRule="auto"/>
        <w:rPr>
          <w:sz w:val="20"/>
          <w:szCs w:val="20"/>
          <w:color w:val="auto"/>
        </w:rPr>
      </w:pPr>
      <w:r>
        <w:rPr>
          <w:rFonts w:ascii="Times New Roman" w:cs="Times New Roman" w:eastAsia="Times New Roman" w:hAnsi="Times New Roman"/>
          <w:sz w:val="14"/>
          <w:szCs w:val="14"/>
          <w:color w:val="auto"/>
        </w:rPr>
        <w:t>As of October 31, 2020, the Pre-IPO OpCo Unitholders and the Pre-IPO HoldCo Unitholders held 224,283,503 and 4,204,659 shares of our Class B common stock, respectively, collectively representing 100% of our outstanding Class B common stock, and collectively held 69.9% of the voting power in ZoomInfo Technologies Inc. As of October 31, 2020, the holders of our Class B and Class C common stock collectively held 97.9% of the voting power in ZoomInfo Technologies Inc. For additional information, see “Organizational Structure—Organizational Structure Following the IPO and the Transactions” and “Description of Capital Stock—Common Stock— Class B Common Stock.”</w:t>
      </w:r>
    </w:p>
    <w:p>
      <w:pPr>
        <w:spacing w:after="0" w:line="1" w:lineRule="exact"/>
        <w:rPr>
          <w:sz w:val="20"/>
          <w:szCs w:val="20"/>
          <w:color w:val="auto"/>
        </w:rPr>
      </w:pPr>
    </w:p>
    <w:p>
      <w:pPr>
        <w:jc w:val="both"/>
        <w:ind w:left="328" w:hanging="328"/>
        <w:spacing w:after="0" w:line="24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generally.As of October 31, 2020, the Pre-IPO Blocker Holders held 91,582,353 shares of our Class C common stock, representing 100% of our Class C common stock, and collectively held 28.0% of the voting power in ZoomInfo Technologies Inc. As of October 31, 2020, the holders of our Class B and Class C common stock collectively held 97.9% of the voting power in ZoomInfo Technologies Inc. For additional information, see “Organizational Structure—Organizational Structure Following the IPO and the Transactions” and “Description of Capital Stock—Common Stock—Class C Common Stock.”</w:t>
      </w:r>
    </w:p>
    <w:p>
      <w:pPr>
        <w:spacing w:after="0" w:line="2" w:lineRule="exact"/>
        <w:rPr>
          <w:rFonts w:ascii="Times New Roman" w:cs="Times New Roman" w:eastAsia="Times New Roman" w:hAnsi="Times New Roman"/>
          <w:sz w:val="14"/>
          <w:szCs w:val="14"/>
          <w:color w:val="auto"/>
        </w:rPr>
      </w:pPr>
    </w:p>
    <w:p>
      <w:pPr>
        <w:jc w:val="both"/>
        <w:ind w:left="328" w:hanging="328"/>
        <w:spacing w:after="0" w:line="24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such Pre-IPO Class P Units are fully vested, as of October 31, 2020, 12,291,007 shares of Class A common stock (based on the closing price of our Class A common stock of $37.99 per share as reported on Nasdaq on October 30, 2020) would be issuable upon the exchange of 14,383,955 Pre-IPO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rFonts w:ascii="Times New Roman" w:cs="Times New Roman" w:eastAsia="Times New Roman" w:hAnsi="Times New Roman"/>
          <w:sz w:val="14"/>
          <w:szCs w:val="14"/>
          <w:color w:val="auto"/>
        </w:rPr>
      </w:pPr>
    </w:p>
    <w:p>
      <w:pPr>
        <w:ind w:left="328" w:right="20" w:hanging="328"/>
        <w:spacing w:after="0" w:line="258"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28"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outstanding common stock, OpCo Units, and HoldCo Units as of October 31, 2020 (and does not give effect to the issuance upon exchange of shares of Class A common stock registered hereby) (i) on an actual basis, excluding the conversion of 14,383,955 Pre-IPO Class P Units held by the Continuing Class P Unitholders, which are convertible for 12,291,007 shares of Class A common stock (based on the closing price of our Class A common stock of $37.99 per share as reported on Nasdaq on October 30, 2020) upon vesting, and (ii) on a diluted basis, assuming the conversion of such Pre-IPO Class P Units:</w:t>
      </w:r>
    </w:p>
    <w:p>
      <w:pPr>
        <w:sectPr>
          <w:pgSz w:w="11900" w:h="16838" w:orient="portrait"/>
          <w:cols w:equalWidth="0" w:num="1">
            <w:col w:w="10228"/>
          </w:cols>
          <w:pgMar w:left="832"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 w:right="820"/>
        <w:spacing w:after="0" w:line="330" w:lineRule="auto"/>
        <w:rPr>
          <w:sz w:val="20"/>
          <w:szCs w:val="20"/>
          <w:color w:val="auto"/>
        </w:rPr>
      </w:pPr>
      <w:r>
        <w:rPr>
          <w:rFonts w:ascii="Times New Roman" w:cs="Times New Roman" w:eastAsia="Times New Roman" w:hAnsi="Times New Roman"/>
          <w:sz w:val="14"/>
          <w:szCs w:val="14"/>
          <w:color w:val="auto"/>
        </w:rPr>
        <w:t>Public Stockholders Pre-IPO OpCo Unitholders Pre-IPO HoldCo Unitholders Pre-IPO Blocker Holders ZoomInfo Technologies Inc. ZoomInfo HoldCo</w:t>
      </w:r>
    </w:p>
    <w:p>
      <w:pPr>
        <w:spacing w:after="0" w:line="8"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4"/>
          <w:szCs w:val="14"/>
          <w:color w:val="auto"/>
        </w:rPr>
        <w:t>Total outstanding</w:t>
      </w:r>
    </w:p>
    <w:p>
      <w:pPr>
        <w:spacing w:after="0" w:line="28" w:lineRule="exact"/>
        <w:rPr>
          <w:sz w:val="20"/>
          <w:szCs w:val="20"/>
          <w:color w:val="auto"/>
        </w:rPr>
      </w:pPr>
    </w:p>
    <w:p>
      <w:pPr>
        <w:ind w:left="388" w:hanging="161"/>
        <w:spacing w:after="0" w:line="221" w:lineRule="auto"/>
        <w:rPr>
          <w:sz w:val="20"/>
          <w:szCs w:val="20"/>
          <w:color w:val="auto"/>
        </w:rPr>
      </w:pPr>
      <w:r>
        <w:rPr>
          <w:rFonts w:ascii="Times New Roman" w:cs="Times New Roman" w:eastAsia="Times New Roman" w:hAnsi="Times New Roman"/>
          <w:sz w:val="14"/>
          <w:szCs w:val="14"/>
          <w:color w:val="auto"/>
        </w:rPr>
        <w:t>Total, after giving effect to the conversion of Pre-IPO Class P Units held by Continuing Class P Unitholders</w:t>
      </w:r>
      <w:r>
        <w:rPr>
          <w:rFonts w:ascii="Times New Roman" w:cs="Times New Roman" w:eastAsia="Times New Roman" w:hAnsi="Times New Roman"/>
          <w:sz w:val="9"/>
          <w:szCs w:val="9"/>
          <w:color w:val="auto"/>
        </w:rPr>
        <w:t>(1)</w:t>
      </w:r>
    </w:p>
    <w:p>
      <w:pPr>
        <w:spacing w:after="0" w:line="1" w:lineRule="exact"/>
        <w:rPr>
          <w:sz w:val="20"/>
          <w:szCs w:val="20"/>
          <w:color w:val="auto"/>
        </w:rPr>
      </w:pPr>
    </w:p>
    <w:p>
      <w:pPr>
        <w:jc w:val="both"/>
        <w:ind w:left="388" w:right="100" w:hanging="161"/>
        <w:spacing w:after="0" w:line="221" w:lineRule="auto"/>
        <w:rPr>
          <w:sz w:val="20"/>
          <w:szCs w:val="20"/>
          <w:color w:val="auto"/>
        </w:rPr>
      </w:pPr>
      <w:r>
        <w:rPr>
          <w:rFonts w:ascii="Times New Roman" w:cs="Times New Roman" w:eastAsia="Times New Roman" w:hAnsi="Times New Roman"/>
          <w:sz w:val="14"/>
          <w:szCs w:val="14"/>
          <w:color w:val="auto"/>
        </w:rPr>
        <w:t>Total, after giving further effect to the vesting of employee equity grants under our 2020 Omnibus Incentive Plan</w:t>
      </w:r>
      <w:r>
        <w:rPr>
          <w:rFonts w:ascii="Times New Roman" w:cs="Times New Roman" w:eastAsia="Times New Roman" w:hAnsi="Times New Roman"/>
          <w:sz w:val="9"/>
          <w:szCs w:val="9"/>
          <w:color w:val="auto"/>
        </w:rPr>
        <w:t>(2)</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3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28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Class C Common</w:t>
            </w:r>
          </w:p>
        </w:tc>
        <w:tc>
          <w:tcPr>
            <w:tcW w:w="12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8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69,240,501</w:t>
            </w: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69,240,501</w:t>
            </w: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224,283,503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224,283,503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224,283,503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4,204,659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4,204,659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160,822,854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165,027,513</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69,240,501</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389,311,016</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165,027,513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389,311,016</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81,531,508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401,602,023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177,318,520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401,602,023</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83,069,800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403,140,315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178,856,812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403,140,315</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2508" w:space="120"/>
            <w:col w:w="7600"/>
          </w:cols>
          <w:pgMar w:left="832" w:top="1440" w:right="839" w:bottom="1440" w:gutter="0" w:footer="0" w:header="0"/>
          <w:type w:val="continuous"/>
        </w:sectPr>
      </w:pPr>
    </w:p>
    <w:p>
      <w:pPr>
        <w:ind w:left="328" w:right="20" w:hanging="328"/>
        <w:spacing w:after="0" w:line="241" w:lineRule="auto"/>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of any Pre-IPO Class P Unit for a share of Class A common stock, one OpCo Unit will be issued to ZoomInfo HoldCo and one HoldCo Unit will be issued to ZoomInfo Technologies Inc.</w:t>
      </w:r>
    </w:p>
    <w:p>
      <w:pPr>
        <w:jc w:val="both"/>
        <w:ind w:left="328" w:hanging="328"/>
        <w:spacing w:after="0" w:line="249" w:lineRule="auto"/>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28"/>
          </w:cols>
          <w:pgMar w:left="832" w:top="1440" w:right="839" w:bottom="1440" w:gutter="0" w:footer="0" w:header="0"/>
          <w:type w:val="continuous"/>
        </w:sectPr>
      </w:pPr>
    </w:p>
    <w:bookmarkStart w:id="17" w:name="page18"/>
    <w:bookmarkEnd w:id="1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45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145020"/>
                    </a:xfrm>
                    <a:prstGeom prst="rect">
                      <a:avLst/>
                    </a:prstGeom>
                    <a:noFill/>
                  </pic:spPr>
                </pic:pic>
              </a:graphicData>
            </a:graphic>
          </wp:anchor>
        </w:drawing>
      </w: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as of October 31, 2020 (and does not give effect to the issuance upon exchange of shares of Class A common stock registered hereby):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 Owned</w:t>
            </w:r>
            <w:r>
              <w:rPr>
                <w:rFonts w:ascii="Times New Roman" w:cs="Times New Roman" w:eastAsia="Times New Roman" w:hAnsi="Times New Roman"/>
                <w:sz w:val="9"/>
                <w:szCs w:val="9"/>
                <w:b w:val="1"/>
                <w:bCs w:val="1"/>
                <w:color w:val="auto"/>
              </w:rPr>
              <w:t>(1)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9"/>
                <w:szCs w:val="9"/>
                <w:b w:val="1"/>
                <w:bCs w:val="1"/>
                <w:color w:val="auto"/>
              </w:rPr>
              <w:t>(2)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9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234,501,949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2,345,019,490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Founders</w:t>
            </w:r>
            <w:r>
              <w:rPr>
                <w:rFonts w:ascii="Times New Roman" w:cs="Times New Roman" w:eastAsia="Times New Roman" w:hAnsi="Times New Roman"/>
                <w:sz w:val="23"/>
                <w:szCs w:val="23"/>
                <w:color w:val="auto"/>
                <w:vertAlign w:val="superscript"/>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66,011,392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660,113,920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Others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19,557,174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195,571,740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 Stockholders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69,240,501</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69,240,501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389,311,016</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3,269,945,651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40" w:hanging="328"/>
        <w:spacing w:after="0" w:line="24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1" w:lineRule="exact"/>
        <w:rPr>
          <w:rFonts w:ascii="Times New Roman" w:cs="Times New Roman" w:eastAsia="Times New Roman" w:hAnsi="Times New Roman"/>
          <w:sz w:val="14"/>
          <w:szCs w:val="14"/>
          <w:color w:val="auto"/>
        </w:rPr>
      </w:pPr>
    </w:p>
    <w:p>
      <w:pPr>
        <w:ind w:left="340" w:right="20" w:hanging="328"/>
        <w:spacing w:after="0" w:line="24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40" w:hanging="328"/>
        <w:spacing w:after="0" w:line="245"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Stockholders” for additional information.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jc w:val="both"/>
        <w:ind w:left="20" w:firstLine="324"/>
        <w:spacing w:after="0" w:line="281"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10" w:lineRule="exact"/>
        <w:rPr>
          <w:sz w:val="20"/>
          <w:szCs w:val="20"/>
          <w:color w:val="auto"/>
        </w:rPr>
      </w:pPr>
    </w:p>
    <w:p>
      <w:pPr>
        <w:jc w:val="both"/>
        <w:ind w:left="660" w:hanging="324"/>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1"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(“SOX”);</w:t>
      </w:r>
    </w:p>
    <w:p>
      <w:pPr>
        <w:spacing w:after="0" w:line="107" w:lineRule="exact"/>
        <w:rPr>
          <w:rFonts w:ascii="Times New Roman" w:cs="Times New Roman" w:eastAsia="Times New Roman" w:hAnsi="Times New Roman"/>
          <w:sz w:val="18"/>
          <w:szCs w:val="18"/>
          <w:color w:val="auto"/>
        </w:rPr>
      </w:pPr>
    </w:p>
    <w:p>
      <w:pPr>
        <w:ind w:left="660" w:hanging="324"/>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107" w:lineRule="exact"/>
        <w:rPr>
          <w:rFonts w:ascii="Times New Roman" w:cs="Times New Roman" w:eastAsia="Times New Roman" w:hAnsi="Times New Roman"/>
          <w:sz w:val="18"/>
          <w:szCs w:val="18"/>
          <w:color w:val="auto"/>
        </w:rPr>
      </w:pPr>
    </w:p>
    <w:p>
      <w:pPr>
        <w:jc w:val="both"/>
        <w:ind w:left="660" w:hanging="324"/>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1" w:lineRule="exact"/>
        <w:rPr>
          <w:rFonts w:ascii="Times New Roman" w:cs="Times New Roman" w:eastAsia="Times New Roman" w:hAnsi="Times New Roman"/>
          <w:sz w:val="18"/>
          <w:szCs w:val="18"/>
          <w:color w:val="auto"/>
        </w:rPr>
      </w:pPr>
    </w:p>
    <w:p>
      <w:pPr>
        <w:ind w:left="660" w:hanging="324"/>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71" w:lineRule="exact"/>
        <w:rPr>
          <w:sz w:val="20"/>
          <w:szCs w:val="20"/>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that follows the fifth anniversary of the completion of the IPO;</w:t>
      </w:r>
    </w:p>
    <w:p>
      <w:pPr>
        <w:spacing w:after="0" w:line="17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at least $1.07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40"/>
          </w:cols>
          <w:pgMar w:left="820" w:top="1440" w:right="839" w:bottom="1440" w:gutter="0" w:footer="0" w:header="0"/>
        </w:sectPr>
      </w:pPr>
    </w:p>
    <w:bookmarkStart w:id="18" w:name="page19"/>
    <w:bookmarkEnd w:id="1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ind w:left="640" w:hanging="324"/>
        <w:spacing w:after="0" w:line="28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as defined in the Securities Exchange Act of 1934, as amended (the “Exchange Act”); and</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over a three-year period.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section titled “Risk Factors—Risks Related to Ownership of Our Class A Common Stock—We are an “emerging growth company,” and the reduced disclosure requirements applicable to emerging growth companies may make our Class A common stock less attractive to investors.”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Sponsors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 Associates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Carlyle Group</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Carlyle Group Inc. (NASDAQ: CG) is a global investment firm with deep industry expertise that deploys private capital across four business segments: Corporate Private Equity, Real Assets, Global Credit, and Investment Solutions. With $230 billion of assets under management as of September 30, 2020, The Carlyle Group’s purpose is to invest wisely and create value on behalf of its investors, portfolio companies, and the communities in which they invest. The Carlyle Group is a leading private equity investor having completed more than 660 Corporate Private Equity transactions representing over $109 billion in equity investments, with particular strength in technology, business services, and communications sectors, which represent over 280 investments and $33 billion of equity invested. The Carlyle Group employs more than 1,800 people in 30 offices across six continents.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22C Capital</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2020, the parties to our stockholders agreement beneficially owned approximately 89.0% of the combined voting power of our Class A, Class B, and Class C common stock, with each share of Class A</w:t>
      </w:r>
    </w:p>
    <w:p>
      <w:pPr>
        <w:sectPr>
          <w:pgSz w:w="11900" w:h="16838" w:orient="portrait"/>
          <w:cols w:equalWidth="0" w:num="1">
            <w:col w:w="10220"/>
          </w:cols>
          <w:pgMar w:left="84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840" w:top="1440" w:right="839" w:bottom="1440" w:gutter="0" w:footer="0" w:header="0"/>
          <w:type w:val="continuous"/>
        </w:sectPr>
      </w:pPr>
    </w:p>
    <w:bookmarkStart w:id="19" w:name="page20"/>
    <w:bookmarkEnd w:id="1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447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are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 xml:space="preserve">Solely for convenience, the trademarks, service marks, and trade names referred to in this prospectus are used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840" w:top="1440" w:right="8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77" w:lineRule="exact"/>
        <w:rPr>
          <w:sz w:val="20"/>
          <w:szCs w:val="20"/>
          <w:color w:val="auto"/>
        </w:rPr>
      </w:pPr>
    </w:p>
    <w:p>
      <w:pPr>
        <w:ind w:left="340" w:right="40" w:hanging="323"/>
        <w:spacing w:after="0" w:line="237" w:lineRule="auto"/>
        <w:rPr>
          <w:sz w:val="20"/>
          <w:szCs w:val="20"/>
          <w:color w:val="auto"/>
        </w:rPr>
      </w:pPr>
      <w:r>
        <w:rPr>
          <w:rFonts w:ascii="Times New Roman" w:cs="Times New Roman" w:eastAsia="Times New Roman" w:hAnsi="Times New Roman"/>
          <w:sz w:val="18"/>
          <w:szCs w:val="18"/>
          <w:color w:val="auto"/>
        </w:rPr>
        <w:t>Class A common stock registered hereby to be issued upon exchange or settlement</w:t>
      </w:r>
    </w:p>
    <w:p>
      <w:pPr>
        <w:spacing w:after="0" w:line="226" w:lineRule="exact"/>
        <w:rPr>
          <w:sz w:val="20"/>
          <w:szCs w:val="20"/>
          <w:color w:val="auto"/>
        </w:rPr>
      </w:pPr>
    </w:p>
    <w:p>
      <w:pPr>
        <w:jc w:val="both"/>
        <w:ind w:left="340" w:hanging="323"/>
        <w:spacing w:after="0" w:line="226" w:lineRule="auto"/>
        <w:rPr>
          <w:sz w:val="20"/>
          <w:szCs w:val="20"/>
          <w:color w:val="auto"/>
        </w:rPr>
      </w:pPr>
      <w:r>
        <w:rPr>
          <w:rFonts w:ascii="Times New Roman" w:cs="Times New Roman" w:eastAsia="Times New Roman" w:hAnsi="Times New Roman"/>
          <w:sz w:val="18"/>
          <w:szCs w:val="18"/>
          <w:color w:val="auto"/>
        </w:rPr>
        <w:t>Class A common stock outstanding as of October 31, 2020 after giving effect to the issuance of all of the shares of Class A common stock registered hereby</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-332740</wp:posOffset>
            </wp:positionV>
            <wp:extent cx="7136130" cy="3810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38100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7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Up to 4,500,000 shares (all of these shares are restricted from being exchanged until December 5, 2020 pursuant to the limited liability company agreement of ZoomInfo OpCo or ZoomInfo HoldCo, as applicable.)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73,740,501 shares</w:t>
      </w:r>
    </w:p>
    <w:p>
      <w:pPr>
        <w:spacing w:after="0" w:line="64" w:lineRule="exact"/>
        <w:rPr>
          <w:sz w:val="20"/>
          <w:szCs w:val="20"/>
          <w:color w:val="auto"/>
        </w:rPr>
      </w:pPr>
    </w:p>
    <w:p>
      <w:pPr>
        <w:sectPr>
          <w:pgSz w:w="11900" w:h="16838" w:orient="portrait"/>
          <w:cols w:equalWidth="0" w:num="2">
            <w:col w:w="4300" w:space="180"/>
            <w:col w:w="5680"/>
          </w:cols>
          <w:pgMar w:left="840" w:top="1440" w:right="8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Class A common stock outstanding after giving effect to the</w:t>
      </w:r>
    </w:p>
    <w:p>
      <w:pPr>
        <w:ind w:left="340"/>
        <w:spacing w:after="0" w:line="203" w:lineRule="auto"/>
        <w:rPr>
          <w:sz w:val="20"/>
          <w:szCs w:val="20"/>
          <w:color w:val="auto"/>
        </w:rPr>
      </w:pPr>
      <w:r>
        <w:rPr>
          <w:rFonts w:ascii="Times New Roman" w:cs="Times New Roman" w:eastAsia="Times New Roman" w:hAnsi="Times New Roman"/>
          <w:sz w:val="18"/>
          <w:szCs w:val="18"/>
          <w:color w:val="auto"/>
        </w:rPr>
        <w:t>issuance of all of the shares of Class A common stock</w:t>
      </w:r>
    </w:p>
    <w:p>
      <w:pPr>
        <w:ind w:left="340"/>
        <w:spacing w:after="0" w:line="203" w:lineRule="auto"/>
        <w:rPr>
          <w:sz w:val="20"/>
          <w:szCs w:val="20"/>
          <w:color w:val="auto"/>
        </w:rPr>
      </w:pPr>
      <w:r>
        <w:rPr>
          <w:rFonts w:ascii="Times New Roman" w:cs="Times New Roman" w:eastAsia="Times New Roman" w:hAnsi="Times New Roman"/>
          <w:sz w:val="18"/>
          <w:szCs w:val="18"/>
          <w:color w:val="auto"/>
        </w:rPr>
        <w:t>registered hereby and assuming the exchange of all</w:t>
      </w:r>
    </w:p>
    <w:p>
      <w:pPr>
        <w:ind w:left="340"/>
        <w:spacing w:after="0" w:line="204" w:lineRule="auto"/>
        <w:rPr>
          <w:sz w:val="20"/>
          <w:szCs w:val="20"/>
          <w:color w:val="auto"/>
        </w:rPr>
      </w:pPr>
      <w:r>
        <w:rPr>
          <w:rFonts w:ascii="Times New Roman" w:cs="Times New Roman" w:eastAsia="Times New Roman" w:hAnsi="Times New Roman"/>
          <w:sz w:val="18"/>
          <w:szCs w:val="18"/>
          <w:color w:val="auto"/>
        </w:rPr>
        <w:t>OpCo Units and HoldCo Units held by the Pre-IPO</w:t>
      </w:r>
    </w:p>
    <w:p>
      <w:pPr>
        <w:ind w:left="340"/>
        <w:spacing w:after="0" w:line="203" w:lineRule="auto"/>
        <w:rPr>
          <w:sz w:val="20"/>
          <w:szCs w:val="20"/>
          <w:color w:val="auto"/>
        </w:rPr>
      </w:pPr>
      <w:r>
        <w:rPr>
          <w:rFonts w:ascii="Times New Roman" w:cs="Times New Roman" w:eastAsia="Times New Roman" w:hAnsi="Times New Roman"/>
          <w:sz w:val="18"/>
          <w:szCs w:val="18"/>
          <w:color w:val="auto"/>
        </w:rPr>
        <w:t>OpCo Unitholders and the Pre-IPO HoldCo Unitholders,</w:t>
      </w:r>
    </w:p>
    <w:p>
      <w:pPr>
        <w:ind w:left="340"/>
        <w:spacing w:after="0" w:line="204" w:lineRule="auto"/>
        <w:rPr>
          <w:sz w:val="20"/>
          <w:szCs w:val="20"/>
          <w:color w:val="auto"/>
        </w:rPr>
      </w:pPr>
      <w:r>
        <w:rPr>
          <w:rFonts w:ascii="Times New Roman" w:cs="Times New Roman" w:eastAsia="Times New Roman" w:hAnsi="Times New Roman"/>
          <w:sz w:val="18"/>
          <w:szCs w:val="18"/>
          <w:color w:val="auto"/>
        </w:rPr>
        <w:t>respectively, and conversion of all Class C common</w:t>
      </w:r>
    </w:p>
    <w:p>
      <w:pPr>
        <w:ind w:left="340"/>
        <w:spacing w:after="0"/>
        <w:rPr>
          <w:sz w:val="20"/>
          <w:szCs w:val="20"/>
          <w:color w:val="auto"/>
        </w:rPr>
      </w:pPr>
      <w:r>
        <w:rPr>
          <w:rFonts w:ascii="Times New Roman" w:cs="Times New Roman" w:eastAsia="Times New Roman" w:hAnsi="Times New Roman"/>
          <w:sz w:val="18"/>
          <w:szCs w:val="18"/>
          <w:color w:val="auto"/>
        </w:rPr>
        <w:t>stock, in each case as outstanding as of October 31, 2020 393,310,046 shares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held by all holders of Class A common stock</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outstanding as of October 31, 2020 after giving effect to</w:t>
            </w: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the issuance of all of the shares of Class A common</w:t>
            </w:r>
          </w:p>
        </w:tc>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registered hereby</w:t>
            </w:r>
          </w:p>
        </w:tc>
        <w:tc>
          <w:tcPr>
            <w:tcW w:w="5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held by our pre-IPO owners as of October 31,</w:t>
            </w:r>
          </w:p>
        </w:tc>
        <w:tc>
          <w:tcPr>
            <w:tcW w:w="5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2020 after giving effect to the issuance of all of the</w:t>
            </w:r>
          </w:p>
        </w:tc>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4"/>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of Class A common stock registered hereby</w:t>
            </w:r>
          </w:p>
        </w:tc>
        <w:tc>
          <w:tcPr>
            <w:tcW w:w="5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We will not receive any cash proceeds from the issuance of any of the shares</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Class A common stock registered hereby. See “Use of Proceeds.”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60"/>
          </w:cols>
          <w:pgMar w:left="840" w:top="1440" w:right="899" w:bottom="1440" w:gutter="0" w:footer="0" w:header="0"/>
          <w:type w:val="continuous"/>
        </w:sectPr>
      </w:pPr>
    </w:p>
    <w:bookmarkStart w:id="21" w:name="page22"/>
    <w:bookmarkEnd w:id="21"/>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rights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 voted on by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-489585</wp:posOffset>
            </wp:positionV>
            <wp:extent cx="7136130" cy="512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3760" w:space="720"/>
            <w:col w:w="5720"/>
          </w:cols>
          <w:pgMar w:left="840" w:top="1440" w:right="859" w:bottom="1440" w:gutter="0" w:footer="0" w:header="0"/>
        </w:sectPr>
      </w:pPr>
    </w:p>
    <w:p>
      <w:pPr>
        <w:jc w:val="both"/>
        <w:ind w:left="4480"/>
        <w:spacing w:after="0" w:line="207"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11" w:lineRule="exact"/>
        <w:rPr>
          <w:sz w:val="20"/>
          <w:szCs w:val="20"/>
          <w:color w:val="auto"/>
        </w:rPr>
      </w:pPr>
    </w:p>
    <w:p>
      <w:pPr>
        <w:jc w:val="both"/>
        <w:ind w:left="4480" w:right="20"/>
        <w:spacing w:after="0" w:line="220" w:lineRule="auto"/>
        <w:rPr>
          <w:sz w:val="20"/>
          <w:szCs w:val="20"/>
          <w:color w:val="auto"/>
        </w:rPr>
      </w:pPr>
      <w:r>
        <w:rPr>
          <w:rFonts w:ascii="Times New Roman" w:cs="Times New Roman" w:eastAsia="Times New Roman" w:hAnsi="Times New Roman"/>
          <w:sz w:val="18"/>
          <w:szCs w:val="18"/>
          <w:color w:val="auto"/>
        </w:rPr>
        <w:t>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ectPr>
          <w:pgSz w:w="11900" w:h="16838" w:orient="portrait"/>
          <w:cols w:equalWidth="0" w:num="1">
            <w:col w:w="10200"/>
          </w:cols>
          <w:pgMar w:left="840" w:top="1440" w:right="8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760" w:space="720"/>
            <w:col w:w="5720"/>
          </w:cols>
          <w:pgMar w:left="840" w:top="144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00"/>
          </w:cols>
          <w:pgMar w:left="840" w:top="1440" w:right="859" w:bottom="1440" w:gutter="0" w:footer="0" w:header="0"/>
          <w:type w:val="continuous"/>
        </w:sectPr>
      </w:pPr>
    </w:p>
    <w:bookmarkStart w:id="22" w:name="page23"/>
    <w:bookmarkEnd w:id="2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5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r>
    </w:p>
    <w:p>
      <w:pPr>
        <w:jc w:val="both"/>
        <w:ind w:left="4480"/>
        <w:spacing w:after="0" w:line="206"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the tax sharing agreement, pursuant to which ZoomInfo HoldCo will be required to make certain payments to us to enable us to pay taxes of the ZoomInfo Tax Group and to meet our obligations under the tax receivable agreements.</w:t>
      </w:r>
    </w:p>
    <w:p>
      <w:pPr>
        <w:spacing w:after="0" w:line="225" w:lineRule="exact"/>
        <w:rPr>
          <w:sz w:val="20"/>
          <w:szCs w:val="20"/>
          <w:color w:val="auto"/>
        </w:rPr>
      </w:pPr>
    </w:p>
    <w:p>
      <w:pPr>
        <w:jc w:val="both"/>
        <w:ind w:left="4480"/>
        <w:spacing w:after="0" w:line="207" w:lineRule="auto"/>
        <w:rPr>
          <w:sz w:val="20"/>
          <w:szCs w:val="20"/>
          <w:color w:val="auto"/>
        </w:rPr>
      </w:pPr>
      <w:r>
        <w:rPr>
          <w:rFonts w:ascii="Times New Roman" w:cs="Times New Roman" w:eastAsia="Times New Roman" w:hAnsi="Times New Roman"/>
          <w:sz w:val="18"/>
          <w:szCs w:val="18"/>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rights of holders of OpCo Units, Class P Units, We  amended  and  restated  the  limited  liability  company  agreement  of</w:t>
      </w:r>
    </w:p>
    <w:p>
      <w:pPr>
        <w:jc w:val="both"/>
        <w:ind w:left="4480" w:hanging="4144"/>
        <w:spacing w:after="0" w:line="209" w:lineRule="auto"/>
        <w:tabs>
          <w:tab w:leader="none" w:pos="4460" w:val="left"/>
        </w:tabs>
        <w:rPr>
          <w:sz w:val="20"/>
          <w:szCs w:val="20"/>
          <w:color w:val="auto"/>
        </w:rPr>
      </w:pPr>
      <w:r>
        <w:rPr>
          <w:rFonts w:ascii="Times New Roman" w:cs="Times New Roman" w:eastAsia="Times New Roman" w:hAnsi="Times New Roman"/>
          <w:sz w:val="18"/>
          <w:szCs w:val="18"/>
          <w:color w:val="auto"/>
        </w:rPr>
        <w:t>LTIP Units, and HoldCo Units</w:t>
      </w:r>
      <w:r>
        <w:rPr>
          <w:sz w:val="20"/>
          <w:szCs w:val="20"/>
          <w:color w:val="auto"/>
        </w:rPr>
        <w:tab/>
      </w:r>
      <w:r>
        <w:rPr>
          <w:rFonts w:ascii="Times New Roman" w:cs="Times New Roman" w:eastAsia="Times New Roman" w:hAnsi="Times New Roman"/>
          <w:sz w:val="18"/>
          <w:szCs w:val="18"/>
          <w:color w:val="auto"/>
        </w:rPr>
        <w:t>ZoomInfo OpCo in connection with the Reorganization Transaction so that the Pre-IPO OpCo Unitholders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00"/>
          </w:cols>
          <w:pgMar w:left="840" w:top="1440" w:right="859" w:bottom="1440" w:gutter="0" w:footer="0" w:header="0"/>
        </w:sectPr>
      </w:pPr>
    </w:p>
    <w:bookmarkStart w:id="23" w:name="page24"/>
    <w:bookmarkEnd w:id="23"/>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979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jc w:val="both"/>
        <w:ind w:left="4480"/>
        <w:spacing w:after="0" w:line="206" w:lineRule="auto"/>
        <w:rPr>
          <w:sz w:val="20"/>
          <w:szCs w:val="20"/>
          <w:color w:val="auto"/>
        </w:rPr>
      </w:pPr>
      <w:r>
        <w:rPr>
          <w:rFonts w:ascii="Times New Roman" w:cs="Times New Roman" w:eastAsia="Times New Roman" w:hAnsi="Times New Roman"/>
          <w:sz w:val="18"/>
          <w:szCs w:val="18"/>
          <w:color w:val="auto"/>
        </w:rPr>
        <w:t>Subject to certain restrictions, the holders of Class P Units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provides that the Pre-IPO HoldCo Unitholders may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00"/>
          </w:cols>
          <w:pgMar w:left="840" w:top="1440" w:right="85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Class C common stock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200" w:lineRule="exact"/>
        <w:rPr>
          <w:sz w:val="20"/>
          <w:szCs w:val="20"/>
          <w:color w:val="auto"/>
        </w:rPr>
      </w:pPr>
    </w:p>
    <w:p>
      <w:pPr>
        <w:sectPr>
          <w:pgSz w:w="11900" w:h="16838" w:orient="portrait"/>
          <w:cols w:equalWidth="0" w:num="2">
            <w:col w:w="3760" w:space="720"/>
            <w:col w:w="5720"/>
          </w:cols>
          <w:pgMar w:left="840" w:top="1440" w:right="8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10" w:lineRule="auto"/>
        <w:rPr>
          <w:sz w:val="20"/>
          <w:szCs w:val="20"/>
          <w:color w:val="auto"/>
        </w:rPr>
      </w:pPr>
      <w:r>
        <w:rPr>
          <w:rFonts w:ascii="Times New Roman" w:cs="Times New Roman" w:eastAsia="Times New Roman" w:hAnsi="Times New Roman"/>
          <w:sz w:val="18"/>
          <w:szCs w:val="18"/>
          <w:color w:val="auto"/>
        </w:rPr>
        <w:t>As described below under “Certain Relationships and Related Person Transactions—Tax Receivable Agreements,”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200" w:lineRule="exact"/>
        <w:rPr>
          <w:sz w:val="20"/>
          <w:szCs w:val="20"/>
          <w:color w:val="auto"/>
        </w:rPr>
      </w:pPr>
    </w:p>
    <w:p>
      <w:pPr>
        <w:sectPr>
          <w:pgSz w:w="11900" w:h="16838" w:orient="portrait"/>
          <w:cols w:equalWidth="0" w:num="2">
            <w:col w:w="3760" w:space="720"/>
            <w:col w:w="5720"/>
          </w:cols>
          <w:pgMar w:left="840" w:top="144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00"/>
          </w:cols>
          <w:pgMar w:left="840" w:top="1440" w:right="859" w:bottom="1440" w:gutter="0" w:footer="0" w:header="0"/>
          <w:type w:val="continuous"/>
        </w:sectPr>
      </w:pPr>
    </w:p>
    <w:bookmarkStart w:id="24" w:name="page25"/>
    <w:bookmarkEnd w:id="24"/>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44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844665"/>
                    </a:xfrm>
                    <a:prstGeom prst="rect">
                      <a:avLst/>
                    </a:prstGeom>
                    <a:noFill/>
                  </pic:spPr>
                </pic:pic>
              </a:graphicData>
            </a:graphic>
          </wp:anchor>
        </w:drawing>
      </w:r>
    </w:p>
    <w:p>
      <w:pPr>
        <w:jc w:val="both"/>
        <w:ind w:left="4480"/>
        <w:spacing w:after="0" w:line="205" w:lineRule="auto"/>
        <w:rPr>
          <w:sz w:val="20"/>
          <w:szCs w:val="20"/>
          <w:color w:val="auto"/>
        </w:rPr>
      </w:pPr>
      <w:r>
        <w:rPr>
          <w:rFonts w:ascii="Times New Roman" w:cs="Times New Roman" w:eastAsia="Times New Roman" w:hAnsi="Times New Roman"/>
          <w:sz w:val="18"/>
          <w:szCs w:val="18"/>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ectPr>
          <w:pgSz w:w="11900" w:h="16838" w:orient="portrait"/>
          <w:cols w:equalWidth="0" w:num="1">
            <w:col w:w="10200"/>
          </w:cols>
          <w:pgMar w:left="840" w:top="1440" w:right="85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760" w:space="720"/>
            <w:col w:w="5720"/>
          </w:cols>
          <w:pgMar w:left="840" w:top="1440" w:right="8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U.S. federal income and estate tax consequences to For a discussion of certain U.S. federal income and estate tax consequences</w:t>
      </w:r>
    </w:p>
    <w:p>
      <w:pPr>
        <w:ind w:left="4480" w:right="20" w:hanging="4144"/>
        <w:spacing w:after="0" w:line="226" w:lineRule="auto"/>
        <w:tabs>
          <w:tab w:leader="none" w:pos="4460" w:val="left"/>
        </w:tabs>
        <w:rPr>
          <w:sz w:val="20"/>
          <w:szCs w:val="20"/>
          <w:color w:val="auto"/>
        </w:rPr>
      </w:pPr>
      <w:r>
        <w:rPr>
          <w:rFonts w:ascii="Times New Roman" w:cs="Times New Roman" w:eastAsia="Times New Roman" w:hAnsi="Times New Roman"/>
          <w:sz w:val="18"/>
          <w:szCs w:val="18"/>
          <w:color w:val="auto"/>
        </w:rPr>
        <w:t>non-U.S. holders</w:t>
      </w:r>
      <w:r>
        <w:rPr>
          <w:sz w:val="20"/>
          <w:szCs w:val="20"/>
          <w:color w:val="auto"/>
        </w:rPr>
        <w:tab/>
      </w:r>
      <w:r>
        <w:rPr>
          <w:rFonts w:ascii="Times New Roman" w:cs="Times New Roman" w:eastAsia="Times New Roman" w:hAnsi="Times New Roman"/>
          <w:sz w:val="18"/>
          <w:szCs w:val="18"/>
          <w:color w:val="auto"/>
        </w:rPr>
        <w:t>that may be relevant to non-U.S. stockholders, see “Certain U.S. Federal Income and Estate Tax Consequences to Non-U.S. Holders.”</w:t>
      </w:r>
    </w:p>
    <w:p>
      <w:pPr>
        <w:spacing w:after="0" w:line="211"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Nasdaq trading symbol</w:t>
      </w:r>
      <w:r>
        <w:rPr>
          <w:sz w:val="20"/>
          <w:szCs w:val="20"/>
          <w:color w:val="auto"/>
        </w:rPr>
        <w:tab/>
      </w:r>
      <w:r>
        <w:rPr>
          <w:rFonts w:ascii="Times New Roman" w:cs="Times New Roman" w:eastAsia="Times New Roman" w:hAnsi="Times New Roman"/>
          <w:sz w:val="18"/>
          <w:szCs w:val="18"/>
          <w:color w:val="auto"/>
        </w:rPr>
        <w:t>“ZI.”</w:t>
      </w:r>
    </w:p>
    <w:p>
      <w:pPr>
        <w:spacing w:after="0" w:line="3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indicated, the number of shares of Class A common stock outstanding and the other information based thereon reflects 69,240,501 shares of Class A common stock outstanding as of October 31, 2020, and does not reflect:</w:t>
      </w:r>
    </w:p>
    <w:p>
      <w:pPr>
        <w:spacing w:after="0" w:line="108"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Class A common stock issuable upon exchange or settlement registered hereby;</w:t>
      </w:r>
    </w:p>
    <w:p>
      <w:pPr>
        <w:spacing w:after="0" w:line="17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227,987,192 shares of Class A common stock issuable upon exchange of 224,283,503 OpCo Units and 3,703,689 HoldCo Units and the related shares of Class B common stock that will be held by the Pre-IPO OpCo Unitholders and the Pre-IPO HoldCo Unitholders, respectively, not registered hereby;</w:t>
      </w:r>
    </w:p>
    <w:p>
      <w:pPr>
        <w:spacing w:after="0" w:line="121"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91,582,353 shares of Class A common stock issuable upon conversion of 91,582,353 shares of Class C common stock that will be held by the Pre-IPO Blocker Holders;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00"/>
          </w:cols>
          <w:pgMar w:left="840" w:top="1440" w:right="859" w:bottom="1440" w:gutter="0" w:footer="0" w:header="0"/>
          <w:type w:val="continuous"/>
        </w:sectPr>
      </w:pPr>
    </w:p>
    <w:bookmarkStart w:id="25" w:name="page26"/>
    <w:bookmarkEnd w:id="2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430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430145"/>
                    </a:xfrm>
                    <a:prstGeom prst="rect">
                      <a:avLst/>
                    </a:prstGeom>
                    <a:noFill/>
                  </pic:spPr>
                </pic:pic>
              </a:graphicData>
            </a:graphic>
          </wp:anchor>
        </w:drawing>
      </w:r>
    </w:p>
    <w:p>
      <w:pPr>
        <w:ind w:left="324" w:hanging="324"/>
        <w:spacing w:after="0" w:line="282" w:lineRule="auto"/>
        <w:tabs>
          <w:tab w:leader="none" w:pos="3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18,650,000 shares of Class A common stock that may be granted under our 2020 Omnibus Incentive Plan, which includes shares of Class A common stock underlying the following employee equity grants:</w:t>
      </w:r>
    </w:p>
    <w:p>
      <w:pPr>
        <w:spacing w:after="0" w:line="107"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512,681 restricted stock units;</w:t>
      </w:r>
    </w:p>
    <w:p>
      <w:pPr>
        <w:spacing w:after="0" w:line="171"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47,620 LTIP Units;</w:t>
      </w:r>
    </w:p>
    <w:p>
      <w:pPr>
        <w:spacing w:after="0" w:line="171" w:lineRule="exact"/>
        <w:rPr>
          <w:rFonts w:ascii="Times New Roman" w:cs="Times New Roman" w:eastAsia="Times New Roman" w:hAnsi="Times New Roman"/>
          <w:sz w:val="18"/>
          <w:szCs w:val="18"/>
          <w:color w:val="auto"/>
        </w:rPr>
      </w:pPr>
    </w:p>
    <w:p>
      <w:pPr>
        <w:ind w:left="644" w:right="20" w:hanging="320"/>
        <w:spacing w:after="0" w:line="282" w:lineRule="auto"/>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567,515 stock options, which we refer to as “leverage restoration options,” with a strike price equal to the IPO public offering price per share of Class A common stock; and</w:t>
      </w:r>
    </w:p>
    <w:p>
      <w:pPr>
        <w:spacing w:after="0" w:line="107" w:lineRule="exact"/>
        <w:rPr>
          <w:rFonts w:ascii="Times New Roman" w:cs="Times New Roman" w:eastAsia="Times New Roman" w:hAnsi="Times New Roman"/>
          <w:sz w:val="18"/>
          <w:szCs w:val="18"/>
          <w:color w:val="auto"/>
        </w:rPr>
      </w:pPr>
    </w:p>
    <w:p>
      <w:pPr>
        <w:ind w:left="644" w:hanging="320"/>
        <w:spacing w:after="0" w:line="282" w:lineRule="auto"/>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630,000 Class P Units with a participation threshold (i.e., strike price) equal to the IPO public offering price per share of Class A common stock.</w:t>
      </w:r>
    </w:p>
    <w:p>
      <w:pPr>
        <w:spacing w:after="0" w:line="108" w:lineRule="exact"/>
        <w:rPr>
          <w:sz w:val="20"/>
          <w:szCs w:val="20"/>
          <w:color w:val="auto"/>
        </w:rPr>
      </w:pPr>
    </w:p>
    <w:p>
      <w:pPr>
        <w:ind w:left="324" w:right="20"/>
        <w:spacing w:after="0" w:line="282" w:lineRule="auto"/>
        <w:rPr>
          <w:sz w:val="20"/>
          <w:szCs w:val="20"/>
          <w:color w:val="auto"/>
        </w:rPr>
      </w:pPr>
      <w:r>
        <w:rPr>
          <w:rFonts w:ascii="Times New Roman" w:cs="Times New Roman" w:eastAsia="Times New Roman" w:hAnsi="Times New Roman"/>
          <w:sz w:val="18"/>
          <w:szCs w:val="18"/>
          <w:color w:val="auto"/>
        </w:rPr>
        <w:t>See “Executive Compensation—Compensation Arrangements Adopted in Connection with the IPO—2020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4"/>
          </w:cols>
          <w:pgMar w:left="1156" w:top="1440" w:right="839" w:bottom="1440" w:gutter="0" w:footer="0" w:header="0"/>
        </w:sectPr>
      </w:pPr>
    </w:p>
    <w:bookmarkStart w:id="26" w:name="page27"/>
    <w:bookmarkEnd w:id="2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39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and Pro Forma Financial and Other Data</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following table presents the summary historical consolidated financial and other data for ZoomInfo OpCo and its subsidiaries and ZoomInfo Technologies Inc. and its subsidiaries and the summary pro forma combined and consolidated financial data for ZoomInfo Technologies Inc. for the periods and at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IPO Transactions, each as if they had occurred on January 1, 2019. The summary unaudited pro forma combined and consolidated statement of operations data for the nine months ended September 30, 2020 give effect to (i) the Reorganization Transactions and (ii) the IPO Transactions, each as if they had occurred on January 1, 2019.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20"/>
          </w:cols>
          <w:pgMar w:left="840" w:top="1440" w:right="839" w:bottom="1440" w:gutter="0" w:footer="0" w:header="0"/>
        </w:sectPr>
      </w:pPr>
    </w:p>
    <w:bookmarkStart w:id="27" w:name="page28"/>
    <w:bookmarkEnd w:id="27"/>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36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ZoomInfo</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100" w:type="dxa"/>
            <w:vAlign w:val="bottom"/>
            <w:gridSpan w:val="2"/>
            <w:vMerge w:val="restart"/>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Technologies Inc.</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gridSpan w:val="6"/>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1"/>
                <w:szCs w:val="11"/>
                <w:color w:val="auto"/>
              </w:rPr>
            </w:pPr>
          </w:p>
        </w:tc>
        <w:tc>
          <w:tcPr>
            <w:tcW w:w="2240" w:type="dxa"/>
            <w:vAlign w:val="bottom"/>
            <w:gridSpan w:val="5"/>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Summary Statements of Operations Data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shd w:val="clear" w:color="auto" w:fill="CCEEFF"/>
          </w:tcPr>
          <w:p>
            <w:pPr>
              <w:ind w:left="480"/>
              <w:spacing w:after="0" w:line="142" w:lineRule="exact"/>
              <w:rPr>
                <w:sz w:val="20"/>
                <w:szCs w:val="20"/>
                <w:color w:val="auto"/>
              </w:rPr>
            </w:pPr>
            <w:r>
              <w:rPr>
                <w:rFonts w:ascii="Times New Roman" w:cs="Times New Roman" w:eastAsia="Times New Roman" w:hAnsi="Times New Roman"/>
                <w:sz w:val="16"/>
                <w:szCs w:val="16"/>
                <w:color w:val="auto"/>
              </w:rPr>
              <w:t>Less: Net income (loss) attributable to non-</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8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ZoomInfo</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8"/>
        </w:trPr>
        <w:tc>
          <w:tcPr>
            <w:tcW w:w="38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Technologies Inc.</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75"/>
        </w:trPr>
        <w:tc>
          <w:tcPr>
            <w:tcW w:w="38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Shares used in basic and diluted per share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150,160,371</w:t>
            </w:r>
          </w:p>
        </w:tc>
        <w:tc>
          <w:tcPr>
            <w:tcW w:w="0" w:type="dxa"/>
            <w:vAlign w:val="bottom"/>
          </w:tcPr>
          <w:p>
            <w:pPr>
              <w:spacing w:after="0"/>
              <w:rPr>
                <w:sz w:val="1"/>
                <w:szCs w:val="1"/>
                <w:color w:val="auto"/>
              </w:rPr>
            </w:pPr>
          </w:p>
        </w:tc>
      </w:tr>
      <w:tr>
        <w:trPr>
          <w:trHeight w:val="234"/>
        </w:trPr>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400" w:type="dxa"/>
            <w:vAlign w:val="bottom"/>
          </w:tcPr>
          <w:p>
            <w:pPr>
              <w:spacing w:after="0"/>
              <w:rPr>
                <w:sz w:val="24"/>
                <w:szCs w:val="24"/>
                <w:color w:val="auto"/>
              </w:rPr>
            </w:pPr>
          </w:p>
        </w:tc>
        <w:tc>
          <w:tcPr>
            <w:tcW w:w="2100" w:type="dxa"/>
            <w:vAlign w:val="bottom"/>
            <w:gridSpan w:val="5"/>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40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Balance Sheet Data (at period end):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(including current portion)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Temporary equity</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20"/>
          </w:cols>
          <w:pgMar w:left="820" w:top="1440" w:right="859" w:bottom="1440" w:gutter="0" w:footer="0" w:header="0"/>
        </w:sectPr>
      </w:pPr>
    </w:p>
    <w:bookmarkStart w:id="28" w:name="page29"/>
    <w:bookmarkEnd w:id="28"/>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56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4"/>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24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520" w:type="dxa"/>
            <w:vAlign w:val="bottom"/>
            <w:tcBorders>
              <w:top w:val="single" w:sz="8" w:color="auto"/>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580" w:type="dxa"/>
            <w:vAlign w:val="bottom"/>
            <w:tcBorders>
              <w:top w:val="single" w:sz="8" w:color="auto"/>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Statements of Cash Flows Data: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(11.8)</w:t>
            </w: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20"/>
                <w:szCs w:val="20"/>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4"/>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300" w:type="dxa"/>
            <w:vAlign w:val="bottom"/>
          </w:tcPr>
          <w:p>
            <w:pPr>
              <w:spacing w:after="0"/>
              <w:rPr>
                <w:sz w:val="16"/>
                <w:szCs w:val="16"/>
                <w:color w:val="auto"/>
              </w:rPr>
            </w:pPr>
          </w:p>
        </w:tc>
        <w:tc>
          <w:tcPr>
            <w:tcW w:w="28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720" w:type="dxa"/>
            <w:vAlign w:val="bottom"/>
            <w:tcBorders>
              <w:top w:val="single" w:sz="8" w:color="auto"/>
              <w:bottom w:val="single" w:sz="8" w:color="auto"/>
            </w:tcBorders>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2800" w:type="dxa"/>
            <w:vAlign w:val="bottom"/>
            <w:tcBorders>
              <w:top w:val="single" w:sz="8" w:color="auto"/>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Other Data</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Allocated Combined Receipts</w:t>
            </w:r>
            <w:r>
              <w:rPr>
                <w:rFonts w:ascii="Times New Roman" w:cs="Times New Roman" w:eastAsia="Times New Roman" w:hAnsi="Times New Roman"/>
                <w:sz w:val="23"/>
                <w:szCs w:val="23"/>
                <w:color w:val="auto"/>
                <w:vertAlign w:val="superscript"/>
              </w:rPr>
              <w:t>(6)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 Margin</w:t>
            </w:r>
            <w:r>
              <w:rPr>
                <w:rFonts w:ascii="Times New Roman" w:cs="Times New Roman" w:eastAsia="Times New Roman" w:hAnsi="Times New Roman"/>
                <w:sz w:val="23"/>
                <w:szCs w:val="23"/>
                <w:color w:val="auto"/>
                <w:vertAlign w:val="superscript"/>
              </w:rPr>
              <w:t>(7)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07"/>
        </w:trPr>
        <w:tc>
          <w:tcPr>
            <w:tcW w:w="39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7"/>
                <w:szCs w:val="17"/>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7"/>
                <w:szCs w:val="17"/>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7"/>
                <w:szCs w:val="17"/>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17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28"/>
        <w:spacing w:after="0" w:line="258"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results of ZoomInfo OpCo for the years ended December 31, 2018 and 2019 do not reflect the results of Pre-Acquisition ZI prior to the Zoom Information Acquisition on February 1, 2019.</w:t>
      </w:r>
    </w:p>
    <w:p>
      <w:pPr>
        <w:sectPr>
          <w:pgSz w:w="11900" w:h="16838" w:orient="portrait"/>
          <w:cols w:equalWidth="0" w:num="1">
            <w:col w:w="10240"/>
          </w:cols>
          <w:pgMar w:left="82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Revenue</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Income from operations</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4" w:lineRule="exact"/>
        <w:rPr>
          <w:sz w:val="20"/>
          <w:szCs w:val="20"/>
          <w:color w:val="auto"/>
        </w:rPr>
      </w:pPr>
    </w:p>
    <w:p>
      <w:pPr>
        <w:ind w:left="660" w:hanging="324"/>
        <w:spacing w:after="0"/>
        <w:tabs>
          <w:tab w:leader="none" w:pos="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January 2019 results for Pre-Acquisition ZI.</w:t>
      </w:r>
    </w:p>
    <w:p>
      <w:pPr>
        <w:spacing w:after="0" w:line="39" w:lineRule="exact"/>
        <w:rPr>
          <w:rFonts w:ascii="Times New Roman" w:cs="Times New Roman" w:eastAsia="Times New Roman" w:hAnsi="Times New Roman"/>
          <w:sz w:val="14"/>
          <w:szCs w:val="14"/>
          <w:color w:val="auto"/>
        </w:rPr>
      </w:pPr>
    </w:p>
    <w:p>
      <w:pPr>
        <w:ind w:left="320" w:hanging="308"/>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3"/>
        </w:trPr>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ZoomInfo OpCo</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ZoomInfo OpCo</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(DiscoverOrg</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(DiscoverOrg</w:t>
            </w:r>
          </w:p>
        </w:tc>
        <w:tc>
          <w:tcPr>
            <w:tcW w:w="12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Pre-Acquisition</w:t>
            </w: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Pre-Acquisition ZI</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20" w:type="dxa"/>
            <w:vAlign w:val="bottom"/>
          </w:tcPr>
          <w:p>
            <w:pPr>
              <w:spacing w:after="0"/>
              <w:rPr>
                <w:sz w:val="18"/>
                <w:szCs w:val="18"/>
                <w:color w:val="auto"/>
              </w:rPr>
            </w:pPr>
          </w:p>
        </w:tc>
        <w:tc>
          <w:tcPr>
            <w:tcW w:w="1140" w:type="dxa"/>
            <w:vAlign w:val="bottom"/>
          </w:tcPr>
          <w:p>
            <w:pPr>
              <w:jc w:val="right"/>
              <w:ind w:right="433"/>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ZI</w:t>
            </w:r>
            <w:r>
              <w:rPr>
                <w:rFonts w:ascii="Times New Roman" w:cs="Times New Roman" w:eastAsia="Times New Roman" w:hAnsi="Times New Roman"/>
                <w:sz w:val="9"/>
                <w:szCs w:val="9"/>
                <w:b w:val="1"/>
                <w:bCs w:val="1"/>
                <w:color w:val="auto"/>
              </w:rPr>
              <w:t>(a)</w:t>
            </w:r>
          </w:p>
        </w:tc>
      </w:tr>
      <w:tr>
        <w:trPr>
          <w:trHeight w:val="186"/>
        </w:trPr>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w w:val="97"/>
              </w:rPr>
              <w:t>72.5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7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24"/>
                <w:szCs w:val="24"/>
                <w:color w:val="auto"/>
              </w:rPr>
            </w:pPr>
          </w:p>
        </w:tc>
        <w:tc>
          <w:tcPr>
            <w:tcW w:w="252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13" w:lineRule="exact"/>
        <w:rPr>
          <w:sz w:val="20"/>
          <w:szCs w:val="20"/>
          <w:color w:val="auto"/>
        </w:rPr>
      </w:pPr>
    </w:p>
    <w:p>
      <w:pPr>
        <w:sectPr>
          <w:pgSz w:w="11900" w:h="16838" w:orient="portrait"/>
          <w:cols w:equalWidth="0" w:num="2">
            <w:col w:w="3760" w:space="720"/>
            <w:col w:w="5760"/>
          </w:cols>
          <w:pgMar w:left="820" w:top="1440" w:right="839" w:bottom="1440" w:gutter="0" w:footer="0" w:header="0"/>
          <w:type w:val="continuous"/>
        </w:sectPr>
      </w:pPr>
    </w:p>
    <w:tbl>
      <w:tblPr>
        <w:tblLayout w:type="fixed"/>
        <w:tblInd w:w="340" w:type="dxa"/>
        <w:tblCellMar>
          <w:top w:w="0" w:type="dxa"/>
          <w:left w:w="0" w:type="dxa"/>
          <w:bottom w:w="0" w:type="dxa"/>
          <w:right w:w="0" w:type="dxa"/>
        </w:tblCellMar>
      </w:tblP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22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1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1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08"/>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7" w:lineRule="exact"/>
        <w:rPr>
          <w:rFonts w:ascii="Times New Roman" w:cs="Times New Roman" w:eastAsia="Times New Roman" w:hAnsi="Times New Roman"/>
          <w:sz w:val="14"/>
          <w:szCs w:val="14"/>
          <w:color w:val="auto"/>
        </w:rPr>
      </w:pPr>
    </w:p>
    <w:p>
      <w:pPr>
        <w:jc w:val="both"/>
        <w:ind w:left="340" w:hanging="328"/>
        <w:spacing w:after="0" w:line="24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207,000,000 Series A Preferred Units issued on February 1, 2019 in connection with the Zoom Information Acquisition. We redeemed and cancelled all outstanding Series A Preferred Units with proceeds from the IPO for approximately $274.2 million, including accumulated but unpaid distributions and related prepayment premiums.</w:t>
      </w:r>
    </w:p>
    <w:p>
      <w:pPr>
        <w:spacing w:after="0" w:line="160" w:lineRule="exact"/>
        <w:rPr>
          <w:rFonts w:ascii="Times New Roman" w:cs="Times New Roman" w:eastAsia="Times New Roman" w:hAnsi="Times New Roman"/>
          <w:sz w:val="14"/>
          <w:szCs w:val="14"/>
          <w:color w:val="auto"/>
        </w:rPr>
      </w:pPr>
    </w:p>
    <w:p>
      <w:pPr>
        <w:jc w:val="both"/>
        <w:ind w:left="340" w:hanging="328"/>
        <w:spacing w:after="0" w:line="24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 w:lineRule="exact"/>
        <w:rPr>
          <w:rFonts w:ascii="Times New Roman" w:cs="Times New Roman" w:eastAsia="Times New Roman" w:hAnsi="Times New Roman"/>
          <w:sz w:val="14"/>
          <w:szCs w:val="14"/>
          <w:color w:val="auto"/>
        </w:rPr>
      </w:pPr>
    </w:p>
    <w:p>
      <w:pPr>
        <w:jc w:val="both"/>
        <w:ind w:left="340"/>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w:t>
      </w:r>
    </w:p>
    <w:p>
      <w:pPr>
        <w:sectPr>
          <w:pgSz w:w="11900" w:h="16838" w:orient="portrait"/>
          <w:cols w:equalWidth="0" w:num="1">
            <w:col w:w="10240"/>
          </w:cols>
          <w:pgMar w:left="82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40"/>
          </w:cols>
          <w:pgMar w:left="820" w:top="1440" w:right="839" w:bottom="1440" w:gutter="0" w:footer="0" w:header="0"/>
          <w:type w:val="continuous"/>
        </w:sectPr>
      </w:pPr>
    </w:p>
    <w:bookmarkStart w:id="29" w:name="page30"/>
    <w:bookmarkEnd w:id="29"/>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69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695950"/>
                    </a:xfrm>
                    <a:prstGeom prst="rect">
                      <a:avLst/>
                    </a:prstGeom>
                    <a:noFill/>
                  </pic:spPr>
                </pic:pic>
              </a:graphicData>
            </a:graphic>
          </wp:anchor>
        </w:drawing>
      </w:r>
    </w:p>
    <w:p>
      <w:pPr>
        <w:ind w:left="328"/>
        <w:spacing w:after="0" w:line="253" w:lineRule="auto"/>
        <w:rPr>
          <w:sz w:val="20"/>
          <w:szCs w:val="20"/>
          <w:color w:val="auto"/>
        </w:rPr>
      </w:pPr>
      <w:r>
        <w:rPr>
          <w:rFonts w:ascii="Times New Roman" w:cs="Times New Roman" w:eastAsia="Times New Roman" w:hAnsi="Times New Roman"/>
          <w:sz w:val="14"/>
          <w:szCs w:val="14"/>
          <w:color w:val="auto"/>
        </w:rPr>
        <w:t>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 w:lineRule="exact"/>
        <w:rPr>
          <w:sz w:val="20"/>
          <w:szCs w:val="20"/>
          <w:color w:val="auto"/>
        </w:rPr>
      </w:pPr>
    </w:p>
    <w:p>
      <w:pPr>
        <w:jc w:val="both"/>
        <w:ind w:left="328" w:hanging="328"/>
        <w:spacing w:after="0" w:line="243" w:lineRule="auto"/>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The following table presents a reconciliation of Allocated Combined Receipts for the periods presented:</w:t>
      </w:r>
    </w:p>
    <w:p>
      <w:pPr>
        <w:spacing w:after="0" w:line="40" w:lineRule="exact"/>
        <w:rPr>
          <w:sz w:val="20"/>
          <w:szCs w:val="20"/>
          <w:color w:val="auto"/>
        </w:rPr>
      </w:pPr>
    </w:p>
    <w:tbl>
      <w:tblPr>
        <w:tblLayout w:type="fixed"/>
        <w:tblInd w:w="328" w:type="dxa"/>
        <w:tblCellMar>
          <w:top w:w="0" w:type="dxa"/>
          <w:left w:w="0" w:type="dxa"/>
          <w:bottom w:w="0" w:type="dxa"/>
          <w:right w:w="0" w:type="dxa"/>
        </w:tblCellMar>
      </w:tblPr>
      <w:tr>
        <w:trPr>
          <w:trHeight w:val="194"/>
        </w:trPr>
        <w:tc>
          <w:tcPr>
            <w:tcW w:w="3980" w:type="dxa"/>
            <w:vAlign w:val="bottom"/>
          </w:tcPr>
          <w:p>
            <w:pPr>
              <w:spacing w:after="0"/>
              <w:rPr>
                <w:sz w:val="16"/>
                <w:szCs w:val="16"/>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336.5</w:t>
            </w:r>
          </w:p>
        </w:tc>
        <w:tc>
          <w:tcPr>
            <w:tcW w:w="0" w:type="dxa"/>
            <w:vAlign w:val="bottom"/>
          </w:tcPr>
          <w:p>
            <w:pPr>
              <w:spacing w:after="0"/>
              <w:rPr>
                <w:sz w:val="1"/>
                <w:szCs w:val="1"/>
                <w:color w:val="auto"/>
              </w:rPr>
            </w:pPr>
          </w:p>
        </w:tc>
      </w:tr>
      <w:tr>
        <w:trPr>
          <w:trHeight w:val="189"/>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Impact of fair value adjustments to acquired unearned revenue</w:t>
            </w:r>
            <w:r>
              <w:rPr>
                <w:rFonts w:ascii="Times New Roman" w:cs="Times New Roman" w:eastAsia="Times New Roman" w:hAnsi="Times New Roman"/>
                <w:sz w:val="9"/>
                <w:szCs w:val="9"/>
                <w:color w:val="auto"/>
              </w:rPr>
              <w:t>(a)</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Pre-Acquisition ZI revenue</w:t>
            </w:r>
            <w:r>
              <w:rPr>
                <w:rFonts w:ascii="Times New Roman" w:cs="Times New Roman" w:eastAsia="Times New Roman" w:hAnsi="Times New Roman"/>
                <w:sz w:val="9"/>
                <w:szCs w:val="9"/>
                <w:color w:val="auto"/>
              </w:rPr>
              <w:t>(b)</w:t>
            </w: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9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Impact of fair value adjustments to acquired unearned revenue</w:t>
            </w:r>
          </w:p>
        </w:tc>
        <w:tc>
          <w:tcPr>
            <w:tcW w:w="8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recorded by Pre-Acquisition ZI</w:t>
            </w:r>
            <w:r>
              <w:rPr>
                <w:rFonts w:ascii="Times New Roman" w:cs="Times New Roman" w:eastAsia="Times New Roman" w:hAnsi="Times New Roman"/>
                <w:sz w:val="9"/>
                <w:szCs w:val="9"/>
                <w:color w:val="auto"/>
              </w:rPr>
              <w:t>(c)</w:t>
            </w:r>
          </w:p>
        </w:tc>
        <w:tc>
          <w:tcPr>
            <w:tcW w:w="8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Pre-acquisition revenue of other acquired companies</w:t>
            </w:r>
            <w:r>
              <w:rPr>
                <w:rFonts w:ascii="Times New Roman" w:cs="Times New Roman" w:eastAsia="Times New Roman" w:hAnsi="Times New Roman"/>
                <w:sz w:val="9"/>
                <w:szCs w:val="9"/>
                <w:color w:val="auto"/>
              </w:rPr>
              <w:t>(d)</w:t>
            </w:r>
          </w:p>
        </w:tc>
        <w:tc>
          <w:tcPr>
            <w:tcW w:w="8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Allocated Combined Receipts</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Growth</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39 %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41 %</w:t>
            </w:r>
          </w:p>
        </w:tc>
        <w:tc>
          <w:tcPr>
            <w:tcW w:w="0" w:type="dxa"/>
            <w:vAlign w:val="bottom"/>
          </w:tcPr>
          <w:p>
            <w:pPr>
              <w:spacing w:after="0"/>
              <w:rPr>
                <w:sz w:val="1"/>
                <w:szCs w:val="1"/>
                <w:color w:val="auto"/>
              </w:rPr>
            </w:pPr>
          </w:p>
        </w:tc>
      </w:tr>
      <w:tr>
        <w:trPr>
          <w:trHeight w:val="155"/>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648" w:right="20" w:hanging="324"/>
        <w:spacing w:after="0" w:line="241" w:lineRule="auto"/>
        <w:tabs>
          <w:tab w:leader="none" w:pos="64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648" w:hanging="324"/>
        <w:spacing w:after="0"/>
        <w:tabs>
          <w:tab w:leader="none" w:pos="64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648" w:right="20" w:hanging="324"/>
        <w:spacing w:after="0" w:line="241" w:lineRule="auto"/>
        <w:tabs>
          <w:tab w:leader="none" w:pos="64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648" w:right="20" w:hanging="324"/>
        <w:spacing w:after="0" w:line="258" w:lineRule="auto"/>
        <w:tabs>
          <w:tab w:leader="none" w:pos="6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15" w:lineRule="exact"/>
        <w:rPr>
          <w:rFonts w:ascii="Times New Roman" w:cs="Times New Roman" w:eastAsia="Times New Roman" w:hAnsi="Times New Roman"/>
          <w:sz w:val="14"/>
          <w:szCs w:val="14"/>
          <w:color w:val="auto"/>
        </w:rPr>
      </w:pPr>
    </w:p>
    <w:p>
      <w:pPr>
        <w:jc w:val="both"/>
        <w:ind w:left="328" w:hanging="328"/>
        <w:spacing w:after="0" w:line="246" w:lineRule="auto"/>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3" w:lineRule="exact"/>
        <w:rPr>
          <w:rFonts w:ascii="Times New Roman" w:cs="Times New Roman" w:eastAsia="Times New Roman" w:hAnsi="Times New Roman"/>
          <w:sz w:val="14"/>
          <w:szCs w:val="14"/>
          <w:color w:val="auto"/>
        </w:rPr>
      </w:pPr>
    </w:p>
    <w:p>
      <w:pPr>
        <w:jc w:val="both"/>
        <w:ind w:left="328"/>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228"/>
          </w:cols>
          <w:pgMar w:left="832" w:top="1440" w:right="839" w:bottom="1440" w:gutter="0" w:footer="0" w:header="0"/>
        </w:sectPr>
      </w:pPr>
    </w:p>
    <w:bookmarkStart w:id="30" w:name="page31"/>
    <w:bookmarkEnd w:id="30"/>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638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3892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4"/>
          <w:szCs w:val="14"/>
          <w:color w:val="auto"/>
        </w:rPr>
        <w:t>The following table presents a reconciliation of Adjusted Operating Income and Adjusted Net Income for the periods presented:</w:t>
      </w:r>
    </w:p>
    <w:p>
      <w:pPr>
        <w:spacing w:after="0" w:line="5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6"/>
                <w:szCs w:val="16"/>
                <w:color w:val="auto"/>
              </w:rPr>
            </w:pPr>
          </w:p>
        </w:tc>
        <w:tc>
          <w:tcPr>
            <w:tcW w:w="248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8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(expenses) from income taxes</w:t>
            </w:r>
          </w:p>
        </w:tc>
        <w:tc>
          <w:tcPr>
            <w:tcW w:w="3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9"/>
                <w:szCs w:val="9"/>
                <w:color w:val="auto"/>
              </w:rPr>
              <w:t>(a)</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Impacts of fair value adjustments to acquired unearned revenue</w:t>
            </w:r>
            <w:r>
              <w:rPr>
                <w:rFonts w:ascii="Times New Roman" w:cs="Times New Roman" w:eastAsia="Times New Roman" w:hAnsi="Times New Roman"/>
                <w:sz w:val="9"/>
                <w:szCs w:val="9"/>
                <w:color w:val="auto"/>
              </w:rPr>
              <w:t>(b)</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3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9"/>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3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 and transaction-related expenses</w:t>
            </w:r>
            <w:r>
              <w:rPr>
                <w:rFonts w:ascii="Times New Roman" w:cs="Times New Roman" w:eastAsia="Times New Roman" w:hAnsi="Times New Roman"/>
                <w:sz w:val="9"/>
                <w:szCs w:val="9"/>
                <w:color w:val="auto"/>
              </w:rPr>
              <w:t>(c)</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Integration costs and acquisition-related expenses</w:t>
            </w:r>
            <w:r>
              <w:rPr>
                <w:rFonts w:ascii="Times New Roman" w:cs="Times New Roman" w:eastAsia="Times New Roman" w:hAnsi="Times New Roman"/>
                <w:sz w:val="9"/>
                <w:szCs w:val="9"/>
                <w:color w:val="auto"/>
              </w:rPr>
              <w:t>(d)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162.6</w:t>
            </w:r>
          </w:p>
        </w:tc>
        <w:tc>
          <w:tcPr>
            <w:tcW w:w="0" w:type="dxa"/>
            <w:vAlign w:val="bottom"/>
          </w:tcPr>
          <w:p>
            <w:pPr>
              <w:spacing w:after="0"/>
              <w:rPr>
                <w:sz w:val="1"/>
                <w:szCs w:val="1"/>
                <w:color w:val="auto"/>
              </w:rPr>
            </w:pPr>
          </w:p>
        </w:tc>
      </w:tr>
      <w:tr>
        <w:trPr>
          <w:trHeight w:val="189"/>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Other (income) expense, net, excluding TRA liability</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measurement (benefit) expense</w:t>
            </w: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 (expense) from income taxes</w:t>
            </w:r>
          </w:p>
        </w:tc>
        <w:tc>
          <w:tcPr>
            <w:tcW w:w="3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impacts of adjustments to net income (loss)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Adjusted Operating Income Margin</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57 %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51 %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48 %</w:t>
            </w:r>
          </w:p>
        </w:tc>
        <w:tc>
          <w:tcPr>
            <w:tcW w:w="0" w:type="dxa"/>
            <w:vAlign w:val="bottom"/>
          </w:tcPr>
          <w:p>
            <w:pPr>
              <w:spacing w:after="0"/>
              <w:rPr>
                <w:sz w:val="1"/>
                <w:szCs w:val="1"/>
                <w:color w:val="auto"/>
              </w:rPr>
            </w:pPr>
          </w:p>
        </w:tc>
      </w:tr>
      <w:tr>
        <w:trPr>
          <w:trHeight w:val="155"/>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24" w:hanging="324"/>
        <w:spacing w:after="0" w:line="241" w:lineRule="auto"/>
        <w:tabs>
          <w:tab w:leader="none" w:pos="3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4" w:hanging="324"/>
        <w:spacing w:after="0" w:line="241" w:lineRule="auto"/>
        <w:tabs>
          <w:tab w:leader="none" w:pos="32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spacing w:after="0" w:line="2" w:lineRule="exact"/>
        <w:rPr>
          <w:rFonts w:ascii="Times New Roman" w:cs="Times New Roman" w:eastAsia="Times New Roman" w:hAnsi="Times New Roman"/>
          <w:sz w:val="14"/>
          <w:szCs w:val="14"/>
          <w:color w:val="auto"/>
        </w:rPr>
      </w:pPr>
    </w:p>
    <w:p>
      <w:pPr>
        <w:jc w:val="both"/>
        <w:ind w:left="324" w:hanging="324"/>
        <w:spacing w:after="0" w:line="243" w:lineRule="auto"/>
        <w:tabs>
          <w:tab w:leader="none" w:pos="3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20" w:lineRule="exact"/>
        <w:rPr>
          <w:sz w:val="20"/>
          <w:szCs w:val="20"/>
          <w:color w:val="auto"/>
        </w:rPr>
      </w:pPr>
    </w:p>
    <w:tbl>
      <w:tblPr>
        <w:tblLayout w:type="fixed"/>
        <w:tblInd w:w="324"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15"/>
        </w:trPr>
        <w:tc>
          <w:tcPr>
            <w:tcW w:w="328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3"/>
                <w:szCs w:val="13"/>
                <w:color w:val="auto"/>
              </w:rPr>
              <w:t>Total integration costs and acquisition-related</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compensation</w:t>
            </w: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904"/>
          </w:cols>
          <w:pgMar w:left="1156" w:top="1440" w:right="839" w:bottom="1440" w:gutter="0" w:footer="0" w:header="0"/>
        </w:sectPr>
      </w:pPr>
    </w:p>
    <w:bookmarkStart w:id="31" w:name="page32"/>
    <w:bookmarkEnd w:id="31"/>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644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644515"/>
                    </a:xfrm>
                    <a:prstGeom prst="rect">
                      <a:avLst/>
                    </a:prstGeom>
                    <a:noFill/>
                  </pic:spPr>
                </pic:pic>
              </a:graphicData>
            </a:graphic>
          </wp:anchor>
        </w:drawing>
      </w:r>
    </w:p>
    <w:p>
      <w:pPr>
        <w:jc w:val="both"/>
        <w:ind w:left="328" w:hanging="328"/>
        <w:spacing w:after="0" w:line="246" w:lineRule="auto"/>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99" w:lineRule="exact"/>
        <w:rPr>
          <w:rFonts w:ascii="Times New Roman" w:cs="Times New Roman" w:eastAsia="Times New Roman" w:hAnsi="Times New Roman"/>
          <w:sz w:val="14"/>
          <w:szCs w:val="14"/>
          <w:color w:val="auto"/>
        </w:rPr>
      </w:pPr>
    </w:p>
    <w:p>
      <w:pPr>
        <w:ind w:left="3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a reconciliation of net loss to Adjusted EBITDA for the periods presented:</w:t>
      </w:r>
    </w:p>
    <w:p>
      <w:pPr>
        <w:spacing w:after="0" w:line="53" w:lineRule="exact"/>
        <w:rPr>
          <w:sz w:val="20"/>
          <w:szCs w:val="20"/>
          <w:color w:val="auto"/>
        </w:rPr>
      </w:pPr>
    </w:p>
    <w:tbl>
      <w:tblPr>
        <w:tblLayout w:type="fixed"/>
        <w:tblInd w:w="328"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8"/>
                <w:szCs w:val="18"/>
                <w:color w:val="auto"/>
              </w:rPr>
            </w:pPr>
          </w:p>
        </w:tc>
        <w:tc>
          <w:tcPr>
            <w:tcW w:w="25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89"/>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Benefit (expenses) from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9"/>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9"/>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9"/>
                <w:szCs w:val="9"/>
                <w:color w:val="auto"/>
              </w:rPr>
              <w:t>(a)</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Impact of fair value adjustments to acquired unearned revenue</w:t>
            </w:r>
            <w:r>
              <w:rPr>
                <w:rFonts w:ascii="Times New Roman" w:cs="Times New Roman" w:eastAsia="Times New Roman" w:hAnsi="Times New Roman"/>
                <w:sz w:val="9"/>
                <w:szCs w:val="9"/>
                <w:color w:val="auto"/>
              </w:rPr>
              <w:t>(b)</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89"/>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Restructuring and transaction-related expenses</w:t>
            </w:r>
            <w:r>
              <w:rPr>
                <w:rFonts w:ascii="Times New Roman" w:cs="Times New Roman" w:eastAsia="Times New Roman" w:hAnsi="Times New Roman"/>
                <w:sz w:val="9"/>
                <w:szCs w:val="9"/>
                <w:color w:val="auto"/>
              </w:rPr>
              <w:t>(c)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Integration costs and acquisition-related expenses</w:t>
            </w:r>
            <w:r>
              <w:rPr>
                <w:rFonts w:ascii="Times New Roman" w:cs="Times New Roman" w:eastAsia="Times New Roman" w:hAnsi="Times New Roman"/>
                <w:sz w:val="9"/>
                <w:szCs w:val="9"/>
                <w:color w:val="auto"/>
              </w:rPr>
              <w:t>(d)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648" w:hanging="324"/>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648" w:hanging="324"/>
        <w:spacing w:after="0" w:line="241" w:lineRule="auto"/>
        <w:tabs>
          <w:tab w:leader="none" w:pos="64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spacing w:after="0" w:line="2" w:lineRule="exact"/>
        <w:rPr>
          <w:rFonts w:ascii="Times New Roman" w:cs="Times New Roman" w:eastAsia="Times New Roman" w:hAnsi="Times New Roman"/>
          <w:sz w:val="14"/>
          <w:szCs w:val="14"/>
          <w:color w:val="auto"/>
        </w:rPr>
      </w:pPr>
    </w:p>
    <w:p>
      <w:pPr>
        <w:jc w:val="both"/>
        <w:ind w:left="648" w:hanging="324"/>
        <w:spacing w:after="0" w:line="243"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228"/>
          </w:cols>
          <w:pgMar w:left="832" w:top="1440" w:right="839" w:bottom="1440" w:gutter="0" w:footer="0" w:header="0"/>
        </w:sectPr>
      </w:pPr>
    </w:p>
    <w:bookmarkStart w:id="32" w:name="page33"/>
    <w:bookmarkEnd w:id="3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1770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770380"/>
                    </a:xfrm>
                    <a:prstGeom prst="rect">
                      <a:avLst/>
                    </a:prstGeom>
                    <a:noFill/>
                  </pic:spPr>
                </pic:pic>
              </a:graphicData>
            </a:graphic>
          </wp:anchor>
        </w:drawing>
      </w:r>
    </w:p>
    <w:p>
      <w:pPr>
        <w:ind w:left="40"/>
        <w:spacing w:after="0" w:line="282" w:lineRule="auto"/>
        <w:rPr>
          <w:sz w:val="20"/>
          <w:szCs w:val="20"/>
          <w:color w:val="auto"/>
        </w:rPr>
      </w:pPr>
      <w:r>
        <w:rPr>
          <w:rFonts w:ascii="Times New Roman" w:cs="Times New Roman" w:eastAsia="Times New Roman" w:hAnsi="Times New Roman"/>
          <w:sz w:val="14"/>
          <w:szCs w:val="14"/>
          <w:color w:val="auto"/>
        </w:rPr>
        <w:t>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22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15"/>
        </w:trPr>
        <w:tc>
          <w:tcPr>
            <w:tcW w:w="36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3"/>
                <w:szCs w:val="13"/>
                <w:color w:val="auto"/>
              </w:rPr>
              <w:t>Total integration costs and acquisition-related</w:t>
            </w:r>
          </w:p>
        </w:tc>
        <w:tc>
          <w:tcPr>
            <w:tcW w:w="900" w:type="dxa"/>
            <w:vAlign w:val="bottom"/>
            <w:vMerge w:val="restart"/>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620"/>
          </w:cols>
          <w:pgMar w:left="1440" w:top="1440" w:right="8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shares of our Class A common stock involves risks. You should carefully consider the following information about these risks, together with the other information contained in this prospectus, before deciding to (i) exchange your Pre-IPO Class P Units or (ii) have your HSKB Phantom Units settled for shares of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collection and selling of personal data, and, among others, introducing opt-out rights and data broker registration obligations.</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7" w:right="339" w:bottom="1440" w:gutter="0" w:footer="0" w:header="0"/>
        </w:sectPr>
      </w:pPr>
    </w:p>
    <w:bookmarkStart w:id="36" w:name="page37"/>
    <w:bookmarkEnd w:id="3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based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We also receive data from third-party vendors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predictive analytics and customer data platform technologies;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vendors of sales automation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third-party company attributes, technology attributes, and business contact information;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online content consumption data for predictive sales and marketing analytics;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7"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user preferences for sales and marketing platforms may have a disproportionately greater impact on us than if we offered disparate products and services. Demand for sales and marketing platforms in general, and our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platform and data in particular, is affected by a number of factors, many of which are beyond our control. Some of these potential factors include:</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and marketing platform category generally, and the growth, contraction and evolution of the category;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3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advances in data collection, cataloging, and updating.</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products and services.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platform with third-party systems that we do not control.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55%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expand subscriptions of current customers, our revenue growth and profitability will be harmed.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42" w:name="page43"/>
    <w:bookmarkEnd w:id="4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4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from all platforms, including ours). Consequently, our ability to grow our business may be harmed and our results of operations and financial condition could suffer.</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is critical to achieving widespread acceptance of our platform and is an important element in attracting new organizations to our platform.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and intellectual property rights in our data or technology.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4" w:name="page45"/>
    <w:bookmarkEnd w:id="4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7" w:right="339" w:bottom="1440" w:gutter="0" w:footer="0" w:header="0"/>
        </w:sectPr>
      </w:pPr>
    </w:p>
    <w:bookmarkStart w:id="45" w:name="page46"/>
    <w:bookmarkEnd w:id="45"/>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involve numerous risks and could create unforeseen operating difficulties and expenditures, including:</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values and those of our acquired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re-training key employees of acquired companies and integrating them into our organizational structure and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financial costs of, addressing acquired compensation structures inconsistent with our compensation 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changes in, relationships with customers and partners of the acquired business;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and costs related to, transitioning the acquired technology onto our existing platforms and customer acceptance of multiple platforms on a temporary or permanent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46" w:name="page47"/>
    <w:bookmarkEnd w:id="46"/>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the acquired technologies and platforms to the levels that are consistent with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acquired products to impact the profitability of existing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including risks associated with acquired intellectual property and/or technologies;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to our results of operations because of the depreciation and amortization of amounts related to acquired intangible assets, fixed assets, and deferred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stock-based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acquired unearned revenue and unbilled unearned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 related to any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and policies at the acquired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challenges caused by integrating operations over distance, and across different languages, cultures, and political environments;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products and services may suffer, which could negatively affect our brand and reputation and harm our ability to attract users, employees, and organizations.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bring on new customers at the rate we anticipate.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experience, our business and reputation will suffer.</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customers from time to time rely upon our customer technical and research support teams to resolve technical and data accuracy issues relating to our products and services. We may be unable to respond quickly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enough to accommodate short-term increases in customer demand for support services. Increased customer demand for these services, without corresponding revenue, could increase costs and adversely affect our reputation and operating results.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and packaging of our products and services.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will not be indicative of our future growth.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and grow current customer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users of and organizations on our free Community Edition into paying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and grow adoption of our products and services in new markets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7" w:right="339" w:bottom="1440" w:gutter="0" w:footer="0" w:header="0"/>
        </w:sectPr>
      </w:pPr>
    </w:p>
    <w:bookmarkStart w:id="49" w:name="page50"/>
    <w:bookmarkEnd w:id="49"/>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expand our sales force and otherwise scale our operations as a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through the creation and use of additional integrations;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and reliability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applicable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products and services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our acquisition strategy.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50" w:name="page51"/>
    <w:bookmarkEnd w:id="5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have overestimated the size of our total addressable market, our future growth rate may be limited.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2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grow subscriptions of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price and package our products and services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including those related to the expansion of our business and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51" w:name="page52"/>
    <w:bookmarkEnd w:id="51"/>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expenses related to the development or acquisition of technologies, products, or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and amortization associated with acquired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restructuring and transaction-related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2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integrations, capabilities, and enhancements;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product development, sales, and marketing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see “—Risks Related to Our Indebtedness.”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devote, and may continue to devote, substantial resources to our earlier platforms.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to customers outside the United States expose us to risks inherent in international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customs, and culture, may market and operate more effectively, and may enjoy greater local affinity or awareness;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which among other things may favor local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public perception of governments in the regions where we operate or plan to operate;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other collection difficulties;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(such as COVID-19), acts of war, terrorism, pandemics, or security breaches;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13" w:right="339" w:bottom="1440" w:gutter="0" w:footer="0" w:header="0"/>
        </w:sectPr>
      </w:pPr>
    </w:p>
    <w:bookmarkStart w:id="53" w:name="page54"/>
    <w:bookmarkEnd w:id="53"/>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political conditions; and</w:t>
      </w:r>
    </w:p>
    <w:p>
      <w:pPr>
        <w:spacing w:after="0" w:line="171" w:lineRule="exact"/>
        <w:rPr>
          <w:rFonts w:ascii="Times New Roman" w:cs="Times New Roman" w:eastAsia="Times New Roman" w:hAnsi="Times New Roman"/>
          <w:sz w:val="18"/>
          <w:szCs w:val="18"/>
          <w:color w:val="auto"/>
        </w:rPr>
      </w:pPr>
    </w:p>
    <w:p>
      <w:pPr>
        <w:ind w:left="340" w:right="1380" w:hanging="8"/>
        <w:spacing w:after="0" w:line="435" w:lineRule="auto"/>
        <w:tabs>
          <w:tab w:leader="none" w:pos="6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 Any of these factors could negatively impact our business and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experience breaches of our security measures due to human error, malfeasance, system errors or vulnerabilities, or other irregularities, including attempts by former, current, or future employees to misuse their authorized access and/or gain unauthorized access to our systems.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7"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the quality of our products and services or interfere with our customers’ use of our products and services, which could reduce demand, lower our revenues, and increase our costs.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errors, defects, disruptions, or other performance problems with our services could harm our reputation, business, results of operations, and financial condition.</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hardware, software, data, and cloud computing systems may not continue to be available at reasonable prices, on commercially reasonable terms, or at all. Any loss of the right to use any of these hardware, software,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17"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revenue and evaluate our business and future prospects.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not address these risks successfully, our results of operations could differ materially from our estimates and forecasts or the expectations of investors, causing our business to suffer and our Class A common stock price to decline.</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sued by third parties for various claims including alleged infringement of proprietary intellectual property rights.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breach our contracts, and our insurance may be inadequate to cover our losses.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result of damage to portions of its infrastructure. If the use of the internet is adversely affected by these issues, demand for our platform could decline.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59" w:name="page60"/>
    <w:bookmarkEnd w:id="5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particular, in May 2014, the FASB and International Accounting Standard Board jointly issued a new revenue recognition standard, Accounting Standard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17"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weakness in our internal controls over financial reporting. This could materially adversely affect us and lead to a decline in the market price of our Class A common stock.</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September 30, 2020. For a discussion of the restatement of our financial statements for the three- and six-month periods ended June 30, 2020, see “Management’s Discussion and Analysis of Financial Condition and Results of Operations—Recent Developments.”</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because the material weakness discussed above had not been fully remediated as of September 30, 2020, our management was unable to conclude that our disclosure controls and procedures were effective as of September 30, 2020.</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in each year since our inception, including net losses of $28.6 million in 2018, $78.0 million in 2019 and $72.7 million for the nine months ended September 30, 2020, and we had an accumulated deficit of $213.8 million as of December 31, 2019. We may not achieve or maintain profitability in the future. Because the market for our platform is rapidly evolving and has not yet reached widespread adoption, it 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balance sheet reflects goodwill of $445.7 million, $966.8 million, and $966.8 million as of December 31, 2018, December 31, 2019, and September 30, 2020, respectively, and intangible assets of $88.7 million, $370.6 million, and $340.0 million as of December 31, 2018, December 31, 2019, and September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7"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unclear and continually evolving. Existing tax laws, statutes, rules, regulations, or ordinances could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7"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total outstanding indebtedness of approximately $756.4 million consisting of outstanding borrowings under our first lien credit facilities. Additionally, we had $100 million of availability under our first lien revolving credit facility as of September 30, 2020. Our substantial indebtedness may:</w:t>
      </w:r>
    </w:p>
    <w:p>
      <w:pPr>
        <w:spacing w:after="0" w:line="12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7" w:right="339" w:bottom="1440" w:gutter="0" w:footer="0" w:header="0"/>
        </w:sectPr>
      </w:pPr>
    </w:p>
    <w:bookmarkStart w:id="65" w:name="page66"/>
    <w:bookmarkEnd w:id="65"/>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nine months ended September 30, 2020 were $510.9 million. Our total interest expense, net, for the nine months ended September 30, 2020 was $59.3 million. We may be unable to maintain a level of cash flow sufficient to permit us to pay the principal, premium, if any, and interest on our indebtedness.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7" w:right="339" w:bottom="1440" w:gutter="0" w:footer="0" w:header="0"/>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any event of default or declaration of acceleration under one debt instrument could result in an event of default under one or more of our other debt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our credit ratings could adversely impact our operations and lower our profitability.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17"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7"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of existing tax basis acquired in the Reorganization Transactions), and certain other tax benefits, including tax benefits attributable to payments under the Reorganization Tax Receivable Agreement.</w:t>
      </w:r>
    </w:p>
    <w:p>
      <w:pPr>
        <w:spacing w:after="0" w:line="10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prospectus)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3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17" w:right="339" w:bottom="1440" w:gutter="0" w:footer="0" w:header="0"/>
        </w:sectPr>
      </w:pPr>
    </w:p>
    <w:bookmarkStart w:id="69" w:name="page70"/>
    <w:bookmarkEnd w:id="6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on September 30, 2020, the aggregate amount of these termination payments would be approximately $1,963.9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1"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w:t>
      </w:r>
    </w:p>
    <w:p>
      <w:pPr>
        <w:spacing w:after="0" w:line="1" w:lineRule="exact"/>
        <w:rPr>
          <w:sz w:val="20"/>
          <w:szCs w:val="20"/>
          <w:color w:val="auto"/>
        </w:rPr>
      </w:pPr>
    </w:p>
    <w:p>
      <w:pPr>
        <w:jc w:val="both"/>
        <w:ind w:firstLine="8"/>
        <w:spacing w:after="0" w:line="255" w:lineRule="auto"/>
        <w:tabs>
          <w:tab w:leader="none" w:pos="2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7"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control us, and their interests may conflict with ours or yours in the future.</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October 31, 2020, the parties to our stockholders agreement beneficially owned approximately 89.0% of the combined voting power of our Class A, Class B, and Class C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3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of October 31, 2020, the Pre-IPO OpCo Unitholders owned 57.6% of the OpCo Units.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7" w:right="33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31, 2020, certain affiliates of TA Associates, Carlyle, and our Founders beneficially owned approximately 89.0% of the combined voting power of our Class A, Class B, and Class C common stock and were parties, among others, to a stockholders agreement described in “Certain Relationships and Related Person Transactions—Stockholders Agreement.” As a result, we are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is composed of a majority of “independent directors,” as defined under the Nasdaq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that is composed entirely of independent directors;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multi-class structure may have on the market price of our Class A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whether our multi-class structure, combined with the concentrated control of our stockholders who hold our capital stock including our Sponsors, executive officers, employees, and directors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17" w:right="339" w:bottom="1440" w:gutter="0" w:footer="0" w:header="0"/>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18"/>
          <w:szCs w:val="18"/>
          <w:color w:val="auto"/>
        </w:rPr>
        <w:t>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disparity in the voting rights among the classes of common stock may have a potential adverse effect on the price of our Class A common stock.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public offering price due to a number of factors, such as those listed elsewhere in this “Risk Factors” section and the following:</w:t>
      </w:r>
    </w:p>
    <w:p>
      <w:pPr>
        <w:spacing w:after="0" w:line="12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competitors, or other comparable companies report operating results below the expectations of public market analysts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our competitors’, or other comparable companies’ quarterly operating results or dividends, if any, to stockholders;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our competitors, or other comparable companies provide to the public, any changes in this guidance, or failure to meet this guidance;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7" w:right="339" w:bottom="1440" w:gutter="0" w:footer="0" w:header="0"/>
        </w:sectPr>
      </w:pPr>
    </w:p>
    <w:bookmarkStart w:id="74" w:name="page75"/>
    <w:bookmarkEnd w:id="74"/>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others in our industry to meet analysts’ earnings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 or speculation in the press or investment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Class A common stock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government investigations, changes in laws, or changes in business or regulatory conditions, or differing interpretations or enforcement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industries we participate in;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scandals.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OpCo Units in connection with our incentive plans, acquisitions, or otherwise.</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October 31, 2020, we had 2,430,759,499 shares of Class A common stock authorized but unissued, including 228,488,162 shares of Class A common stock issuable upon exchange of OpCo Units or HoldCo Units that are held by the Pre-IPO OpCo Unitholders or the Pre-IPO HoldCo Unitholders, respectively, 91,582,353 shares of Class A common stock issuable upon conversion of 91,582,353 shares of Class C common stock that are held by the Pre-IPO Blocker Holders, and 12,291,007 shares of Class A common stock (based on the closing price of our Class A common stock of $37.99 per share as reported on Nasdaq on September 30, 2020) issuable upon the vesting and conversion of 14,383,955 Pre-IPO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public offering price per share of Class A common stock, and 630,000 Class P Units with a participation threshold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strike price) equal to the IPO public offering price per share of Class A common stock were granted under our 2020 Omnibus Incentive Plan. See “Executive Compensation—Compensation Arrangements Adopted in Connection with the IPO—2020 Omnibus Incentive Plan.” Any Class A common stock that we issue, including under our 2020 Omnibus Incentive Plan or other equity incentive plans that we may adopt in the future, would dilute the percentage ownership held by the holders who elect to exchange for shares of Class A common stock registered hereby.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adversely affect the voting power or value of our Class A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October 31, 2020, we had a total of 69,240,501 shares of our Class A common stock outstanding. Of these shares, all of the shares of our Class A common stock sold in the IPO and sold in the Secondary Offering (totaling 68,354,135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2020, an aggregate of 224,283,503 OpCo Units and an aggregate of 4,204,659 HoldCo Units would be exchangeable for shares of our Class A common stock and an aggregate of 91,582,353 shares of Class 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5"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IPO,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after June 3, 2020, except with certain underwriters’ prior written consent.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liability company agreement of ZoomInfo OpCo, the holders of 14,383,955 Pre-IPO Class P Units, which have a weighted-average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strike price) of $5.53 per Class P Unit, will be able to exchange their Pre-IPO Class P Units into shares of our Class A common stock which shares are registered hereby,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As of October 31, 2020, the shares covered by registration rights would represent approximately 79.2% of our total Class A common stock outstanding,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7" w:name="page78"/>
    <w:bookmarkEnd w:id="7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08"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38" w:lineRule="exact"/>
        <w:rPr>
          <w:sz w:val="20"/>
          <w:szCs w:val="20"/>
          <w:color w:val="auto"/>
        </w:rPr>
      </w:pPr>
    </w:p>
    <w:p>
      <w:pPr>
        <w:ind w:right="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Risks Related to the Exchange of Pre-IPO Class P Units or the Settlement of HSKB Phantom Units for shares of Class A Common Stock </w:t>
      </w:r>
      <w:r>
        <w:rPr>
          <w:rFonts w:ascii="Times New Roman" w:cs="Times New Roman" w:eastAsia="Times New Roman" w:hAnsi="Times New Roman"/>
          <w:sz w:val="18"/>
          <w:szCs w:val="18"/>
          <w:b w:val="1"/>
          <w:bCs w:val="1"/>
          <w:i w:val="1"/>
          <w:iCs w:val="1"/>
          <w:color w:val="auto"/>
        </w:rPr>
        <w:t>The exchange of Pre-IPO Class P Units or the settlement of HSKB Phantom Units for our Class A common stock is a taxable transaction.</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the exchange of Pre-IPO Class P Units or the settlement of HSKB Phantom Units for Class A common stock will be a taxable event. The recognition of any loss resulting from an exchange of Pre-IPO Class P Units for shares of our Class A common stock is subject to a number of limitations set forth in the Internal Revenue Code of 1986, as amended (the “Code”). You should consult your own tax advisor regarding the particular consequences to you of an exchange of your Pre-IPO Class P Units for our Class A common stock, including rules for determining your basis and amount of gain recognized. A holder of HSKB Phantom Units will be taxed on the fair market value of the shares of Class A common stock the holder receives in settlement of the HSKB Phantom Units as regular compensation income. The ability of a holder of Pre-IPO Class P Units or HSKB Phantom Units to sell a substantial number of shares of our Class A common stock in order to raise cash to pay tax liabilities associated with the exchange of the Pre-IPO Class P Units or the settlement of HSKB Phantom Units may be restricted and, as a result of stock price fluctuations, the price the holder of Pre-IPO Class P Units or HSKB Phantom Units receives for the shares of our Class A common stock may not equal the value of the Pre-IPO Class P Units or HSKB Phantom Units at the time of the exchange or settlement, as applicable.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Class A common stock is different from an investment in Pre-IPO Class P Units and HSKB Phantom Units.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holder exchanges Pre-IPO Class P Units for shares of our Class A common stock or if a holder’s HSKB Phantom Units upon vesting are settled for shares of our Class A common stock, the holder will become one of our stockholders rather than a direct or indirect member of ZoomInfo OpCo or ZoomInfo HoldCo, as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3"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Although the nature of an investment in our Class A common stock is similar to an investment in Pre-IPO Class P Units and HSKB Phantom Units, there are differences, including the following:</w:t>
      </w:r>
    </w:p>
    <w:p>
      <w:pPr>
        <w:spacing w:after="0" w:line="10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consent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“Organizational Structure”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prospectus:</w:t>
      </w:r>
    </w:p>
    <w:p>
      <w:pPr>
        <w:spacing w:after="0" w:line="108"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shifting their existing business models to become more competitive with us;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or adapt our platform for changes in laws and regulations or public perception, or changes in the enforcement of such laws, relating to data privacy;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companies more effectively catering to our customers by offering more tailored products or platforms at lower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reducing spending on sales and marketing;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declining demand for sales and marketing subscription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technology and keep up with new processes for data collection, organization, and cleansing;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highly accurate, reliable, and comprehensive platform moving forward;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systems that we do not control to integrate with our system and our potential inability to continue to support integration;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research and development potentially limiting introduction of new features, integrations, and enhancements;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expand existing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impacting the depth, breadth, and accuracy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and maintain our brand and our ability to attract and retain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and maintain effective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3" w:right="339" w:bottom="1440" w:gutter="0" w:footer="0" w:header="0"/>
        </w:sectPr>
      </w:pPr>
    </w:p>
    <w:bookmarkStart w:id="81" w:name="page82"/>
    <w:bookmarkEnd w:id="81"/>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services, databases, and technologies into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“Risk Factors.”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108" w:lineRule="exact"/>
        <w:rPr>
          <w:sz w:val="20"/>
          <w:szCs w:val="20"/>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Sales and Marketing Intelligence Solutions Drive Improved Business Outcomes, a commissioned study conducted by Forrester Consulting on behalf of DiscoverOrg, August 2019;</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Sales, Salesforce Research, July 2018;</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Global Capital IQ database, ©2019: S&amp;P Global Market Intelligence;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Industry Analysts, Global Customer Relationship Management (CRM) Software Industry Report, October 2019;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the True Cost of Sales, Sirius Decisions, 2019.</w:t>
      </w:r>
    </w:p>
    <w:p>
      <w:pPr>
        <w:spacing w:after="0" w:line="17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these third-party sources are reliable, we do not guarantee the accuracy or completeness of this information, and we have not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13" w:right="339" w:bottom="1440" w:gutter="0" w:footer="0" w:header="0"/>
        </w:sectPr>
      </w:pPr>
    </w:p>
    <w:bookmarkStart w:id="83" w:name="page84"/>
    <w:bookmarkEnd w:id="83"/>
    <w:p>
      <w:pPr>
        <w:ind w:left="42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the IPO and the Transactions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consolidated financial statements of ZoomInfo OpCo, the accounting predecessor. ZoomInfo Technologies Inc. consolidates ZoomInfo OpCo through ZoomInfo HoldCo in its consolidated financial statements and records a non-controlling interest related to the OpCo Units and HoldCo Units held by our pre-IPO owners on its consolidated balance sheet and statement of income.</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vote as a single class on all matters on which stockholders are entitled to vote generally, except as otherwise required by law.</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organizational structure is commonly referred to as an UP-C structure. This organizational structure allows our Pre-IPO OpCo Unitholders to retain their equity ownership in ZoomInfo OpCo, an entity that is classified as a partnership for U.S. federal income tax purposes, in the form of OpCo Units. Holders of shares of Class A common stock, upon (i) exchange of Pre-IPO Class P Units or (ii) settlement of HSKB Phantom Units,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diagram below depicts our organizational structure as of October 31, 2020.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349240" cy="547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547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hanging="332"/>
        <w:spacing w:after="0" w:line="249" w:lineRule="auto"/>
        <w:tabs>
          <w:tab w:leader="none" w:pos="33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As of October 31, 2020, the Pre-IPO OpCo Unitholders and the Pre-IPO HoldCo Unitholders held 224,283,503 and 4,204,659 shares of our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7" w:right="339" w:bottom="1440" w:gutter="0" w:footer="0" w:header="0"/>
        </w:sectPr>
      </w:pPr>
    </w:p>
    <w:bookmarkStart w:id="85" w:name="page86"/>
    <w:bookmarkEnd w:id="85"/>
    <w:p>
      <w:pPr>
        <w:jc w:val="both"/>
        <w:ind w:left="340"/>
        <w:spacing w:after="0" w:line="249" w:lineRule="auto"/>
        <w:rPr>
          <w:sz w:val="20"/>
          <w:szCs w:val="20"/>
          <w:color w:val="auto"/>
        </w:rPr>
      </w:pPr>
      <w:r>
        <w:rPr>
          <w:rFonts w:ascii="Times New Roman" w:cs="Times New Roman" w:eastAsia="Times New Roman" w:hAnsi="Times New Roman"/>
          <w:sz w:val="14"/>
          <w:szCs w:val="14"/>
          <w:color w:val="auto"/>
        </w:rPr>
        <w:t>Class B common stock, respectively, collectively representing 100% of our outstanding Class B common stock, and collectively held 69.9% of the voting power in ZoomInfo Technologies Inc. As of October 31, 2020, the holders of our Class B and Class C common stock collectively held 97.9% of the voting power in ZoomInfo Technologies Inc. For additional information, see “Organizational Structure—Organizational Structure Following the IPO and the Transactions” and “Description of Capital Stock—Common Stock—Class B Common Stock.”</w:t>
      </w:r>
    </w:p>
    <w:p>
      <w:pPr>
        <w:spacing w:after="0" w:line="1" w:lineRule="exact"/>
        <w:rPr>
          <w:sz w:val="20"/>
          <w:szCs w:val="20"/>
          <w:color w:val="auto"/>
        </w:rPr>
      </w:pPr>
    </w:p>
    <w:p>
      <w:pPr>
        <w:jc w:val="both"/>
        <w:ind w:left="340" w:hanging="332"/>
        <w:spacing w:after="0" w:line="241"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generally.As of October 31, 2020, the Pre-IPO Blocker Holders held 91,582,353 shares of our Class C common stock, representing 100% of our Class C common stock, and collectively held 28.0% of the voting power in ZoomInfo Technologies Inc. As of October 31, 2020, the holders of our Class B and Class C common stock collectively held 97.9% of the voting power in ZoomInfo Technologies Inc. For additional information, see “Organizational Structure—Organizational Structure Following the IPO and the Transactions” and “Description of Capital Stock—Common Stock—Class C Common Stock.”</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such Pre-IPO Class P Units are fully vested, as of October 31, 2020, 12,291,007 shares of Class A common stock (based on the closing price of our Class A common stock of $37.99 per share as reported on Nasdaq on October 30, 2020) would be issuable upon the exchange of 14,383,955 Pre-IPO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ZoomInfo LLC (formerly known as DiscoverOrg, LLC) serves as the borrower under the secured credit facilities. See “Description of Certain Indebtedness.”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outstanding common stock, OpCo Units and HoldCo Units as of October 31, 2020 (and does not give effect to the issuance upon exchange of shares of Class A common stock registered hereby) (i) on an actual basis, excluding the conversion of 14,383,955 Pre-IPO Class P Units held by the Continuing Class P Unitholders, which are convertible for 12,291,007 shares of Class A common stock (based on the closing price of our Class A common stock of $37.99 per share as reported on Nasdaq on October 31, 2020) upon vesting, and (ii) on a diluted basis, assuming the conversion of such Pre-IPO Class P Units: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4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4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4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Class C Common</w:t>
            </w:r>
          </w:p>
        </w:tc>
        <w:tc>
          <w:tcPr>
            <w:tcW w:w="14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1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Stockholders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69,240,501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69,240,501</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Pre-IPO OpCo Unitholders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224,283,503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224,283,503</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224,283,503</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Pre-IPO HoldCo Unitholders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4,204,659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4,204,659</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4,204,659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Pre-IPO Blocker Holders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91,582,353</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ZoomInfo Technologies Inc.</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160,822,854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ZoomInfo HoldCo</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165,027,513</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outstanding</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69,240,501</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389,311,016</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165,027,513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389,311,016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20"/>
              <w:spacing w:after="0" w:line="122" w:lineRule="exact"/>
              <w:rPr>
                <w:sz w:val="20"/>
                <w:szCs w:val="20"/>
                <w:color w:val="auto"/>
              </w:rPr>
            </w:pPr>
            <w:r>
              <w:rPr>
                <w:rFonts w:ascii="Times New Roman" w:cs="Times New Roman" w:eastAsia="Times New Roman" w:hAnsi="Times New Roman"/>
                <w:sz w:val="14"/>
                <w:szCs w:val="14"/>
                <w:color w:val="auto"/>
              </w:rPr>
              <w:t>Total, after giving effect to the conversion of</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9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auto"/>
              </w:rPr>
              <w:t>Pre-IPO Class P Units held by Continuing</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81,531,508</w:t>
            </w: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11"/>
                <w:szCs w:val="11"/>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401,602,023</w:t>
            </w:r>
          </w:p>
        </w:tc>
        <w:tc>
          <w:tcPr>
            <w:tcW w:w="8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177,318,520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401,602,023</w:t>
            </w:r>
          </w:p>
        </w:tc>
        <w:tc>
          <w:tcPr>
            <w:tcW w:w="0" w:type="dxa"/>
            <w:vAlign w:val="bottom"/>
          </w:tcPr>
          <w:p>
            <w:pPr>
              <w:spacing w:after="0"/>
              <w:rPr>
                <w:sz w:val="1"/>
                <w:szCs w:val="1"/>
                <w:color w:val="auto"/>
              </w:rPr>
            </w:pPr>
          </w:p>
        </w:tc>
      </w:tr>
      <w:tr>
        <w:trPr>
          <w:trHeight w:val="162"/>
        </w:trPr>
        <w:tc>
          <w:tcPr>
            <w:tcW w:w="2920" w:type="dxa"/>
            <w:vAlign w:val="bottom"/>
          </w:tcPr>
          <w:p>
            <w:pPr>
              <w:ind w:left="400"/>
              <w:spacing w:after="0" w:line="162" w:lineRule="exact"/>
              <w:rPr>
                <w:sz w:val="20"/>
                <w:szCs w:val="20"/>
                <w:color w:val="auto"/>
              </w:rPr>
            </w:pPr>
            <w:r>
              <w:rPr>
                <w:rFonts w:ascii="Times New Roman" w:cs="Times New Roman" w:eastAsia="Times New Roman" w:hAnsi="Times New Roman"/>
                <w:sz w:val="14"/>
                <w:szCs w:val="14"/>
                <w:color w:val="auto"/>
              </w:rPr>
              <w:t>Class P Unitholders</w:t>
            </w:r>
            <w:r>
              <w:rPr>
                <w:rFonts w:ascii="Times New Roman" w:cs="Times New Roman" w:eastAsia="Times New Roman" w:hAnsi="Times New Roman"/>
                <w:sz w:val="18"/>
                <w:szCs w:val="18"/>
                <w:color w:val="auto"/>
                <w:vertAlign w:val="superscript"/>
              </w:rPr>
              <w:t>(1)</w:t>
            </w: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20" w:type="dxa"/>
            <w:vAlign w:val="bottom"/>
            <w:shd w:val="clear" w:color="auto" w:fill="CCEEFF"/>
          </w:tcPr>
          <w:p>
            <w:pPr>
              <w:ind w:left="220"/>
              <w:spacing w:after="0" w:line="102" w:lineRule="exact"/>
              <w:rPr>
                <w:sz w:val="20"/>
                <w:szCs w:val="20"/>
                <w:color w:val="auto"/>
              </w:rPr>
            </w:pPr>
            <w:r>
              <w:rPr>
                <w:rFonts w:ascii="Times New Roman" w:cs="Times New Roman" w:eastAsia="Times New Roman" w:hAnsi="Times New Roman"/>
                <w:sz w:val="11"/>
                <w:szCs w:val="11"/>
                <w:color w:val="auto"/>
              </w:rPr>
              <w:t>Total, after giving further effect to the vesting</w:t>
            </w: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4"/>
                <w:szCs w:val="14"/>
                <w:color w:val="auto"/>
              </w:rPr>
              <w:t>of employee equity grants under our 2020</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83,069,800</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228,488,162</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403,140,315</w:t>
            </w:r>
          </w:p>
        </w:tc>
        <w:tc>
          <w:tcPr>
            <w:tcW w:w="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178,856,812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403,140,315</w:t>
            </w:r>
          </w:p>
        </w:tc>
        <w:tc>
          <w:tcPr>
            <w:tcW w:w="0" w:type="dxa"/>
            <w:vAlign w:val="bottom"/>
          </w:tcPr>
          <w:p>
            <w:pPr>
              <w:spacing w:after="0"/>
              <w:rPr>
                <w:sz w:val="1"/>
                <w:szCs w:val="1"/>
                <w:color w:val="auto"/>
              </w:rPr>
            </w:pPr>
          </w:p>
        </w:tc>
      </w:tr>
      <w:tr>
        <w:trPr>
          <w:trHeight w:val="169"/>
        </w:trPr>
        <w:tc>
          <w:tcPr>
            <w:tcW w:w="2920" w:type="dxa"/>
            <w:vAlign w:val="bottom"/>
            <w:tcBorders>
              <w:bottom w:val="single" w:sz="8" w:color="CCEEFF"/>
            </w:tcBorders>
            <w:shd w:val="clear" w:color="auto" w:fill="CCEEFF"/>
          </w:tcPr>
          <w:p>
            <w:pPr>
              <w:ind w:left="400"/>
              <w:spacing w:after="0" w:line="162" w:lineRule="exact"/>
              <w:rPr>
                <w:sz w:val="20"/>
                <w:szCs w:val="20"/>
                <w:color w:val="auto"/>
              </w:rPr>
            </w:pPr>
            <w:r>
              <w:rPr>
                <w:rFonts w:ascii="Times New Roman" w:cs="Times New Roman" w:eastAsia="Times New Roman" w:hAnsi="Times New Roman"/>
                <w:sz w:val="14"/>
                <w:szCs w:val="14"/>
                <w:color w:val="auto"/>
              </w:rPr>
              <w:t>Omnibus Incentive Plan</w:t>
            </w:r>
            <w:r>
              <w:rPr>
                <w:rFonts w:ascii="Times New Roman" w:cs="Times New Roman" w:eastAsia="Times New Roman" w:hAnsi="Times New Roman"/>
                <w:sz w:val="18"/>
                <w:szCs w:val="18"/>
                <w:color w:val="auto"/>
                <w:vertAlign w:val="superscript"/>
              </w:rPr>
              <w:t>(2)</w:t>
            </w: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-95885</wp:posOffset>
            </wp:positionV>
            <wp:extent cx="5288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ind w:left="340" w:hanging="332"/>
        <w:spacing w:after="0" w:line="241"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of any Pre-IPO Class P Unit for a share of Class A common stock, one OpCo Unit will be issued to ZoomInfo HoldCo and one HoldCo Unit will be issued to ZoomInfo Technologies Inc.</w:t>
      </w:r>
    </w:p>
    <w:p>
      <w:pPr>
        <w:jc w:val="both"/>
        <w:ind w:left="340" w:hanging="332"/>
        <w:spacing w:after="0" w:line="249"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ZoomInfo Technologies Inc. held by the Sponsors, the Founders, management and others, and public stockholders (which does not reflect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3" w:right="339" w:bottom="1440" w:gutter="0" w:footer="0" w:header="0"/>
        </w:sectPr>
      </w:pPr>
    </w:p>
    <w:bookmarkStart w:id="86" w:name="page87"/>
    <w:bookmarkEnd w:id="86"/>
    <w:p>
      <w:pPr>
        <w:ind w:right="20"/>
        <w:spacing w:after="0" w:line="282" w:lineRule="auto"/>
        <w:rPr>
          <w:sz w:val="20"/>
          <w:szCs w:val="20"/>
          <w:color w:val="auto"/>
        </w:rPr>
      </w:pPr>
      <w:r>
        <w:rPr>
          <w:rFonts w:ascii="Times New Roman" w:cs="Times New Roman" w:eastAsia="Times New Roman" w:hAnsi="Times New Roman"/>
          <w:sz w:val="18"/>
          <w:szCs w:val="18"/>
          <w:color w:val="auto"/>
        </w:rPr>
        <w:t>exchange of any Class P Unit for a share of Class A common stock) as of October 31, 2020 (and does not give effect to the issuance upon exchange of shares of Class A common stock registered hereby):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 Owned</w:t>
            </w:r>
            <w:r>
              <w:rPr>
                <w:rFonts w:ascii="Times New Roman" w:cs="Times New Roman" w:eastAsia="Times New Roman" w:hAnsi="Times New Roman"/>
                <w:sz w:val="18"/>
                <w:szCs w:val="18"/>
                <w:b w:val="1"/>
                <w:bCs w:val="1"/>
                <w:color w:val="auto"/>
                <w:vertAlign w:val="superscript"/>
              </w:rPr>
              <w:t>(1)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(2)</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234,501,949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2,345,019,490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Founders</w:t>
            </w:r>
            <w:r>
              <w:rPr>
                <w:rFonts w:ascii="Times New Roman" w:cs="Times New Roman" w:eastAsia="Times New Roman" w:hAnsi="Times New Roman"/>
                <w:sz w:val="23"/>
                <w:szCs w:val="23"/>
                <w:color w:val="auto"/>
                <w:vertAlign w:val="superscript"/>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66,011,392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660,113,920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Others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19,557,174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195,571,740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 Stockholders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69,240,501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69,240,501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389,311,016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3,269,945,651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43" w:lineRule="exact"/>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5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40" w:hanging="332"/>
        <w:spacing w:after="0" w:line="245" w:lineRule="auto"/>
        <w:tabs>
          <w:tab w:leader="none" w:pos="33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Stockholders”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of ZoomInfo Technologies Inc.</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of ZoomInfo HoldCo</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formed ZoomInfo HoldCo on February 25, 2020 as a new subsidiary and became the sole managing member of ZoomInfo HoldCo. Upon the consummation of the Reorganization Transactions, ZoomInfo HoldCo became the sole managing member of ZoomInfo OpCo and the management of ZoomInfo HoldCo vested in its manager. Certain pre-IPO owners acquired interests in ZoomInfo HoldCo and ZoomInfo HoldCo acquired OpCo Units previously held directly or indirectly by such pre-IPO owners pursuant to the Blocker Mergers described below and in connection with the redemption of certain OpCo Units.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Blocker Mergers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ZoomInfo Technologies Inc. formed a new merger subsidiary with respect to each of the Blocker Companies, through which certain of our Pre-IPO Blocker Holders held their interests in us, and each merger subsidiary merged with and into the respective Blocker Companies in reverse subsidiary mergers, and the surviving entities merged with and into ZoomInfo Technologies Inc. In the Blocker Mergers, the Pre-IPO Blocker Holders, as the 100% owners of the Blocker Companies, received (i) 98,106,387 shares of newly issued Class C common stock and (ii) an aggregate cash amount equal to 275,269 shares of Class C common stock multiplied by the public offering price per share of Class A common stock, less the underwriting discount, in respect of reductions in such Pre-IPO Blocker Holders’ equity interests, and ZoomInfo Technologies Inc. acquired an equal number of outstanding OpCo Units from the Pre-IPO Blocker Holders. ZoomInfo Technologies Inc. contributed the OpCo Units it received in the Blocker Mergers to ZoomInfo HoldCo in exchange for a corresponding number of newly issued HoldCo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Reclassification and Amendment and Restatement of Limited Liability Company Agreement of ZoomInfo OpCo</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IPO, the capital structure of ZoomInfo OpCo consisted of four different classes of limited partnership interests (Series A Preferred Units, Preferred, Common, and Class P). A portion of the proceeds from the IPO was used to redeem and cancel all outstanding Series A Preferred Units. The limited liability company agreement of ZoomInfo OpCo was amended and restated to, among other things, modify its capital structure by reclassifying its outstanding preferred units and common units into a new class of units that we refer to as “OpCo Units.” Class P Units that were held by Continuing Class P Unitholders at the time of the IPO remained as Class P Units. Additionally, ZoomInfo OpCo effected a four-for-one reverse unit split. Immediately following the Reorganization Transactions but prior to the other IPO Transactions described below, there were 340,795,683 OpCo Units issued and outstanding.</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on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In addition, we granted 577,879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For additional information regarding the conversion of the Class P Units, see “Executive Compensation—Compensation Arrangements Adopted in Connection with the IPO—Conversion of Class P Units.”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ZoomInfo HoldCo is the sole managing member of ZoomInfo OpCo. Pursuant to the amended and restated limited liability company agreement of ZoomInfo Holdco, the management of ZoomInfo HoldCo vests in its manager. Accordingly, ZoomInfo Technologies Inc., through ZoomInfo HoldCo, has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18"/>
          <w:szCs w:val="18"/>
          <w:color w:val="auto"/>
        </w:rPr>
        <w:t>restrictions, the holders of Class P Units have the right to exchange their vested Class P Units into a number of shares of Class A common stock that will generally be equal to (a) the product of the number of vested Class P Units to be exchanged with a given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 ZoomInfo OpCo Amended and Restated Limited Liability Company Agreement.”</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October 31, 2020, the Continuing Class P Unitholders held 14,383,955 Pre-IPO Class P Units, exchangeable for 12,291,007 shares of Class A common stock (based on the closing price of our Class A common stock of $37.99 per share as reported on Nasdaq on October 30, 2020). If the Continuing Class P Unitholders elect to exchange their Pre-IPO Class P units for shares of Class A common stock, the number of OpCo Units and HoldCo Units held by ZoomInfo HoldCo and ZoomInfo Technologies Inc., respectively, will increase by a number that is equal to the number of shares of Class A common stock issued upon exchange of such Pre-IPO Class P units.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Pre-IPO Class P Units who exchange their units for shares of Class A common stock, generally may sell the shares of Class A common stock received upon such exchange from time to time as each holder may determine through public or private transactions. Each holder may also sell shares under Rule 144 under the Securities Act, if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October 31, 2020, the Continuing HSKB Phantom Unitholders held 500,970 HSKB Phantom Units, which may be settled for 500,970 shares of Class A common stock. If ZoomInfo Technologies Inc. settles the Continuing HSKB Phantom Unitholders’ HSKB Phantom Units for shares of Class A common stock, the number of HoldCo Units held by ZoomInfo Technologies Inc. will increase by a number that is equal to the number of HSKB Phantom Units so settled.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17" w:right="339" w:bottom="1440" w:gutter="0" w:footer="0" w:header="0"/>
        </w:sectPr>
      </w:pPr>
    </w:p>
    <w:bookmarkStart w:id="89" w:name="page90"/>
    <w:bookmarkEnd w:id="89"/>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holders of HSKB Phantom Units whose units are settled in shares of Class A common stock generally may sell the shares of Class A common stock received upon such exchange or settlement from time to time as each holder may determine through public or private transactions. Each holder may also sell shares under Rule 144 under the Securities Act of 1933, as amended, if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IPO Transactions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the time of the consummation of the IPO, ZoomInfo Technologies Inc. consummated the purchase, for cash, of newly issued HoldCo Units from ZoomInfo HoldCo at a purchase price per unit equal to the initial public offering price per share of Class A common stock in the IPO net of the underwriting discount. ZoomInfo HoldCo, in turn, consummated the purchase, for cash, of newly issued OpCo Units from ZoomInfo OpCo at a purchase price per unit equal to the initial public offering price per share of Class A common stock in the IPO net of the underwriting discount. ZoomInfo HoldCo purchased from ZoomInfo OpCo 48,528,783 newly issued OpCo Units for an aggregate of $966.9 million. The issuance and sale of such newly issued OpCo Units by ZoomInfo OpCo to ZoomInfo HoldCo correspondingly diluted the ownership interests of our pre-IPO owners in ZoomInfo OpCo. See “Principal Stockholders” for more information regarding the proceeds from the IPO that were paid to our directors and named executive officers. In addition, ZoomInfo Technologies Inc. used a portion of the net proceeds from the IPO (including from the exercise by the underwriters of their option to purchase additional shares of Class A common stock) (i) to purchase newly issued HoldCo Units from ZoomInfo HoldCo, which in turn purchased the same number of newly issued OpCo Units from ZoomInfo OpCo, (ii) to purchase OpCo Units from certain Pre-IPO OpCo Unitholders; and (iii) to fund merger consideration payable to certain Pre-IPO Blocker Holders in connection with the Blocker Mergers. The foregoing purchases of OpCo Units were at a price per unit equal to the initial public offering price per share of Class A common stock in the IPO, less the underwriting discount. Upon each purchase of HoldCo Units or OpCo Units, the corresponding shares of Class B common stock were canceled. ZoomInfo Technologies Inc. contributed the OpCo Units it received in the Blocker Mergers to ZoomInfo HoldCo in exchange for a corresponding number of newly issued HoldCo Units. The number of outstanding OpCo Units of ZoomInfo OpCo equals the aggregate number of outstanding shares of Class A common stock, Class B common stock, and Class C common stock. ZoomInfo Technologies Inc. holds,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7"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used the proceeds it received through ZoomInfo HoldCo from the IPO to redeem and cancel all outstanding Series A Preferred Units, to repay our second lien term loans, to repay outstanding borrowings under our first lien revolving credit facility, and for general corporate purposes. See “Certain Relationships and Related Person Transactions—Purchase of OpCo Units and Payment of Blocker Merger Consideration.”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refer to the foregoing transactions as the “IPO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17"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any shares of our Class A common stock pursuant to this prospectus, although we will acquire the OpCo Units or HoldCo Units, as applicable, exchanged for shares of Class A common stock that are issued to a Continuing Class P Unitholder and Continuing HSKB Phantom Unitholder.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1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 —ZoomInfo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agreement governing our secured credit facilities contains a number of covenants that restrict, subject to certain exceptions, certain of our subsidiaries’ ability to pay dividends to us. See “Description of Certain Indebtedness.”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its formation in November 2019, ZoomInfo Technologies Inc. has not paid any dividends to holders of 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93" w:name="page94"/>
    <w:bookmarkEnd w:id="93"/>
    <w:p>
      <w:pPr>
        <w:spacing w:after="0" w:line="282" w:lineRule="auto"/>
        <w:rPr>
          <w:sz w:val="20"/>
          <w:szCs w:val="20"/>
          <w:color w:val="auto"/>
        </w:rPr>
      </w:pPr>
      <w:r>
        <w:rPr>
          <w:rFonts w:ascii="Times New Roman" w:cs="Times New Roman" w:eastAsia="Times New Roman" w:hAnsi="Times New Roman"/>
          <w:sz w:val="18"/>
          <w:szCs w:val="18"/>
          <w:color w:val="auto"/>
        </w:rPr>
        <w:t>outstanding common stock. In 2018 and 2019 and during the nine months ended September 30, 2020, ZoomInfo OpCo made cash distributions to equity partners in an aggregate amount of $93.4 million, $16.5 million, and $9.9 million,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17" w:right="339" w:bottom="1440" w:gutter="0" w:footer="0" w:header="0"/>
        </w:sectPr>
      </w:pPr>
    </w:p>
    <w:bookmarkStart w:id="94" w:name="page95"/>
    <w:bookmarkEnd w:id="94"/>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September 30, 2020.</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are not components of our total capitalization. You should read this table together with the other information contained in this prospectus, including “Organizational Structure,”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87"/>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0" w:type="dxa"/>
            <w:vAlign w:val="bottom"/>
          </w:tcPr>
          <w:p>
            <w:pPr>
              <w:spacing w:after="0"/>
              <w:rPr>
                <w:sz w:val="1"/>
                <w:szCs w:val="1"/>
                <w:color w:val="auto"/>
              </w:rPr>
            </w:pPr>
          </w:p>
        </w:tc>
      </w:tr>
      <w:tr>
        <w:trPr>
          <w:trHeight w:val="164"/>
        </w:trPr>
        <w:tc>
          <w:tcPr>
            <w:tcW w:w="9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lien revolving credit facility</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lien term loans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2,500,000,000 shares authorized and 69,173,426 shares issued and</w:t>
            </w:r>
          </w:p>
        </w:tc>
        <w:tc>
          <w:tcPr>
            <w:tcW w:w="2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500,000,000 shares authorized and 228,491,601 shares issued and</w:t>
            </w:r>
          </w:p>
        </w:tc>
        <w:tc>
          <w:tcPr>
            <w:tcW w:w="20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944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outstanding</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C common stock, $0.01 par value per share, 300,000,000 shares authorized and 91,582,353 shares issued and</w:t>
            </w:r>
          </w:p>
        </w:tc>
        <w:tc>
          <w:tcPr>
            <w:tcW w:w="2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outstanding</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23"/>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we had no borrowings and no outstanding letters of credit under our first lien revolving credit facility. In connection with the IPO, on June 8, 2020, we used a portion of the net proceeds from the IPO to repay $35.0 million of outstanding borrowings under our first lien revolving credit facility. For a further description of our first lien credit agreement, see “Description of Certain Indebtedness.”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$756.4 million aggregate principal amount of our first lien term loans, net of unamortized discounts and issuance costs. Our first lien term loans mature on February 1, 2026. In June 2020, we used a portion of the net proceeds from the IPO to prepay $100.0 million aggregate principal amount of the outstanding first lien term loans, including accrued interest thereon. For a further description of our first lien credit agreement, see “Description of Certain Indebtedness.”</w:t>
      </w:r>
    </w:p>
    <w:p>
      <w:pPr>
        <w:spacing w:after="0" w:line="1" w:lineRule="exact"/>
        <w:rPr>
          <w:rFonts w:ascii="Times New Roman" w:cs="Times New Roman" w:eastAsia="Times New Roman" w:hAnsi="Times New Roman"/>
          <w:sz w:val="14"/>
          <w:szCs w:val="14"/>
          <w:color w:val="auto"/>
        </w:rPr>
      </w:pPr>
    </w:p>
    <w:p>
      <w:pPr>
        <w:jc w:val="both"/>
        <w:ind w:left="340" w:right="2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1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AND CONSOLIDATED FINANCIAL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and consolidated statement of operations for the year ended December 31, 2019 and the nine months ended September 30, 2020 give pro forma effect to the Zoom Information Acquisition, the Reorganization Transactions, and the IPO Transactions (collectively, the “Transactions”).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08"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first lien and second lien term loans to fund the Zoom Information Acquisition and refinancing our pre-existing term loans;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intangibles and acquisition-related unearned revenue adjustments.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Reorganization Transactions are described in the notes to the unaudited pro forma combined and consolidated financial information and primarily include: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Mergers and the issuance of shares of Class C common stock to the Pre-IPO Blocker Holders;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69.5% non-controlling interest in ZoomInfo OpCo represented by OpCo Units not held by ZoomInfo HoldCo after the completion of the Reorganization Transactions and prior to the IPO Transactions;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5.4% non-controlling interest in ZoomInfo HoldCo represented by HoldCo Units not held by ZoomInfo Technologies Inc. after the completion of the Reorganization Transactions and prior to the IPO Transactions.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IPO Transactions are described in the notes to the unaudited pro forma combined and consolidated financial information and primarily include: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51,175,000 shares of our Class A common stock in the IPO and the receipt of net proceeds of approximately $1,019.6 million, based on the initial public offering price of $21.00 per share in the IPO, after deducting the underwriting discount and estimated unpaid offering expenses;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all 51.75 million outstanding Series A Preferred Units for $274.2 million;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$35.0 million to repay all outstanding borrowings under our first lien revolving credit facility.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statements of operations for the year ended December 31, 2019 and the nine months ended September 30, 2020 give pro forma effect to the Transactions as if they had occurred on January 1, 2019. No pro forma combined and consolidated balance sheet as of September 30, 2020 is necessary to reflect the Transactions as the Transactions are fully reflected in ZoomInfo Technologies Inc.’s historical consolidated balance sheet as of September 30, 2020.</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ZoomInfo Technologies Inc.’s historical consolidated financial information has been derived from its consolidated financial statements and accompanying notes included elsewhere in this prospectus. ZoomInfo OpCo’s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Because ZoomInfo Technologies Inc. was formed on November 14, 2019 and had no material assets or results of operations until the completion of the IPO, its historical financial information is not included in the unaudited pro forma combined and consolidated financial information for the year ended December 31, 2019.</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are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7" w:right="339" w:bottom="1440" w:gutter="0" w:footer="0" w:header="0"/>
        </w:sectPr>
      </w:pPr>
    </w:p>
    <w:bookmarkStart w:id="97" w:name="page98"/>
    <w:bookmarkEnd w:id="97"/>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gridSpan w:val="14"/>
          </w:tcPr>
          <w:p>
            <w:pPr>
              <w:jc w:val="center"/>
              <w:ind w:left="2449"/>
              <w:spacing w:after="0"/>
              <w:rPr>
                <w:sz w:val="20"/>
                <w:szCs w:val="20"/>
                <w:color w:val="auto"/>
              </w:rPr>
            </w:pPr>
            <w:r>
              <w:rPr>
                <w:rFonts w:ascii="Times New Roman" w:cs="Times New Roman" w:eastAsia="Times New Roman" w:hAnsi="Times New Roman"/>
                <w:sz w:val="18"/>
                <w:szCs w:val="18"/>
                <w:b w:val="1"/>
                <w:bCs w:val="1"/>
                <w:color w:val="auto"/>
                <w:w w:val="99"/>
              </w:rPr>
              <w:t>UNAUDITED PRO FORMA COMBINED AND CONSOLIDATED</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280" w:type="dxa"/>
            <w:vAlign w:val="bottom"/>
            <w:gridSpan w:val="9"/>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7"/>
              </w:rPr>
              <w:t>STATEMENT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280" w:type="dxa"/>
            <w:vAlign w:val="bottom"/>
            <w:gridSpan w:val="9"/>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9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4"/>
              </w:rPr>
              <w:t>Pro Forma Adjustments</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06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ZoomInfo</w:t>
            </w:r>
          </w:p>
        </w:tc>
        <w:tc>
          <w:tcPr>
            <w:tcW w:w="9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Pre-Acquisition</w:t>
            </w:r>
          </w:p>
        </w:tc>
        <w:tc>
          <w:tcPr>
            <w:tcW w:w="100" w:type="dxa"/>
            <w:vAlign w:val="bottom"/>
          </w:tcPr>
          <w:p>
            <w:pPr>
              <w:spacing w:after="0"/>
              <w:rPr>
                <w:sz w:val="10"/>
                <w:szCs w:val="10"/>
                <w:color w:val="auto"/>
              </w:rPr>
            </w:pPr>
          </w:p>
        </w:tc>
        <w:tc>
          <w:tcPr>
            <w:tcW w:w="11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Zoom Information</w:t>
            </w:r>
          </w:p>
        </w:tc>
        <w:tc>
          <w:tcPr>
            <w:tcW w:w="160" w:type="dxa"/>
            <w:vAlign w:val="bottom"/>
          </w:tcPr>
          <w:p>
            <w:pPr>
              <w:spacing w:after="0"/>
              <w:rPr>
                <w:sz w:val="10"/>
                <w:szCs w:val="10"/>
                <w:color w:val="auto"/>
              </w:rPr>
            </w:pPr>
          </w:p>
        </w:tc>
        <w:tc>
          <w:tcPr>
            <w:tcW w:w="1400" w:type="dxa"/>
            <w:vAlign w:val="bottom"/>
            <w:gridSpan w:val="3"/>
          </w:tcPr>
          <w:p>
            <w:pPr>
              <w:jc w:val="center"/>
              <w:ind w:right="4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IPO Transactions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69"/>
              <w:spacing w:after="0" w:line="122"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060" w:type="dxa"/>
            <w:vAlign w:val="bottom"/>
            <w:gridSpan w:val="3"/>
          </w:tcPr>
          <w:p>
            <w:pPr>
              <w:jc w:val="center"/>
              <w:ind w:right="80"/>
              <w:spacing w:after="0" w:line="175" w:lineRule="exact"/>
              <w:rPr>
                <w:sz w:val="20"/>
                <w:szCs w:val="20"/>
                <w:color w:val="auto"/>
              </w:rPr>
            </w:pPr>
            <w:r>
              <w:rPr>
                <w:rFonts w:ascii="Times New Roman" w:cs="Times New Roman" w:eastAsia="Times New Roman" w:hAnsi="Times New Roman"/>
                <w:sz w:val="13"/>
                <w:szCs w:val="13"/>
                <w:b w:val="1"/>
                <w:bCs w:val="1"/>
                <w:color w:val="auto"/>
                <w:w w:val="91"/>
              </w:rPr>
              <w:t>OpCo</w:t>
            </w:r>
            <w:r>
              <w:rPr>
                <w:rFonts w:ascii="Times New Roman" w:cs="Times New Roman" w:eastAsia="Times New Roman" w:hAnsi="Times New Roman"/>
                <w:sz w:val="16"/>
                <w:szCs w:val="16"/>
                <w:b w:val="1"/>
                <w:bCs w:val="1"/>
                <w:color w:val="auto"/>
                <w:w w:val="91"/>
                <w:vertAlign w:val="superscript"/>
              </w:rPr>
              <w:t>(a)</w:t>
            </w:r>
          </w:p>
        </w:tc>
        <w:tc>
          <w:tcPr>
            <w:tcW w:w="300" w:type="dxa"/>
            <w:vAlign w:val="bottom"/>
          </w:tcPr>
          <w:p>
            <w:pPr>
              <w:spacing w:after="0"/>
              <w:rPr>
                <w:sz w:val="15"/>
                <w:szCs w:val="15"/>
                <w:color w:val="auto"/>
              </w:rPr>
            </w:pPr>
          </w:p>
        </w:tc>
        <w:tc>
          <w:tcPr>
            <w:tcW w:w="7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ZI</w:t>
            </w:r>
            <w:r>
              <w:rPr>
                <w:rFonts w:ascii="Times New Roman" w:cs="Times New Roman" w:eastAsia="Times New Roman" w:hAnsi="Times New Roman"/>
                <w:sz w:val="7"/>
                <w:szCs w:val="7"/>
                <w:b w:val="1"/>
                <w:bCs w:val="1"/>
                <w:color w:val="auto"/>
              </w:rPr>
              <w:t>(b)</w:t>
            </w:r>
          </w:p>
        </w:tc>
        <w:tc>
          <w:tcPr>
            <w:tcW w:w="140" w:type="dxa"/>
            <w:vAlign w:val="bottom"/>
          </w:tcPr>
          <w:p>
            <w:pPr>
              <w:spacing w:after="0"/>
              <w:rPr>
                <w:sz w:val="15"/>
                <w:szCs w:val="15"/>
                <w:color w:val="auto"/>
              </w:rPr>
            </w:pPr>
          </w:p>
        </w:tc>
        <w:tc>
          <w:tcPr>
            <w:tcW w:w="10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3"/>
                <w:szCs w:val="13"/>
                <w:b w:val="1"/>
                <w:bCs w:val="1"/>
                <w:color w:val="auto"/>
              </w:rPr>
              <w:t>Acquisition</w:t>
            </w:r>
            <w:r>
              <w:rPr>
                <w:rFonts w:ascii="Times New Roman" w:cs="Times New Roman" w:eastAsia="Times New Roman" w:hAnsi="Times New Roman"/>
                <w:sz w:val="16"/>
                <w:szCs w:val="16"/>
                <w:b w:val="1"/>
                <w:bCs w:val="1"/>
                <w:color w:val="auto"/>
                <w:vertAlign w:val="superscript"/>
              </w:rPr>
              <w:t>(c)</w:t>
            </w:r>
          </w:p>
        </w:tc>
        <w:tc>
          <w:tcPr>
            <w:tcW w:w="160" w:type="dxa"/>
            <w:vAlign w:val="bottom"/>
          </w:tcPr>
          <w:p>
            <w:pPr>
              <w:spacing w:after="0"/>
              <w:rPr>
                <w:sz w:val="15"/>
                <w:szCs w:val="15"/>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0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 of service</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520" w:type="dxa"/>
            <w:vAlign w:val="bottom"/>
            <w:gridSpan w:val="2"/>
          </w:tcPr>
          <w:p>
            <w:pPr>
              <w:jc w:val="right"/>
              <w:ind w:right="328"/>
              <w:spacing w:after="0"/>
              <w:rPr>
                <w:sz w:val="20"/>
                <w:szCs w:val="20"/>
                <w:color w:val="auto"/>
              </w:rPr>
            </w:pPr>
            <w:r>
              <w:rPr>
                <w:rFonts w:ascii="Times New Roman" w:cs="Times New Roman" w:eastAsia="Times New Roman" w:hAnsi="Times New Roman"/>
                <w:sz w:val="9"/>
                <w:szCs w:val="9"/>
                <w:color w:val="auto"/>
              </w:rPr>
              <w:t>(i)</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5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9"/>
                <w:szCs w:val="9"/>
                <w:color w:val="auto"/>
              </w:rPr>
              <w:t>(i)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89"/>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gridSpan w:val="2"/>
          </w:tcPr>
          <w:p>
            <w:pPr>
              <w:jc w:val="right"/>
              <w:ind w:right="328"/>
              <w:spacing w:after="0"/>
              <w:rPr>
                <w:sz w:val="20"/>
                <w:szCs w:val="20"/>
                <w:color w:val="auto"/>
              </w:rPr>
            </w:pPr>
            <w:r>
              <w:rPr>
                <w:rFonts w:ascii="Times New Roman" w:cs="Times New Roman" w:eastAsia="Times New Roman" w:hAnsi="Times New Roman"/>
                <w:sz w:val="9"/>
                <w:szCs w:val="9"/>
                <w:color w:val="auto"/>
              </w:rPr>
              <w:t>(i)</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5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9"/>
                <w:szCs w:val="9"/>
                <w:color w:val="auto"/>
              </w:rPr>
              <w:t>(i)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9"/>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 and transaction-related expenses</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30"/>
        </w:trPr>
        <w:tc>
          <w:tcPr>
            <w:tcW w:w="390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Income (loss) from operations</w:t>
            </w: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
              <w:spacing w:after="0" w:line="130"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(35.1)</w:t>
            </w: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42"/>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120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color w:val="auto"/>
              </w:rPr>
              <w:t xml:space="preserve">(39.3) </w:t>
            </w:r>
            <w:r>
              <w:rPr>
                <w:rFonts w:ascii="Times New Roman" w:cs="Times New Roman" w:eastAsia="Times New Roman" w:hAnsi="Times New Roman"/>
                <w:sz w:val="18"/>
                <w:szCs w:val="18"/>
                <w:color w:val="auto"/>
                <w:vertAlign w:val="superscript"/>
              </w:rPr>
              <w:t>(f)</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89"/>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5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Provision for (benefit from) income taxes</w:t>
            </w:r>
            <w:r>
              <w:rPr>
                <w:rFonts w:ascii="Times New Roman" w:cs="Times New Roman" w:eastAsia="Times New Roman" w:hAnsi="Times New Roman"/>
                <w:sz w:val="18"/>
                <w:szCs w:val="18"/>
                <w:color w:val="auto"/>
                <w:vertAlign w:val="superscript"/>
              </w:rPr>
              <w:t>(d)</w:t>
            </w:r>
          </w:p>
        </w:tc>
        <w:tc>
          <w:tcPr>
            <w:tcW w:w="5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shd w:val="clear" w:color="auto" w:fill="CCEEFF"/>
          </w:tcPr>
          <w:p>
            <w:pPr>
              <w:ind w:left="220"/>
              <w:spacing w:after="0" w:line="102" w:lineRule="exact"/>
              <w:rPr>
                <w:sz w:val="20"/>
                <w:szCs w:val="20"/>
                <w:color w:val="auto"/>
              </w:rPr>
            </w:pPr>
            <w:r>
              <w:rPr>
                <w:rFonts w:ascii="Times New Roman" w:cs="Times New Roman" w:eastAsia="Times New Roman" w:hAnsi="Times New Roman"/>
                <w:sz w:val="11"/>
                <w:szCs w:val="11"/>
                <w:color w:val="auto"/>
              </w:rPr>
              <w:t>Less: Net income (loss) attributable to the non-controlling</w:t>
            </w:r>
          </w:p>
        </w:tc>
        <w:tc>
          <w:tcPr>
            <w:tcW w:w="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xml:space="preserve">(39.9) </w:t>
            </w:r>
            <w:r>
              <w:rPr>
                <w:rFonts w:ascii="Times New Roman" w:cs="Times New Roman" w:eastAsia="Times New Roman" w:hAnsi="Times New Roman"/>
                <w:sz w:val="9"/>
                <w:szCs w:val="9"/>
                <w:color w:val="auto"/>
              </w:rPr>
              <w:t>(e)</w:t>
            </w:r>
          </w:p>
        </w:tc>
        <w:tc>
          <w:tcPr>
            <w:tcW w:w="3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interest</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52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9"/>
                <w:szCs w:val="9"/>
                <w:color w:val="auto"/>
              </w:rPr>
              <w:t>(e)</w:t>
            </w: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ZoomInfo Technologies Inc.</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39.9</w:t>
            </w:r>
          </w:p>
        </w:tc>
        <w:tc>
          <w:tcPr>
            <w:tcW w:w="2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Net income (loss) per Class A and Class C shares–basic and</w:t>
            </w:r>
          </w:p>
        </w:tc>
        <w:tc>
          <w:tcPr>
            <w:tcW w:w="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18"/>
                <w:szCs w:val="18"/>
                <w:color w:val="auto"/>
                <w:vertAlign w:val="superscript"/>
              </w:rPr>
              <w:t>(g)(h)</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basic and diluted per share calculations</w:t>
            </w:r>
            <w:r>
              <w:rPr>
                <w:rFonts w:ascii="Times New Roman" w:cs="Times New Roman" w:eastAsia="Times New Roman" w:hAnsi="Times New Roman"/>
                <w:sz w:val="18"/>
                <w:szCs w:val="18"/>
                <w:color w:val="auto"/>
                <w:vertAlign w:val="superscript"/>
              </w:rPr>
              <w:t>(g)(h)</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-1475740</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ZoomInfo</w:t>
            </w:r>
          </w:p>
        </w:tc>
        <w:tc>
          <w:tcPr>
            <w:tcW w:w="180" w:type="dxa"/>
            <w:vAlign w:val="bottom"/>
          </w:tcPr>
          <w:p>
            <w:pPr>
              <w:spacing w:after="0"/>
              <w:rPr>
                <w:sz w:val="11"/>
                <w:szCs w:val="11"/>
                <w:color w:val="auto"/>
              </w:rPr>
            </w:pPr>
          </w:p>
        </w:tc>
        <w:tc>
          <w:tcPr>
            <w:tcW w:w="160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IPO Transactions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Technologies Inc.</w:t>
            </w:r>
          </w:p>
        </w:tc>
        <w:tc>
          <w:tcPr>
            <w:tcW w:w="18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2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gridSpan w:val="2"/>
          </w:tcPr>
          <w:p>
            <w:pPr>
              <w:jc w:val="right"/>
              <w:ind w:right="370"/>
              <w:spacing w:after="0"/>
              <w:rPr>
                <w:sz w:val="20"/>
                <w:szCs w:val="20"/>
                <w:color w:val="auto"/>
              </w:rPr>
            </w:pPr>
            <w:r>
              <w:rPr>
                <w:rFonts w:ascii="Times New Roman" w:cs="Times New Roman" w:eastAsia="Times New Roman" w:hAnsi="Times New Roman"/>
                <w:sz w:val="12"/>
                <w:szCs w:val="12"/>
                <w:color w:val="auto"/>
                <w:w w:val="87"/>
              </w:rPr>
              <w:t>(i)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2"/>
                <w:szCs w:val="12"/>
                <w:color w:val="auto"/>
                <w:w w:val="87"/>
              </w:rPr>
              <w:t>(i)</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3"/>
          </w:tcPr>
          <w:p>
            <w:pPr>
              <w:jc w:val="right"/>
              <w:ind w:right="370"/>
              <w:spacing w:after="0" w:line="230" w:lineRule="exact"/>
              <w:rPr>
                <w:sz w:val="20"/>
                <w:szCs w:val="20"/>
                <w:color w:val="auto"/>
              </w:rPr>
            </w:pP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0"/>
                <w:szCs w:val="10"/>
                <w:color w:val="auto"/>
              </w:rPr>
              <w:t xml:space="preserve"> (i)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2"/>
                <w:szCs w:val="12"/>
                <w:color w:val="auto"/>
                <w:w w:val="87"/>
              </w:rPr>
              <w:t>(i)</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8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2"/>
                <w:szCs w:val="12"/>
                <w:color w:val="auto"/>
                <w:w w:val="83"/>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gridSpan w:val="2"/>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Provision for (Benefit from) income taxes</w:t>
            </w:r>
            <w:r>
              <w:rPr>
                <w:rFonts w:ascii="Times New Roman" w:cs="Times New Roman" w:eastAsia="Times New Roman" w:hAnsi="Times New Roman"/>
                <w:sz w:val="23"/>
                <w:szCs w:val="23"/>
                <w:color w:val="auto"/>
                <w:vertAlign w:val="superscript"/>
              </w:rPr>
              <w:t>(d)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the non-controlling interest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900"/>
              <w:spacing w:after="0" w:line="230" w:lineRule="exact"/>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23"/>
                <w:szCs w:val="23"/>
                <w:color w:val="auto"/>
                <w:vertAlign w:val="superscript"/>
              </w:rPr>
              <w:t>(e)</w:t>
            </w: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2"/>
                <w:szCs w:val="12"/>
                <w:color w:val="auto"/>
                <w:w w:val="89"/>
              </w:rPr>
              <w: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ZoomInfo Technologies Inc.</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Net income (loss) per Class A and Class C shares–basic and diluted</w:t>
            </w:r>
            <w:r>
              <w:rPr>
                <w:rFonts w:ascii="Times New Roman" w:cs="Times New Roman" w:eastAsia="Times New Roman" w:hAnsi="Times New Roman"/>
                <w:sz w:val="23"/>
                <w:szCs w:val="23"/>
                <w:color w:val="auto"/>
                <w:w w:val="99"/>
                <w:vertAlign w:val="superscript"/>
              </w:rPr>
              <w:t>(g)(h)</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Shares used in basic per share calculations</w:t>
            </w:r>
            <w:r>
              <w:rPr>
                <w:rFonts w:ascii="Times New Roman" w:cs="Times New Roman" w:eastAsia="Times New Roman" w:hAnsi="Times New Roman"/>
                <w:sz w:val="23"/>
                <w:szCs w:val="23"/>
                <w:color w:val="auto"/>
                <w:vertAlign w:val="superscript"/>
              </w:rPr>
              <w:t>(g)(h)</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and Consolidated Financial Information</w:t>
      </w:r>
    </w:p>
    <w:p>
      <w:pPr>
        <w:spacing w:after="0" w:line="175" w:lineRule="exact"/>
        <w:rPr>
          <w:sz w:val="20"/>
          <w:szCs w:val="20"/>
          <w:color w:val="auto"/>
        </w:rPr>
      </w:pPr>
    </w:p>
    <w:p>
      <w:pPr>
        <w:jc w:val="both"/>
        <w:ind w:left="340" w:hanging="332"/>
        <w:spacing w:after="0" w:line="266" w:lineRule="auto"/>
        <w:tabs>
          <w:tab w:leader="none" w:pos="3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was formed on November 14, 2019, and had no results of operations until the completion of the IPO. Therefore, its historical results of operations are not shown in a separate column in the unaudited pro forma combined and consolidated statement of operations for the year ended December 31, 2019.</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Pre-Acquisition ZI</w:t>
            </w:r>
          </w:p>
        </w:tc>
        <w:tc>
          <w:tcPr>
            <w:tcW w:w="240" w:type="dxa"/>
            <w:vAlign w:val="bottom"/>
          </w:tcPr>
          <w:p>
            <w:pPr>
              <w:spacing w:after="0"/>
              <w:rPr>
                <w:sz w:val="13"/>
                <w:szCs w:val="13"/>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60" w:type="dxa"/>
            <w:vAlign w:val="bottom"/>
          </w:tcPr>
          <w:p>
            <w:pPr>
              <w:spacing w:after="0"/>
              <w:rPr>
                <w:sz w:val="13"/>
                <w:szCs w:val="13"/>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Pre-Acquisition ZI as</w:t>
            </w:r>
          </w:p>
        </w:tc>
        <w:tc>
          <w:tcPr>
            <w:tcW w:w="0" w:type="dxa"/>
            <w:vAlign w:val="bottom"/>
          </w:tcPr>
          <w:p>
            <w:pPr>
              <w:spacing w:after="0"/>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 /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rules of Article 11 of Regulation S-X, the following pro forma adjustments were made relating to the Zoom Information Acquisition: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adjusted to recognize an increase in depreciation expense resulting from the fair value adjustments to acquired property and equipment.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is a limited liability company and is treated as a partnership for U.S. federal and most applicable state and local income tax purposes. As a result, it is not liable for U.S. federal or state and local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3" w:right="339" w:bottom="1440" w:gutter="0" w:footer="0" w:header="0"/>
        </w:sectPr>
      </w:pPr>
    </w:p>
    <w:bookmarkStart w:id="100" w:name="page101"/>
    <w:bookmarkEnd w:id="100"/>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became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3.2 million for the nine months ended September 30, 2020.</w:t>
      </w:r>
    </w:p>
    <w:p>
      <w:pPr>
        <w:spacing w:after="0" w:line="133" w:lineRule="exact"/>
        <w:rPr>
          <w:sz w:val="20"/>
          <w:szCs w:val="20"/>
          <w:color w:val="auto"/>
        </w:rPr>
      </w:pPr>
    </w:p>
    <w:p>
      <w:pPr>
        <w:jc w:val="both"/>
        <w:ind w:left="340" w:hanging="332"/>
        <w:spacing w:after="0" w:line="256" w:lineRule="auto"/>
        <w:tabs>
          <w:tab w:leader="none" w:pos="3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Reorganization Transactions, ZoomInfo Technologies Inc. had control over ZoomInfo HoldCo, which became the sole managing member of ZoomInfo OpCo. As a result, ZoomInfo Technologies Inc. owns approximately 94.6% of the economic interest in ZoomInfo HoldCo, but has 100% of the voting power and controls the management of ZoomInfo HoldCo, and ZoomInfo HoldCo owns approximately 30.5% of the economic interest in ZoomInfo OpCo, but has 100% of the voting power and controls the management of ZoomInfo OpCo. Immediately following the Reorganization Transactions, the ownership percentage held by the non-controlling interest and the net loss attributable to the non-controlling interest represented approximately 71.1% of net loss before the provision for income taxes.</w:t>
      </w:r>
    </w:p>
    <w:p>
      <w:pPr>
        <w:spacing w:after="0" w:line="133"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Reorganization and IPO Transactions, ZoomInfo Technologies Inc. owned approximately 97.3% of the economic interest in ZoomInfo HoldCo, and retained 100% of the voting power and controlled the management of ZoomInfo HoldCo, and ZoomInfo HoldCo owned approximately 39.7% of the economic interest in ZoomInfo OpCo, and retained 100% of the voting power and control the management of ZoomInfo OpCo. Immediately following the IPO Transactions, the ownership percentage held by the non-controlling interest and the net loss attributable to the non-controlling interest represented approximately 61.4% of net loss before the provision for income taxes.</w:t>
      </w:r>
    </w:p>
    <w:p>
      <w:pPr>
        <w:spacing w:after="0" w:line="1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(loss) attributable to non-controlling interests as a result of the Reorganization Transactions is calculated as follows: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6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net income (loss) from ZoomInfo OpCo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net income from Pre-Acquisition ZI</w:t>
            </w:r>
          </w:p>
        </w:tc>
        <w:tc>
          <w:tcPr>
            <w:tcW w:w="120" w:type="dxa"/>
            <w:vAlign w:val="bottom"/>
          </w:tcPr>
          <w:p>
            <w:pPr>
              <w:spacing w:after="0"/>
              <w:rPr>
                <w:sz w:val="19"/>
                <w:szCs w:val="19"/>
                <w:color w:val="auto"/>
              </w:rPr>
            </w:pP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from Zoom Information Acquisition</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 forma net income (loss) prior to the Reorganization Transactions</w:t>
            </w:r>
          </w:p>
        </w:tc>
        <w:tc>
          <w:tcPr>
            <w:tcW w:w="120" w:type="dxa"/>
            <w:vAlign w:val="bottom"/>
          </w:tcPr>
          <w:p>
            <w:pPr>
              <w:spacing w:after="0"/>
              <w:rPr>
                <w:sz w:val="19"/>
                <w:szCs w:val="19"/>
                <w:color w:val="auto"/>
              </w:rPr>
            </w:pPr>
          </w:p>
        </w:tc>
        <w:tc>
          <w:tcPr>
            <w:tcW w:w="17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ownership immediately following the Reorganization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0" w:type="dxa"/>
            <w:vAlign w:val="bottom"/>
          </w:tcPr>
          <w:p>
            <w:pPr>
              <w:spacing w:after="0"/>
              <w:rPr>
                <w:sz w:val="1"/>
                <w:szCs w:val="1"/>
                <w:color w:val="auto"/>
              </w:rPr>
            </w:pPr>
          </w:p>
        </w:tc>
      </w:tr>
      <w:tr>
        <w:trPr>
          <w:trHeight w:val="155"/>
        </w:trPr>
        <w:tc>
          <w:tcPr>
            <w:tcW w:w="67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non-controlling interests immediately following the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8"/>
        </w:trPr>
        <w:tc>
          <w:tcPr>
            <w:tcW w:w="670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Reorganization Transactions</w:t>
            </w:r>
          </w:p>
        </w:tc>
        <w:tc>
          <w:tcPr>
            <w:tcW w:w="12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 forma net income (loss) attributable to non-controlling interests as a result of the IPO Transactions is calculated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7" w:right="339" w:bottom="1440" w:gutter="0" w:footer="0" w:header="0"/>
        </w:sectPr>
      </w:pPr>
    </w:p>
    <w:bookmarkStart w:id="101" w:name="page102"/>
    <w:bookmarkEnd w:id="101"/>
    <w:tbl>
      <w:tblPr>
        <w:tblLayout w:type="fixed"/>
        <w:tblInd w:w="8"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3"/>
                <w:szCs w:val="13"/>
                <w:color w:val="auto"/>
              </w:rPr>
            </w:pPr>
          </w:p>
        </w:tc>
        <w:tc>
          <w:tcPr>
            <w:tcW w:w="16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(loss) prior to the Reorganization Transactions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 in non-controlling interest ownership due to the IPO Transactions</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56"/>
        </w:trPr>
        <w:tc>
          <w:tcPr>
            <w:tcW w:w="66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Reduction in net income (loss) attributable to non-controlling interest due to the IPO</w:t>
            </w:r>
          </w:p>
        </w:tc>
        <w:tc>
          <w:tcPr>
            <w:tcW w:w="12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adjustments to net income (loss) from the IPO Transactions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ownership immediately following the IPO Transactions</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176"/>
        </w:trPr>
        <w:tc>
          <w:tcPr>
            <w:tcW w:w="66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Non-controlling interest in the pro forma adjustments to net income (loss) from the IPO</w:t>
            </w:r>
          </w:p>
        </w:tc>
        <w:tc>
          <w:tcPr>
            <w:tcW w:w="1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Total net income (loss) attributable to non-controlling interest immediately following the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IPO Transactions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28" w:hanging="328"/>
        <w:spacing w:after="0" w:line="266"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reduction in interest expense of $39.3 million and $21.0 million for the year ended December 31, 2019 and nine months ended September 30, 2020, respectively, including the related accretion of original issue discount and amortization of deferred financing costs, as a result of the repayment of the second lien term loans, as if such repayment occurred on January 1, 2019.</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51.2 million shares of Class A common stock sold in the IPO. Other equity instruments that are convertible into our Class A common stock are excluded as they are anti-dilutive.</w:t>
      </w:r>
    </w:p>
    <w:p>
      <w:pPr>
        <w:spacing w:after="0" w:line="125" w:lineRule="exact"/>
        <w:rPr>
          <w:rFonts w:ascii="Times New Roman" w:cs="Times New Roman" w:eastAsia="Times New Roman" w:hAnsi="Times New Roman"/>
          <w:sz w:val="18"/>
          <w:szCs w:val="18"/>
          <w:color w:val="auto"/>
        </w:rPr>
      </w:pPr>
    </w:p>
    <w:p>
      <w:pPr>
        <w:ind w:left="328" w:hanging="328"/>
        <w:spacing w:after="0" w:line="282" w:lineRule="auto"/>
        <w:tabs>
          <w:tab w:leader="none" w:pos="3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do not share in our earnings and are therefore not included in the weighted-average shares outstanding or net loss per share.</w:t>
      </w:r>
    </w:p>
    <w:p>
      <w:pPr>
        <w:spacing w:after="0" w:line="107"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increased equity-based compensation expense after giving effect to the completion of the IPO. The adjustments to the unaudited pro forma consolidated statements of operations reflect the additional expense that we expect to record that will have a continuing impact on the Company’s operations and excludes the expense that will be incurred as an immediate result of the IPO. See “Management’s Discussion and Analysis of Financial Condition and Results of Operations—Critical Accounting Policies and Estimates—Equity-Based Compensation” for additional information. As discussed in the notes to the unaudited pro forma consolidated statements of operations, certain Class P Units have accelerated vesting upon completion of the IPO, and additional expense for the HSKB Incentive Units and HSKB Phantom awards is recorded in periods following the IPO in accordance with the time vesting provisions of the applicable underlying awards once the units can be exchanged for common stock in the Company after an initial public offering. Previously, the awards only vested upon a sale of 90% of the equity of ZoomInfo OpCo.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08"/>
          </w:cols>
          <w:pgMar w:left="652" w:top="143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present the selected historical consolidated financial data for ZoomInfo OpCo and its subsidiaries and ZoomInfo Technologies Inc.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4"/>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47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196"/>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9"/>
        </w:trPr>
        <w:tc>
          <w:tcPr>
            <w:tcW w:w="47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47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891"/>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413" w:right="339" w:bottom="1440" w:gutter="0" w:footer="0" w:header="0"/>
        </w:sectPr>
      </w:pPr>
    </w:p>
    <w:bookmarkStart w:id="103" w:name="page104"/>
    <w:bookmarkEnd w:id="103"/>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63"/>
        </w:trPr>
        <w:tc>
          <w:tcPr>
            <w:tcW w:w="4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4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96"/>
        </w:trPr>
        <w:tc>
          <w:tcPr>
            <w:tcW w:w="4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47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expenses, net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196"/>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per share information (unaudited)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used in basic and diluted per share calculations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150,160,371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150,160,371</w:t>
            </w:r>
          </w:p>
        </w:tc>
      </w:tr>
      <w:tr>
        <w:trPr>
          <w:trHeight w:val="216"/>
        </w:trPr>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(including current portion)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equity</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886"/>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equity-based compensation expense, as follows:</w:t>
      </w:r>
    </w:p>
    <w:p>
      <w:pPr>
        <w:spacing w:after="0" w:line="132"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r>
      <w:tr>
        <w:trPr>
          <w:trHeight w:val="23"/>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7"/>
                <w:szCs w:val="17"/>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8"/>
                <w:szCs w:val="18"/>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9"/>
                <w:szCs w:val="19"/>
                <w:color w:val="auto"/>
              </w:rPr>
            </w:pPr>
          </w:p>
        </w:tc>
      </w:tr>
      <w:tr>
        <w:trPr>
          <w:trHeight w:val="189"/>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-436245</wp:posOffset>
            </wp:positionV>
            <wp:extent cx="66008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-162560</wp:posOffset>
            </wp:positionV>
            <wp:extent cx="66008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-719455</wp:posOffset>
            </wp:positionV>
            <wp:extent cx="66008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0825" cy="145415"/>
                    </a:xfrm>
                    <a:prstGeom prst="rect">
                      <a:avLst/>
                    </a:prstGeom>
                    <a:noFill/>
                  </pic:spPr>
                </pic:pic>
              </a:graphicData>
            </a:graphic>
          </wp:anchor>
        </w:drawing>
      </w:r>
    </w:p>
    <w:p>
      <w:pPr>
        <w:spacing w:after="0" w:line="11"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200" w:lineRule="exact"/>
        <w:rPr>
          <w:sz w:val="20"/>
          <w:szCs w:val="20"/>
          <w:color w:val="auto"/>
        </w:rPr>
      </w:pPr>
    </w:p>
    <w:p>
      <w:pPr>
        <w:spacing w:after="0" w:line="3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24765</wp:posOffset>
            </wp:positionV>
            <wp:extent cx="1988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16"/>
        </w:trPr>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16"/>
        </w:trPr>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6"/>
        </w:trPr>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3"/>
        </w:trPr>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17.1</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-7620</wp:posOffset>
            </wp:positionV>
            <wp:extent cx="960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ectPr>
          <w:pgSz w:w="11900" w:h="16838" w:orient="portrait"/>
          <w:cols w:equalWidth="0" w:num="2">
            <w:col w:w="7680" w:space="400"/>
            <w:col w:w="2640"/>
          </w:cols>
          <w:pgMar w:left="320" w:top="1413" w:right="8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2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3000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retention activity improved during the nine months ended September 30, 2020, relative to the nine months ended September 30, 2019, we expect our net annual retention rate to face headwinds in 2020 due to the impact of COVID-19 and associated challenges with increasing sales to existing customers as sales cycles lengthen for larger deals.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September 30, 2019 and September 30, 2020, over 520 and 720 of our customers, respectively, spent more than $100,000 in ACV.</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$336.5 million for the nine months ended September 30, 2020 as compared to revenue of $202.2 million generated by us for the nine months ended September 30, 2019 and revenue of $9.7 million generated by Pre-Acquisition ZI for the one-month period ended January 31, 2019.</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Net Income. See “—Non-GAAP Financial Measures.” We generated Allocated Combined Receipts of $336.0 million for the year ended December 31, 2019, as compared to $241.2 million in 2018, and $338.4 million for the nine months ended September 30, 2020, as compared to $239.9 million for the nine months ended September 30, 2019. Our Adjusted Operating Income was $167.1 million for the year ended December 31, 2019, as compared to $83.7 million in 2018, and was $162.6 million for the nine months ended September 30, 2020, as compared to $120.0 million in the nine months ended September 30, 2019. Our Adjusted Operating Income Margin was 51% for the year ended December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17"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31, 2019, as compared to 57% in 2018, and was 48% for the nine months ended September 30, 2020, as compared to 52% for the nine months ended September 30, 2019. Allocated Combined Receipts includes activity from Pre-Acquisition ZI and other acquisitions during the periods prior to our ownership of them in 2018, 2019, and the nine months ended September 30, 2019. Adjusted Operating Income and Adjusted Operating Margin do not include results of operations from acquired entities before their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incorporated in November 2019 and, pursuant to a reorganization, became a holding corporation, the principal asset of which is a controlling interest in ZoomInfo HoldCo, which holds a controlling interest in ZoomInfo OpCo. ZoomInfo Technologies Inc. operates and controls all of the business and affairs of ZoomInfo OpCo through ZoomInfo HoldCo and, through ZoomInfo OpCo and its subsidiaries, conducts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we executed several reorganization transactions described under “Organizational Structure,” as a result of which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 Pursuant to the amended and restated limited liability company agreements of ZoomInfo HoldCo and ZoomInfo OpCo, as applicable, the management of ZoomInfo HoldCo is vested in its manager and ZoomInfo HoldCo is the sole managing member of ZoomInfo OpCo.</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that held voting units before the IPO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17"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September 30, 2019 and September 30, 2020, we had over 13,000 and 17,000 customers, respectively. We define a customer as a company that maintains one or more active paid subscriptions to our platform.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Delivering Additional High-Value Solutions to Our Existing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expand relationships with existing customers and delivering additional high-value solutions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 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and Adjusted Net Income, which are used by management in making operating decisions, allocating financial resources, internal planning and forecasting, and for business strategy purposes. We believe that non-GAAP financial information 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7"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view Allocated Combined Receipts, Adjusted Operating Income, Adjusted Operating Income Margin, Adjusted EBITDA, and Adjusted Net Income as operating performance measures. We believe that the most directly comparable GAAP financial measure to Allocated Combined Receipts is GAAP revenue. We believe that the most directly comparable GAAP financial measure to Adjusted Operating Income is GAAP operating income. We believe that the most directly comparable GAAP finance measure to Adjusted Operating Income Margin is GAAP operating income divided by GAAP revenue. We believe that the most directly comparable GAAP financial measure to Adjusted EBITDA and Adjusted Net Income is GAAP Net Income.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has been useful to investors because it has illustrated the trends in our organic revenue growth and allowed investors to analyze the drivers of revenue on the same basis as management. Since our Allocated Combined Receipts has converged over time with our GAAP revenue, we do not expect to continue reporting Allocated Combined Receipts following the third quarter of 2020.</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Allocated Combined Receipts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176"/>
        </w:trPr>
        <w:tc>
          <w:tcPr>
            <w:tcW w:w="4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(a)</w:t>
            </w:r>
          </w:p>
        </w:tc>
        <w:tc>
          <w:tcPr>
            <w:tcW w:w="9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Pre-Acquisition ZI revenue</w:t>
            </w:r>
            <w:r>
              <w:rPr>
                <w:rFonts w:ascii="Times New Roman" w:cs="Times New Roman" w:eastAsia="Times New Roman" w:hAnsi="Times New Roman"/>
                <w:sz w:val="23"/>
                <w:szCs w:val="23"/>
                <w:color w:val="auto"/>
                <w:vertAlign w:val="superscript"/>
              </w:rPr>
              <w:t>(b)</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 recorded by Pre-Acquisition ZI</w:t>
            </w:r>
            <w:r>
              <w:rPr>
                <w:rFonts w:ascii="Times New Roman" w:cs="Times New Roman" w:eastAsia="Times New Roman" w:hAnsi="Times New Roman"/>
                <w:sz w:val="23"/>
                <w:szCs w:val="23"/>
                <w:color w:val="auto"/>
                <w:vertAlign w:val="superscript"/>
              </w:rPr>
              <w:t>(c)</w:t>
            </w:r>
          </w:p>
        </w:tc>
        <w:tc>
          <w:tcPr>
            <w:tcW w:w="9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Pre-acquisition revenue of other acquired companies</w:t>
            </w:r>
            <w:r>
              <w:rPr>
                <w:rFonts w:ascii="Times New Roman" w:cs="Times New Roman" w:eastAsia="Times New Roman" w:hAnsi="Times New Roman"/>
                <w:sz w:val="23"/>
                <w:szCs w:val="23"/>
                <w:color w:val="auto"/>
                <w:vertAlign w:val="superscript"/>
              </w:rPr>
              <w:t>(d)</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Combined Receipts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Growth</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0" w:type="dxa"/>
            <w:vAlign w:val="bottom"/>
          </w:tcPr>
          <w:p>
            <w:pPr>
              <w:spacing w:after="0"/>
              <w:rPr>
                <w:sz w:val="1"/>
                <w:szCs w:val="1"/>
                <w:color w:val="auto"/>
              </w:rPr>
            </w:pPr>
          </w:p>
        </w:tc>
      </w:tr>
      <w:tr>
        <w:trPr>
          <w:trHeight w:val="729"/>
        </w:trPr>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41" w:lineRule="auto"/>
        <w:tabs>
          <w:tab w:leader="none" w:pos="33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Allocated Combined Receipts for the year ended December 31, 2019 was $336.0 million, which represented growth of $94.8 million, or 39%, relative to the year ended December 31, 2018. Allocated Combined Receipts for the nine months ended September 30, 2020 was $338.4 million, which represented an increase of $98.5 million, or 41%, relative to the nine months ended September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3" w:right="339" w:bottom="1440" w:gutter="0" w:footer="0" w:header="0"/>
        </w:sectPr>
      </w:pPr>
    </w:p>
    <w:bookmarkStart w:id="111" w:name="page112"/>
    <w:bookmarkEnd w:id="111"/>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Net Income and income (loss) from operations to Adjusted Operating Income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Integration costs and acquisition-related expenses(d)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(income) expense, net, excluding tax receivable</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 liability remeasurement (benefit) expense</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spacing w:after="0" w:line="163"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7" w:right="339" w:bottom="1440" w:gutter="0" w:footer="0" w:header="0"/>
        </w:sectPr>
      </w:pPr>
    </w:p>
    <w:bookmarkStart w:id="112" w:name="page113"/>
    <w:bookmarkEnd w:id="112"/>
    <w:p>
      <w:pPr>
        <w:ind w:left="340"/>
        <w:spacing w:after="0" w:line="282" w:lineRule="auto"/>
        <w:rPr>
          <w:sz w:val="20"/>
          <w:szCs w:val="20"/>
          <w:color w:val="auto"/>
        </w:rPr>
      </w:pPr>
      <w:r>
        <w:rPr>
          <w:rFonts w:ascii="Times New Roman" w:cs="Times New Roman" w:eastAsia="Times New Roman" w:hAnsi="Times New Roman"/>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8"/>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Operating Income Margin as Adjusted Operating Income divided by the sum of revenue and the impact of fair value adjustments to acquired unearned 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30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176"/>
        </w:trPr>
        <w:tc>
          <w:tcPr>
            <w:tcW w:w="44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80" w:type="dxa"/>
            <w:vAlign w:val="bottom"/>
          </w:tcPr>
          <w:p>
            <w:pPr>
              <w:spacing w:after="0"/>
              <w:rPr>
                <w:sz w:val="15"/>
                <w:szCs w:val="15"/>
                <w:color w:val="auto"/>
              </w:rPr>
            </w:pPr>
          </w:p>
        </w:tc>
        <w:tc>
          <w:tcPr>
            <w:tcW w:w="12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for adjusted operating margin calculation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3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2019 was $167.1 million and represented an Adjusted Operating Income Margin of 51%. 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Operating Income for the nine months ended September 30, 2020 was $162.6 million and represented an Adjusted Operating Income Margin of 48%. Adjusted Operating Income for the nine months ended September 30, 2019 was $120.0 million and represented an Adjusted Operating Income Margin of 52%. The increase in Adjusted Operating Income of $42.6 million, or 35%, was driven primarily from the growth in revenue that resulted from the acquisition of Pre-Acquisition ZI and additional customers in 2020 and 2019. Adjusted Operating Income Margin decreased due to incremental sales and marketing expenses related to signing new customers and retaining and upselling existing customers, and general and administration costs to support incremental public company related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8"/>
          <w:szCs w:val="18"/>
          <w:color w:val="auto"/>
        </w:rPr>
        <w:t>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8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6"/>
        </w:trPr>
        <w:tc>
          <w:tcPr>
            <w:tcW w:w="46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66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(b)</w:t>
            </w: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Integration costs and acquisition-related expenses(d)</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For the nine months ended September 30, 2019, this expense related primarily to the acquisition of Pre-Acquisition ZI, including professional fees, severance, and acceleration of payments for terminated employees.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2020, this expense related primarily to cash vesting payments from the acquisition of Pre-Acquisition ZI (see Note 4 to our consolidated financial statements included elsewhere in this prospectus). For the nine months ended September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17" w:right="339" w:bottom="1440" w:gutter="0" w:footer="0" w:header="0"/>
        </w:sectPr>
      </w:pPr>
    </w:p>
    <w:bookmarkStart w:id="114" w:name="page115"/>
    <w:bookmarkEnd w:id="114"/>
    <w:p>
      <w:pPr>
        <w:ind w:left="340"/>
        <w:spacing w:after="0"/>
        <w:rPr>
          <w:sz w:val="20"/>
          <w:szCs w:val="20"/>
          <w:color w:val="auto"/>
        </w:rPr>
      </w:pPr>
      <w:r>
        <w:rPr>
          <w:rFonts w:ascii="Times New Roman" w:cs="Times New Roman" w:eastAsia="Times New Roman" w:hAnsi="Times New Roman"/>
          <w:sz w:val="14"/>
          <w:szCs w:val="14"/>
          <w:color w:val="auto"/>
        </w:rPr>
        <w:t>and NeverBounce. This expense is included in cost of service, sales and marketing expense, research and development expense, and general and administrative expense as follows: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284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8"/>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2020 was $169.0 million, an increase of $44.8 million, or 36%, relative to the nine months ended September 30, 2019. This increase was driven primarily from the growth in revenue that resulted from the acquisition of Pre-Acquisition ZI and additional customers in 2020 and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as described under “Certain Relationships and Related Person Transactions—Tax Receivable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13" w:right="339" w:bottom="1440" w:gutter="0" w:footer="0" w:header="0"/>
        </w:sectPr>
      </w:pPr>
    </w:p>
    <w:bookmarkStart w:id="115" w:name="page116"/>
    <w:bookmarkEnd w:id="115"/>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$35.0 million of outstanding borrowings under the Company’s first lien revolving credit facility; (iv) pay certain expenses related to the IPO; and</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$100.0 million aggregate principal amount of the first lien term loans outstanding under our first lien credit agreement, including accrued interest thereon, using approximately $101.2 million of the proceeds; ZoomInfo OpCo intends to use the remaining proceeds for general corporate purposes. We expect these debt repayments to drive future reductions in our interest expense compared to historical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24, 2020, certain selling stockholders, including entities affiliated with the Sponsors, completed a secondary offering of 17,179,135 shares of Class A common stock at a price to the public of $37.00 per share. The selling stockholders received all of the net proceeds of approximately $615 million after deducting the underwriting discount.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Zoom Information Acquisition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nine months ended September 30, 2020 to be greater than that of the nine months ended September 30, 2019 due to the debt being outstanding for the entire period in 2020. However, this increase was mitigated and offset by (a) a reduction in interest rates period over period and (b) the debt repayments and prepayments referenced above as part of our IPO. The addition of debt due to the Zoom Information Acquisition did affect the comparability of our results for the year ended December 31, 2019 as compared to the year ended December 31, 2018. See “— Results of Operations.”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17" w:right="339" w:bottom="1440" w:gutter="0" w:footer="0" w:header="0"/>
        </w:sectPr>
      </w:pPr>
    </w:p>
    <w:bookmarkStart w:id="116" w:name="page117"/>
    <w:bookmarkEnd w:id="1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later in 2019 nor in 2020. Expenses relating to any accelerated payments under the Cash Vesting Payment Program (see Note 4 to our audited financial statements included elsewhere in this prospectus) are recorded as operating expense according to the functional area aligning to the employee’s salary and is included as integration and transaction-related compensation expenses when calculating non-GAAP metrics.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adopted Topic 606, effective January 1, 2018, using the full retrospective method of adoption as if the adoption occurred on January 1, 2017. See Note 2 – Basis of Presentation and Summary of Significant Accounting Policies to our consolidated financial statements included elsewhere in this prospectus for additional information.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Pre-Acquisition ZI adopted Topic 606 effective January 1, 2019, using the modified retrospective method of adoption. Results for Pre-Acquisition ZI beginning after January 1, 2019 are presented under Topic 606, while prior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17" w:right="3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period amounts are not adjusted and continue to be presented in accordance with their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acquisition of Pre-Acquisition ZI, contract acquisition costs related to our larger sales and marketing team, which primarily consist of commissions to salespeople, were capitalized and deferred as prescribed under 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Our Financial Statements as of and for the Periods Ended June 30, 2020</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our unaudited condensed consolidated financial statements as of and for the three- and nine-month periods ended September 30, 2020, we reviewed our determination of a tax benefit of approximately $21.6 million related to the difference between the GAAP basis and tax basis of partnerships owned by corporations within our corporate structure recorded during the quarterly period ended June 30, 2020 in our unaudited condensed consolidated financial statements as of and for the periods ended June 30, 2020. In our current judgement, we should not have recorded the tax benefit. As a result, we have restated our previously issued consolidated financial statements as of and for the three- and six-month periods ended June 30, 2020 in Amendment No. 1 to our Quarterly Report on Form 10-Q for the quarterly period ended June 30,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annually, semi-annually, or quarterly, and we typically require payment at the beginning of each annual, semi-annual, or quarterly period.</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exchange for these services. We record a contract asset when revenue recognized on a contract exceeds the billings to date for that contract.</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0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6" w:lineRule="exact"/>
        <w:rPr>
          <w:sz w:val="20"/>
          <w:szCs w:val="20"/>
          <w:color w:val="auto"/>
        </w:rPr>
      </w:pPr>
    </w:p>
    <w:p>
      <w:pPr>
        <w:ind w:right="2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anticipate that amortization of acquired technology will only increase if we make additional acquisitions in the future. </w:t>
      </w:r>
      <w:r>
        <w:rPr>
          <w:rFonts w:ascii="Times New Roman" w:cs="Times New Roman" w:eastAsia="Times New Roman" w:hAnsi="Times New Roman"/>
          <w:sz w:val="18"/>
          <w:szCs w:val="18"/>
          <w:b w:val="1"/>
          <w:bCs w:val="1"/>
          <w:i w:val="1"/>
          <w:iCs w:val="1"/>
          <w:color w:val="auto"/>
        </w:rPr>
        <w:t>Gross Profit and Gross Margin</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and marketing.</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Research and development expenses primarily consist of employee compensation such as salaries, bonuses, stock-based compensation, and other employee-related benefits for our engineering and product management teams, as well as overhead costs. Research and development expenses do not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17"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increase in 2020 and then stay consistent or modestly decrease thereafter, as we realize operating leverage in the business.</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other acquired intangibles</w:t>
      </w:r>
      <w:r>
        <w:rPr>
          <w:rFonts w:ascii="Times New Roman" w:cs="Times New Roman" w:eastAsia="Times New Roman" w:hAnsi="Times New Roman"/>
          <w:sz w:val="18"/>
          <w:szCs w:val="18"/>
          <w:color w:val="auto"/>
        </w:rPr>
        <w:t>. Amortization of acquired intangibles primarily consists of amortization of customer relationships,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brand portfolios.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only increase if we make additional acquisitions in the future.</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 expenses. </w:t>
      </w:r>
      <w:r>
        <w:rPr>
          <w:rFonts w:ascii="Times New Roman" w:cs="Times New Roman" w:eastAsia="Times New Roman" w:hAnsi="Times New Roman"/>
          <w:sz w:val="18"/>
          <w:szCs w:val="18"/>
          <w:color w:val="auto"/>
        </w:rPr>
        <w:t>Restructuring and transaction expenses primarily consist of various restructuring and acquisition activities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payable on our debt obligations and the amortization of debt discounts and debt issuance costs, less interest income.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realized, and will continue to realize, a reduction in our interest expense during the nine months ended September 30, 2020 over prior periods as a result of the repayment of a portion of our outstanding indebtedness with the proceeds from IPO during June 2020. While our hedging programs are effective at hedging a significant portion of our variable interest rate risk, interest expense could increase in the future based on changes in variable interest rates or the issuance of additional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Loss on debt extinguishment consists of prepayment penalties and impairment of deferred financing costs associated with the extinguishment of debt.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losses related to debt extinguishment will only occur if we extinguish indebtedness before the contractual repayment 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realized and unrealized gains and losses related to the impact of transactions denominated in a foreign currency.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the magnitude of other income and expenses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OpCo is currently treated as a pass-through entity for U.S. federal income tax purposes and most applicable state and local income tax purposes. Benefit from income taxes, deferred tax assets, deferred tax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3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2018 and 2019 and the nine months ended September 30, 2019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Nine months ended September 30, 2019</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$336.5 million for the nine months ended September 30, 2020, an increase of $134.3 million, or 66%,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1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$80.9 million for the nine months ended September 30, 2020, an increase of $30.8 million, or 61%,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$50.1 million for the nine months ended September 30, 2019. The increase was primarily due to additional stock-based compensation expense related to grants previously made by HSKB,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82" w:lineRule="auto"/>
        <w:rPr>
          <w:sz w:val="20"/>
          <w:szCs w:val="20"/>
          <w:color w:val="auto"/>
        </w:rPr>
      </w:pPr>
      <w:r>
        <w:rPr>
          <w:rFonts w:ascii="Times New Roman" w:cs="Times New Roman" w:eastAsia="Times New Roman" w:hAnsi="Times New Roman"/>
          <w:sz w:val="18"/>
          <w:szCs w:val="18"/>
          <w:color w:val="auto"/>
        </w:rPr>
        <w:t>modified in December 2019, and triggered by the IPO. Additional expenses related to additional headcount and hosting expense to support new and growing customers were largely offset by reductions in amortization of acquired technology.</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$248.1 million for the nine months ended September 30, 2020, an increase of $112.9 million, or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$135.2 million for the nine months ended September 30, 2019. The increase was primarily due to additional stock-based compensation expense related to grants previously made by HSKB, modified in December 2019, and triggered by the IPO. Excluding stock-based compensation expenses, operating expenses were $167.7 million for the nine months ended September 30, 2020, an increase of $46.7 million, or 39%, as compared to $121.0 million for the nine months ended September 30, 2019. The increase was primarily due to:</w:t>
      </w:r>
    </w:p>
    <w:p>
      <w:pPr>
        <w:spacing w:after="0" w:line="131" w:lineRule="exact"/>
        <w:rPr>
          <w:sz w:val="20"/>
          <w:szCs w:val="20"/>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stock-based compensation) of $30.3 million, or 54%, to $86.1 million for the nine months ended September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stock-based compensation) of $6.8 million, or 37%, to $25.0 million for the nine months ended September 30, 2020, due primarily to additional engineering and product management resources added to support continued innovation of our services;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general and administrative expense (excluding stock-based compensation) of $8.1 million, or 36%, to $30.4 million for the nine months ended September 30, 2020, due primarily to additional headcount and related salaries and benefits expenses to support the larger organization, which were offset by a decrease in integration-related expenses in the nine months ended September 30, 2019, which did not recur in the nine months ended September 30, 2020;</w:t>
      </w:r>
    </w:p>
    <w:p>
      <w:pPr>
        <w:spacing w:after="0" w:line="125"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 million, or 8%, to $13.9 million for the nine months ended September 30, 2020, due to amortization expense related to intangible assets acquired in the Zoom Information Acquisition during the full period for the current year;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transaction-related expense of $12.3 million for the nine months ended September 30, 2020, primarily related to the IPO. This represented an increase of $0.5 million, or 4%, as compared to expense of $11.8 million for the nine months ended September 30, 2019, related to acquisition of Pre-Acquisition ZI.</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$59.3 million for the nine months ended September 30, 2020, a decrease of $17.6 million, or 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compared to $76.9 million for the nine months ended September 30, 2019. The decrease was 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was $14.9 million for the nine months ended September 30, 2020, related to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derecognition of deferred and unamortized debt issuance costs resulting from the repayment of the second lien debt and $100.0 million first lien debt principal repayment after the IPO. This represented a decrease of $3.3 million, or 18%, as compared to expense of $18.2 million for the nine months ended September 30, 2019, related to costs incurred with respect to prior debt instruments that were repaid in conjunction with the acquisition of Pre-Acquisition ZI in February 2019.</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 </w:t>
      </w:r>
      <w:r>
        <w:rPr>
          <w:rFonts w:ascii="Times New Roman" w:cs="Times New Roman" w:eastAsia="Times New Roman" w:hAnsi="Times New Roman"/>
          <w:sz w:val="18"/>
          <w:szCs w:val="18"/>
          <w:color w:val="auto"/>
        </w:rPr>
        <w:t>Benefit (expense) from income taxes was $-9.8 million for the nine months ended September 30, 2020,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$15.5 million, or 271%, as compared to $5.7 million for the nine months ended September 30, 2019. The decrease was primarily due to a significant increase in losses driven by stock compensation expense and debt extinguishment losses as a result of the IPO and subsequent debt restructuring, in addition to ZoomInfo Technologies Inc. increased corporate ownership of ZoomInfo OpCo, which is benefiting earnings previously attributable to partnerships.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and Year Ended December 31, 2018</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$293.3 million for the year ended December 31, 2019, an increase of $149.1 million, or 103%, as compared to $144.3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3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$68.7 million for the year ended December 31, 2019, an increase of $30.8 million, or 81%, as compared to $37.9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$188.6 million for the year ended December 31, 2019, an increase of $108.7 million, or 136%,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$79.9 million for the year ended December 31, 2018. The increase was primarily due to:</w:t>
      </w:r>
    </w:p>
    <w:p>
      <w:pPr>
        <w:spacing w:after="0" w:line="106" w:lineRule="exact"/>
        <w:rPr>
          <w:sz w:val="20"/>
          <w:szCs w:val="20"/>
          <w:color w:val="auto"/>
        </w:rPr>
      </w:pPr>
    </w:p>
    <w:p>
      <w:pPr>
        <w:jc w:val="both"/>
        <w:ind w:left="66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660" w:hanging="328"/>
        <w:spacing w:after="0" w:line="258"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$102.4 million for the year ended December 31, 2019, an increase of $44.3 million, or 76%,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$58.2 million for the year ended December 31, 2018. The increase was primarily due to additional debt that we incurred to fund the Zoom Information Acquisition, partially offset by decreasing LIBOR rates.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$0.0 million for the year ended December 31, 2019, an increase of $0.1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 as compared to $(0.1) million for the year ended December 31, 2018.</w:t>
      </w:r>
    </w:p>
    <w:p>
      <w:pPr>
        <w:spacing w:after="0" w:line="10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Benefit from income taxes was $6.5 million for the year ended December 31, 2019, an increase of $3.6 million, or 127%,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$2.9 million for the year ended December 31, 2018. The increase was primarily due to greater losses before tax.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present the unaudited quarterly historical consolidated financial and other data for ZoomInfo OpCo and its subsidiaries for each of the 11 quarterly periods ended September 30,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 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2018</w:t>
            </w:r>
          </w:p>
        </w:tc>
        <w:tc>
          <w:tcPr>
            <w:tcW w:w="78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102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8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June 30, 2019</w:t>
            </w:r>
          </w:p>
        </w:tc>
        <w:tc>
          <w:tcPr>
            <w:tcW w:w="98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September 30, 2019</w:t>
            </w: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8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78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31.5</w:t>
            </w: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34.6</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37.4</w:t>
            </w:r>
          </w:p>
        </w:tc>
        <w:tc>
          <w:tcPr>
            <w:tcW w:w="42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40.8</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54.6</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68.5</w:t>
            </w:r>
          </w:p>
        </w:tc>
        <w:tc>
          <w:tcPr>
            <w:tcW w:w="3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79.1</w:t>
            </w:r>
          </w:p>
        </w:tc>
        <w:tc>
          <w:tcPr>
            <w:tcW w:w="42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91.1</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102.2</w:t>
            </w: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110.9</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20.7</w:t>
            </w:r>
          </w:p>
        </w:tc>
        <w:tc>
          <w:tcPr>
            <w:tcW w:w="26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24.8</w:t>
            </w:r>
          </w:p>
        </w:tc>
        <w:tc>
          <w:tcPr>
            <w:tcW w:w="42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29.4</w:t>
            </w:r>
          </w:p>
        </w:tc>
        <w:tc>
          <w:tcPr>
            <w:tcW w:w="42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31.7</w:t>
            </w:r>
          </w:p>
        </w:tc>
        <w:tc>
          <w:tcPr>
            <w:tcW w:w="28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39.9</w:t>
            </w:r>
          </w:p>
        </w:tc>
        <w:tc>
          <w:tcPr>
            <w:tcW w:w="20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50.9</w:t>
            </w:r>
          </w:p>
        </w:tc>
        <w:tc>
          <w:tcPr>
            <w:tcW w:w="38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61.3</w:t>
            </w:r>
          </w:p>
        </w:tc>
        <w:tc>
          <w:tcPr>
            <w:tcW w:w="42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72.6</w:t>
            </w:r>
          </w:p>
        </w:tc>
        <w:tc>
          <w:tcPr>
            <w:tcW w:w="2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81.8</w:t>
            </w:r>
          </w:p>
        </w:tc>
        <w:tc>
          <w:tcPr>
            <w:tcW w:w="26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77.1</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Income (loss) from</w:t>
            </w:r>
          </w:p>
        </w:tc>
        <w:tc>
          <w:tcPr>
            <w:tcW w:w="2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4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13.5</w:t>
            </w:r>
          </w:p>
        </w:tc>
        <w:tc>
          <w:tcPr>
            <w:tcW w:w="4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13.6</w:t>
            </w:r>
          </w:p>
        </w:tc>
        <w:tc>
          <w:tcPr>
            <w:tcW w:w="2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5.6</w:t>
            </w: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13.1</w:t>
            </w:r>
          </w:p>
        </w:tc>
        <w:tc>
          <w:tcPr>
            <w:tcW w:w="4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19.2</w:t>
            </w:r>
          </w:p>
        </w:tc>
        <w:tc>
          <w:tcPr>
            <w:tcW w:w="2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20.3</w:t>
            </w: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(31.2)</w:t>
            </w:r>
          </w:p>
        </w:tc>
        <w:tc>
          <w:tcPr>
            <w:tcW w:w="4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operations</w:t>
            </w:r>
          </w:p>
        </w:tc>
        <w:tc>
          <w:tcPr>
            <w:tcW w:w="2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6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42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(1.5)</w:t>
            </w:r>
          </w:p>
        </w:tc>
        <w:tc>
          <w:tcPr>
            <w:tcW w:w="42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00" w:type="dxa"/>
            <w:vAlign w:val="bottom"/>
          </w:tcPr>
          <w:p>
            <w:pPr>
              <w:spacing w:after="0"/>
              <w:rPr>
                <w:sz w:val="14"/>
                <w:szCs w:val="14"/>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(19.9)</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2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(5.5)</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6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(77.9)</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March 31, 2018</w:t>
            </w:r>
          </w:p>
        </w:tc>
        <w:tc>
          <w:tcPr>
            <w:tcW w:w="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1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2019    September 30, 2019</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22"/>
        </w:trPr>
        <w:tc>
          <w:tcPr>
            <w:tcW w:w="1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Impact of fair value</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adjustments to acquired</w:t>
            </w: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6"/>
        </w:trPr>
        <w:tc>
          <w:tcPr>
            <w:tcW w:w="1620" w:type="dxa"/>
            <w:vAlign w:val="bottom"/>
          </w:tcPr>
          <w:p>
            <w:pPr>
              <w:ind w:left="300"/>
              <w:spacing w:after="0" w:line="175" w:lineRule="exact"/>
              <w:rPr>
                <w:sz w:val="20"/>
                <w:szCs w:val="20"/>
                <w:color w:val="auto"/>
              </w:rPr>
            </w:pPr>
            <w:r>
              <w:rPr>
                <w:rFonts w:ascii="Times New Roman" w:cs="Times New Roman" w:eastAsia="Times New Roman" w:hAnsi="Times New Roman"/>
                <w:sz w:val="13"/>
                <w:szCs w:val="13"/>
                <w:color w:val="auto"/>
              </w:rPr>
              <w:t>unearned revenue</w:t>
            </w:r>
            <w:r>
              <w:rPr>
                <w:rFonts w:ascii="Times New Roman" w:cs="Times New Roman" w:eastAsia="Times New Roman" w:hAnsi="Times New Roman"/>
                <w:sz w:val="16"/>
                <w:szCs w:val="16"/>
                <w:color w:val="auto"/>
                <w:vertAlign w:val="superscript"/>
              </w:rPr>
              <w:t>(a)</w:t>
            </w:r>
          </w:p>
        </w:tc>
        <w:tc>
          <w:tcPr>
            <w:tcW w:w="2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w w:val="94"/>
              </w:rPr>
              <w:t>Pre-Acquisition ZI revenue</w:t>
            </w:r>
            <w:r>
              <w:rPr>
                <w:rFonts w:ascii="Times New Roman" w:cs="Times New Roman" w:eastAsia="Times New Roman" w:hAnsi="Times New Roman"/>
                <w:sz w:val="16"/>
                <w:szCs w:val="16"/>
                <w:color w:val="auto"/>
                <w:w w:val="94"/>
                <w:vertAlign w:val="superscript"/>
              </w:rPr>
              <w:t>(b)</w:t>
            </w: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Impact of fair value</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adjustments to acquired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unearned revenue</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recorded by Pre-</w:t>
            </w: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620" w:type="dxa"/>
            <w:vAlign w:val="bottom"/>
          </w:tcPr>
          <w:p>
            <w:pPr>
              <w:ind w:left="300"/>
              <w:spacing w:after="0" w:line="175" w:lineRule="exact"/>
              <w:rPr>
                <w:sz w:val="20"/>
                <w:szCs w:val="20"/>
                <w:color w:val="auto"/>
              </w:rPr>
            </w:pPr>
            <w:r>
              <w:rPr>
                <w:rFonts w:ascii="Times New Roman" w:cs="Times New Roman" w:eastAsia="Times New Roman" w:hAnsi="Times New Roman"/>
                <w:sz w:val="13"/>
                <w:szCs w:val="13"/>
                <w:color w:val="auto"/>
              </w:rPr>
              <w:t>Acquisition ZI</w:t>
            </w:r>
            <w:r>
              <w:rPr>
                <w:rFonts w:ascii="Times New Roman" w:cs="Times New Roman" w:eastAsia="Times New Roman" w:hAnsi="Times New Roman"/>
                <w:sz w:val="16"/>
                <w:szCs w:val="16"/>
                <w:color w:val="auto"/>
                <w:vertAlign w:val="superscript"/>
              </w:rPr>
              <w:t>(c)</w:t>
            </w:r>
          </w:p>
        </w:tc>
        <w:tc>
          <w:tcPr>
            <w:tcW w:w="2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Pre-acquisition revenue of</w:t>
            </w: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other acquired</w:t>
            </w:r>
          </w:p>
        </w:tc>
        <w:tc>
          <w:tcPr>
            <w:tcW w:w="2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3"/>
                <w:szCs w:val="13"/>
                <w:color w:val="auto"/>
              </w:rPr>
              <w:t>companies</w:t>
            </w:r>
            <w:r>
              <w:rPr>
                <w:rFonts w:ascii="Times New Roman" w:cs="Times New Roman" w:eastAsia="Times New Roman" w:hAnsi="Times New Roman"/>
                <w:sz w:val="16"/>
                <w:szCs w:val="16"/>
                <w:color w:val="auto"/>
                <w:vertAlign w:val="superscript"/>
              </w:rPr>
              <w:t>(d)</w:t>
            </w:r>
          </w:p>
        </w:tc>
        <w:tc>
          <w:tcPr>
            <w:tcW w:w="2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620" w:type="dxa"/>
            <w:vAlign w:val="bottom"/>
          </w:tcPr>
          <w:p>
            <w:pPr>
              <w:ind w:left="180"/>
              <w:spacing w:after="0" w:line="102" w:lineRule="exact"/>
              <w:rPr>
                <w:sz w:val="20"/>
                <w:szCs w:val="20"/>
                <w:color w:val="auto"/>
              </w:rPr>
            </w:pPr>
            <w:r>
              <w:rPr>
                <w:rFonts w:ascii="Times New Roman" w:cs="Times New Roman" w:eastAsia="Times New Roman" w:hAnsi="Times New Roman"/>
                <w:sz w:val="10"/>
                <w:szCs w:val="10"/>
                <w:color w:val="auto"/>
              </w:rPr>
              <w:t>Allocated Combined</w:t>
            </w: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spacing w:after="0"/>
              <w:rPr>
                <w:sz w:val="8"/>
                <w:szCs w:val="8"/>
                <w:color w:val="auto"/>
              </w:rPr>
            </w:pPr>
          </w:p>
        </w:tc>
        <w:tc>
          <w:tcPr>
            <w:tcW w:w="360" w:type="dxa"/>
            <w:vAlign w:val="bottom"/>
            <w:tcBorders>
              <w:top w:val="single" w:sz="8" w:color="auto"/>
            </w:tcBorders>
            <w:vMerge w:val="restart"/>
          </w:tcPr>
          <w:p>
            <w:pPr>
              <w:jc w:val="right"/>
              <w:ind w:right="222"/>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8"/>
                <w:szCs w:val="8"/>
                <w:color w:val="auto"/>
              </w:rPr>
            </w:pPr>
          </w:p>
        </w:tc>
        <w:tc>
          <w:tcPr>
            <w:tcW w:w="340" w:type="dxa"/>
            <w:vAlign w:val="bottom"/>
            <w:tcBorders>
              <w:top w:val="single" w:sz="8" w:color="auto"/>
            </w:tcBorders>
            <w:vMerge w:val="restart"/>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Pr>
          <w:p>
            <w:pPr>
              <w:spacing w:after="0"/>
              <w:rPr>
                <w:sz w:val="8"/>
                <w:szCs w:val="8"/>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tcPr>
          <w:p>
            <w:pPr>
              <w:spacing w:after="0"/>
              <w:rPr>
                <w:sz w:val="8"/>
                <w:szCs w:val="8"/>
                <w:color w:val="auto"/>
              </w:rPr>
            </w:pPr>
          </w:p>
        </w:tc>
        <w:tc>
          <w:tcPr>
            <w:tcW w:w="38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tcPr>
          <w:p>
            <w:pPr>
              <w:spacing w:after="0"/>
              <w:rPr>
                <w:sz w:val="8"/>
                <w:szCs w:val="8"/>
                <w:color w:val="auto"/>
              </w:rPr>
            </w:pPr>
          </w:p>
        </w:tc>
        <w:tc>
          <w:tcPr>
            <w:tcW w:w="360" w:type="dxa"/>
            <w:vAlign w:val="bottom"/>
            <w:tcBorders>
              <w:top w:val="single" w:sz="8" w:color="auto"/>
            </w:tcBorders>
            <w:vMerge w:val="restart"/>
          </w:tcPr>
          <w:p>
            <w:pPr>
              <w:jc w:val="right"/>
              <w:ind w:right="222"/>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00" w:type="dxa"/>
            <w:vAlign w:val="bottom"/>
          </w:tcPr>
          <w:p>
            <w:pPr>
              <w:spacing w:after="0"/>
              <w:rPr>
                <w:sz w:val="8"/>
                <w:szCs w:val="8"/>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tcPr>
          <w:p>
            <w:pPr>
              <w:spacing w:after="0"/>
              <w:rPr>
                <w:sz w:val="8"/>
                <w:szCs w:val="8"/>
                <w:color w:val="auto"/>
              </w:rPr>
            </w:pPr>
          </w:p>
        </w:tc>
        <w:tc>
          <w:tcPr>
            <w:tcW w:w="340" w:type="dxa"/>
            <w:vAlign w:val="bottom"/>
            <w:tcBorders>
              <w:top w:val="single" w:sz="8" w:color="auto"/>
            </w:tcBorders>
            <w:vMerge w:val="restart"/>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64"/>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Receipts</w:t>
            </w:r>
          </w:p>
        </w:tc>
        <w:tc>
          <w:tcPr>
            <w:tcW w:w="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6" w:lineRule="exact"/>
        <w:rPr>
          <w:sz w:val="20"/>
          <w:szCs w:val="20"/>
          <w:color w:val="auto"/>
        </w:rPr>
      </w:pPr>
    </w:p>
    <w:p>
      <w:pPr>
        <w:jc w:val="both"/>
        <w:ind w:left="340" w:hanging="332"/>
        <w:spacing w:after="0" w:line="241" w:lineRule="auto"/>
        <w:tabs>
          <w:tab w:leader="none" w:pos="33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March 31, 2018</w:t>
            </w:r>
          </w:p>
        </w:tc>
        <w:tc>
          <w:tcPr>
            <w:tcW w:w="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March 31, 2019</w:t>
            </w: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2019   September 30, 2019</w:t>
            </w: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70"/>
        </w:trPr>
        <w:tc>
          <w:tcPr>
            <w:tcW w:w="17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Provision for taxes</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22"/>
        </w:trPr>
        <w:tc>
          <w:tcPr>
            <w:tcW w:w="170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Loss on debt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extinguishment</w:t>
            </w:r>
          </w:p>
        </w:tc>
        <w:tc>
          <w:tcPr>
            <w:tcW w:w="2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3"/>
                <w:szCs w:val="13"/>
                <w:color w:val="auto"/>
              </w:rPr>
              <w:t>Other (income) expense,</w:t>
            </w:r>
          </w:p>
        </w:tc>
        <w:tc>
          <w:tcPr>
            <w:tcW w:w="2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3"/>
                <w:szCs w:val="13"/>
                <w:color w:val="auto"/>
              </w:rPr>
              <w:t>net</w:t>
            </w:r>
            <w:r>
              <w:rPr>
                <w:rFonts w:ascii="Times New Roman" w:cs="Times New Roman" w:eastAsia="Times New Roman" w:hAnsi="Times New Roman"/>
                <w:sz w:val="16"/>
                <w:szCs w:val="16"/>
                <w:color w:val="auto"/>
                <w:vertAlign w:val="superscript"/>
              </w:rPr>
              <w:t>(a)</w:t>
            </w:r>
          </w:p>
        </w:tc>
        <w:tc>
          <w:tcPr>
            <w:tcW w:w="2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Income from operations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07"/>
        </w:trPr>
        <w:tc>
          <w:tcPr>
            <w:tcW w:w="1700" w:type="dxa"/>
            <w:vAlign w:val="bottom"/>
            <w:shd w:val="clear" w:color="auto" w:fill="CCEEFF"/>
          </w:tcPr>
          <w:p>
            <w:pPr>
              <w:ind w:left="240"/>
              <w:spacing w:after="0" w:line="107" w:lineRule="exact"/>
              <w:rPr>
                <w:sz w:val="20"/>
                <w:szCs w:val="20"/>
                <w:color w:val="auto"/>
              </w:rPr>
            </w:pPr>
            <w:r>
              <w:rPr>
                <w:rFonts w:ascii="Times New Roman" w:cs="Times New Roman" w:eastAsia="Times New Roman" w:hAnsi="Times New Roman"/>
                <w:sz w:val="12"/>
                <w:szCs w:val="12"/>
                <w:color w:val="auto"/>
              </w:rPr>
              <w:t>Impact of fair value</w:t>
            </w: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adjustments to acquired</w:t>
            </w: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3"/>
                <w:szCs w:val="13"/>
                <w:color w:val="auto"/>
              </w:rPr>
              <w:t>unearned revenue</w:t>
            </w:r>
            <w:r>
              <w:rPr>
                <w:rFonts w:ascii="Times New Roman" w:cs="Times New Roman" w:eastAsia="Times New Roman" w:hAnsi="Times New Roman"/>
                <w:sz w:val="16"/>
                <w:szCs w:val="16"/>
                <w:color w:val="auto"/>
                <w:vertAlign w:val="superscript"/>
              </w:rPr>
              <w:t>(b)</w:t>
            </w:r>
          </w:p>
        </w:tc>
        <w:tc>
          <w:tcPr>
            <w:tcW w:w="2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Amortization of acquired</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70"/>
        </w:trPr>
        <w:tc>
          <w:tcPr>
            <w:tcW w:w="17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technology</w:t>
            </w: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400"/>
              <w:spacing w:after="0" w:line="128" w:lineRule="exact"/>
              <w:rPr>
                <w:sz w:val="20"/>
                <w:szCs w:val="20"/>
                <w:color w:val="auto"/>
              </w:rPr>
            </w:pPr>
            <w:r>
              <w:rPr>
                <w:rFonts w:ascii="Times New Roman" w:cs="Times New Roman" w:eastAsia="Times New Roman" w:hAnsi="Times New Roman"/>
                <w:sz w:val="13"/>
                <w:szCs w:val="13"/>
                <w:color w:val="auto"/>
              </w:rPr>
              <w:t>Amortization of other</w:t>
            </w:r>
          </w:p>
        </w:tc>
        <w:tc>
          <w:tcPr>
            <w:tcW w:w="2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acquired intangibles</w:t>
            </w:r>
          </w:p>
        </w:tc>
        <w:tc>
          <w:tcPr>
            <w:tcW w:w="2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Equity-based</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70"/>
        </w:trPr>
        <w:tc>
          <w:tcPr>
            <w:tcW w:w="17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compensation</w:t>
            </w: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3"/>
                <w:szCs w:val="13"/>
                <w:color w:val="auto"/>
              </w:rPr>
              <w:t>Restructuring and</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transaction-related</w:t>
            </w: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400"/>
              <w:spacing w:after="0" w:line="175" w:lineRule="exact"/>
              <w:rPr>
                <w:sz w:val="20"/>
                <w:szCs w:val="20"/>
                <w:color w:val="auto"/>
              </w:rPr>
            </w:pPr>
            <w:r>
              <w:rPr>
                <w:rFonts w:ascii="Times New Roman" w:cs="Times New Roman" w:eastAsia="Times New Roman" w:hAnsi="Times New Roman"/>
                <w:sz w:val="13"/>
                <w:szCs w:val="13"/>
                <w:color w:val="auto"/>
              </w:rPr>
              <w:t>expenses</w:t>
            </w:r>
            <w:r>
              <w:rPr>
                <w:rFonts w:ascii="Times New Roman" w:cs="Times New Roman" w:eastAsia="Times New Roman" w:hAnsi="Times New Roman"/>
                <w:sz w:val="16"/>
                <w:szCs w:val="16"/>
                <w:color w:val="auto"/>
                <w:vertAlign w:val="superscript"/>
              </w:rPr>
              <w:t>(c)</w:t>
            </w:r>
          </w:p>
        </w:tc>
        <w:tc>
          <w:tcPr>
            <w:tcW w:w="2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Integration costs and</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acquisition-related</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compensation</w:t>
            </w:r>
            <w:r>
              <w:rPr>
                <w:rFonts w:ascii="Times New Roman" w:cs="Times New Roman" w:eastAsia="Times New Roman" w:hAnsi="Times New Roman"/>
                <w:sz w:val="16"/>
                <w:szCs w:val="16"/>
                <w:color w:val="auto"/>
                <w:vertAlign w:val="superscript"/>
              </w:rPr>
              <w:t>(d)</w:t>
            </w: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Adjusted 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spacing w:after="0" w:line="163"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13" w:right="339" w:bottom="1440" w:gutter="0" w:footer="0" w:header="0"/>
        </w:sectPr>
      </w:pPr>
    </w:p>
    <w:bookmarkStart w:id="127" w:name="page128"/>
    <w:bookmarkEnd w:id="127"/>
    <w:p>
      <w:pPr>
        <w:ind w:left="340"/>
        <w:spacing w:after="0" w:line="282" w:lineRule="auto"/>
        <w:rPr>
          <w:sz w:val="20"/>
          <w:szCs w:val="20"/>
          <w:color w:val="auto"/>
        </w:rPr>
      </w:pPr>
      <w:r>
        <w:rPr>
          <w:rFonts w:ascii="Times New Roman" w:cs="Times New Roman" w:eastAsia="Times New Roman" w:hAnsi="Times New Roman"/>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6"/>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w w:val="99"/>
              </w:rPr>
              <w:t>March 31, 2018</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December 31, 2018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9"/>
              </w:rPr>
              <w:t>March 31, 2019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2019</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September 30, 2019</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85"/>
              </w:rPr>
              <w:t>0.1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85"/>
              </w:rPr>
              <w:t>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81"/>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85"/>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85"/>
              </w:rPr>
              <w:t>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07"/>
        </w:trPr>
        <w:tc>
          <w:tcPr>
            <w:tcW w:w="1360" w:type="dxa"/>
            <w:vAlign w:val="bottom"/>
            <w:tcBorders>
              <w:top w:val="single" w:sz="8" w:color="CCEEFF"/>
            </w:tcBorders>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integration costs and</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acquisition-related</w:t>
            </w:r>
          </w:p>
        </w:tc>
        <w:tc>
          <w:tcPr>
            <w:tcW w:w="1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380" w:type="dxa"/>
            <w:vAlign w:val="bottom"/>
            <w:gridSpan w:val="3"/>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85"/>
              </w:rPr>
              <w:t>5.8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w:t>
            </w:r>
          </w:p>
        </w:tc>
        <w:tc>
          <w:tcPr>
            <w:tcW w:w="2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1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compensation</w:t>
            </w:r>
          </w:p>
        </w:tc>
        <w:tc>
          <w:tcPr>
            <w:tcW w:w="1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2018</w:t>
            </w:r>
          </w:p>
        </w:tc>
        <w:tc>
          <w:tcPr>
            <w:tcW w:w="7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June 30, 2018</w:t>
            </w: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rPr>
              <w:t>June 30, 2019</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September 30, 2019</w:t>
            </w: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Adjusted Operating</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420" w:type="dxa"/>
            <w:vAlign w:val="bottom"/>
            <w:gridSpan w:val="4"/>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1"/>
                <w:szCs w:val="1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41.3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47.0</w:t>
            </w:r>
          </w:p>
        </w:tc>
        <w:tc>
          <w:tcPr>
            <w:tcW w:w="40" w:type="dxa"/>
            <w:vAlign w:val="bottom"/>
            <w:shd w:val="clear" w:color="auto" w:fill="CCEEFF"/>
          </w:tcPr>
          <w:p>
            <w:pPr>
              <w:spacing w:after="0"/>
              <w:rPr>
                <w:sz w:val="11"/>
                <w:szCs w:val="11"/>
                <w:color w:val="auto"/>
              </w:rPr>
            </w:pPr>
          </w:p>
        </w:tc>
        <w:tc>
          <w:tcPr>
            <w:tcW w:w="360" w:type="dxa"/>
            <w:vAlign w:val="bottom"/>
            <w:gridSpan w:val="3"/>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1"/>
                <w:szCs w:val="1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49.1</w:t>
            </w:r>
          </w:p>
        </w:tc>
        <w:tc>
          <w:tcPr>
            <w:tcW w:w="40" w:type="dxa"/>
            <w:vAlign w:val="bottom"/>
            <w:shd w:val="clear" w:color="auto" w:fill="CCEEFF"/>
          </w:tcPr>
          <w:p>
            <w:pPr>
              <w:spacing w:after="0"/>
              <w:rPr>
                <w:sz w:val="11"/>
                <w:szCs w:val="11"/>
                <w:color w:val="auto"/>
              </w:rPr>
            </w:pPr>
          </w:p>
        </w:tc>
        <w:tc>
          <w:tcPr>
            <w:tcW w:w="260" w:type="dxa"/>
            <w:vAlign w:val="bottom"/>
            <w:gridSpan w:val="3"/>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16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42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40" w:type="dxa"/>
            <w:vAlign w:val="bottom"/>
            <w:gridSpan w:val="56"/>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68.5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79.1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102.2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22"/>
        </w:trPr>
        <w:tc>
          <w:tcPr>
            <w:tcW w:w="136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Impact of fair value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6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adjustments to</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acquired unearned</w:t>
            </w:r>
          </w:p>
        </w:tc>
        <w:tc>
          <w:tcPr>
            <w:tcW w:w="16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10.7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40" w:type="dxa"/>
            <w:vAlign w:val="bottom"/>
            <w:tcBorders>
              <w:top w:val="single" w:sz="8" w:color="CCEEFF"/>
            </w:tcBorders>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Revenue for adjusted</w:t>
            </w:r>
          </w:p>
        </w:tc>
        <w:tc>
          <w:tcPr>
            <w:tcW w:w="720" w:type="dxa"/>
            <w:vAlign w:val="bottom"/>
            <w:tcBorders>
              <w:top w:val="single" w:sz="8" w:color="auto"/>
            </w:tcBorders>
            <w:gridSpan w:val="5"/>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gridSpan w:val="4"/>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gridSpan w:val="4"/>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gridSpan w:val="4"/>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gridSpan w:val="5"/>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gridSpan w:val="4"/>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96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80" w:type="dxa"/>
            <w:vAlign w:val="bottom"/>
            <w:tcBorders>
              <w:top w:val="single" w:sz="8" w:color="auto"/>
            </w:tcBorders>
            <w:gridSpan w:val="3"/>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78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740" w:type="dxa"/>
            <w:vAlign w:val="bottom"/>
            <w:tcBorders>
              <w:top w:val="single" w:sz="8" w:color="auto"/>
            </w:tcBorders>
            <w:gridSpan w:val="3"/>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920" w:type="dxa"/>
            <w:vAlign w:val="bottom"/>
            <w:tcBorders>
              <w:top w:val="single" w:sz="8" w:color="auto"/>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operating margin</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420" w:type="dxa"/>
            <w:vAlign w:val="bottom"/>
            <w:gridSpan w:val="4"/>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79.2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87.2</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96.1</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103.6</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76"/>
        </w:trPr>
        <w:tc>
          <w:tcPr>
            <w:tcW w:w="1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calculation</w:t>
            </w:r>
          </w:p>
        </w:tc>
        <w:tc>
          <w:tcPr>
            <w:tcW w:w="16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42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6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i w:val="1"/>
                <w:iCs w:val="1"/>
                <w:color w:val="auto"/>
              </w:rPr>
              <w:t>Adjusted Operating</w:t>
            </w:r>
          </w:p>
        </w:tc>
        <w:tc>
          <w:tcPr>
            <w:tcW w:w="160" w:type="dxa"/>
            <w:vAlign w:val="bottom"/>
          </w:tcPr>
          <w:p>
            <w:pPr>
              <w:spacing w:after="0"/>
              <w:rPr>
                <w:sz w:val="10"/>
                <w:szCs w:val="10"/>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54.2 %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57.7 %</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58.1 %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50.2 %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52.1 %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47.4 %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47.3 %</w:t>
            </w:r>
          </w:p>
        </w:tc>
        <w:tc>
          <w:tcPr>
            <w:tcW w:w="0" w:type="dxa"/>
            <w:vAlign w:val="bottom"/>
          </w:tcPr>
          <w:p>
            <w:pPr>
              <w:spacing w:after="0"/>
              <w:rPr>
                <w:sz w:val="1"/>
                <w:szCs w:val="1"/>
                <w:color w:val="auto"/>
              </w:rPr>
            </w:pPr>
          </w:p>
        </w:tc>
      </w:tr>
      <w:tr>
        <w:trPr>
          <w:trHeight w:val="166"/>
        </w:trPr>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3"/>
                <w:szCs w:val="13"/>
                <w:i w:val="1"/>
                <w:iCs w:val="1"/>
                <w:color w:val="auto"/>
              </w:rPr>
              <w:t>Income Margin</w:t>
            </w:r>
          </w:p>
        </w:tc>
        <w:tc>
          <w:tcPr>
            <w:tcW w:w="1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March 31, 2018</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w w:val="96"/>
              </w:rPr>
              <w:t>December 31, 2018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9"/>
              </w:rPr>
              <w:t>March 31, 2019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June 30, 2019</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September 30, 2019</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0" w:type="dxa"/>
            <w:vAlign w:val="bottom"/>
          </w:tcPr>
          <w:p>
            <w:pPr>
              <w:spacing w:after="0"/>
              <w:rPr>
                <w:sz w:val="1"/>
                <w:szCs w:val="1"/>
                <w:color w:val="auto"/>
              </w:rPr>
            </w:pPr>
          </w:p>
        </w:tc>
      </w:tr>
      <w:tr>
        <w:trPr>
          <w:trHeight w:val="151"/>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Cash and cash equivalents</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w:t>
            </w:r>
          </w:p>
        </w:tc>
        <w:tc>
          <w:tcPr>
            <w:tcW w:w="38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68.4</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39.1</w:t>
            </w:r>
          </w:p>
        </w:tc>
        <w:tc>
          <w:tcPr>
            <w:tcW w:w="3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41.4</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0" w:type="dxa"/>
            <w:vAlign w:val="bottom"/>
          </w:tcPr>
          <w:p>
            <w:pPr>
              <w:spacing w:after="0"/>
              <w:rPr>
                <w:sz w:val="1"/>
                <w:szCs w:val="1"/>
                <w:color w:val="auto"/>
              </w:rPr>
            </w:pPr>
          </w:p>
        </w:tc>
      </w:tr>
      <w:tr>
        <w:trPr>
          <w:trHeight w:val="17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88"/>
              </w:rPr>
              <w:t>579.0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578.3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1,542.2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1,507.1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2,048.5</w:t>
            </w:r>
          </w:p>
        </w:tc>
        <w:tc>
          <w:tcPr>
            <w:tcW w:w="0" w:type="dxa"/>
            <w:vAlign w:val="bottom"/>
          </w:tcPr>
          <w:p>
            <w:pPr>
              <w:spacing w:after="0"/>
              <w:rPr>
                <w:sz w:val="1"/>
                <w:szCs w:val="1"/>
                <w:color w:val="auto"/>
              </w:rPr>
            </w:pPr>
          </w:p>
        </w:tc>
      </w:tr>
      <w:tr>
        <w:trPr>
          <w:trHeight w:val="127"/>
        </w:trPr>
        <w:tc>
          <w:tcPr>
            <w:tcW w:w="13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5"/>
              </w:rPr>
              <w:t>Long-term debt (including</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88"/>
              </w:rPr>
              <w:t>622.4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634.3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1,206.2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1,205.3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1,204.3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1,203.3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portion)</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Unearned revenue (including</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49.8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105.3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130.3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159.1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0" w:type="dxa"/>
            <w:vAlign w:val="bottom"/>
          </w:tcPr>
          <w:p>
            <w:pPr>
              <w:spacing w:after="0"/>
              <w:rPr>
                <w:sz w:val="1"/>
                <w:szCs w:val="1"/>
                <w:color w:val="auto"/>
              </w:rPr>
            </w:pPr>
          </w:p>
        </w:tc>
      </w:tr>
      <w:tr>
        <w:trPr>
          <w:trHeight w:val="170"/>
        </w:trPr>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current portion)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88"/>
              </w:rPr>
              <w:t>691.6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1,503.6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1,524.4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1,575.5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8"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16510</wp:posOffset>
            </wp:positionV>
            <wp:extent cx="6172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7" w:lineRule="exact"/>
        <w:rPr>
          <w:sz w:val="20"/>
          <w:szCs w:val="20"/>
          <w:color w:val="auto"/>
        </w:rPr>
      </w:pPr>
    </w:p>
    <w:p>
      <w:pPr>
        <w:jc w:val="right"/>
        <w:ind w:right="60"/>
        <w:spacing w:after="0"/>
        <w:tabs>
          <w:tab w:leader="none" w:pos="8780" w:val="left"/>
          <w:tab w:leader="none" w:pos="8020" w:val="left"/>
          <w:tab w:leader="none" w:pos="7000" w:val="left"/>
          <w:tab w:leader="none" w:pos="6040" w:val="left"/>
          <w:tab w:leader="none" w:pos="5200" w:val="left"/>
          <w:tab w:leader="none" w:pos="4420" w:val="left"/>
          <w:tab w:leader="none" w:pos="3400" w:val="left"/>
          <w:tab w:leader="none" w:pos="2420" w:val="left"/>
          <w:tab w:leader="none" w:pos="1580" w:val="left"/>
          <w:tab w:leader="none" w:pos="800" w:val="left"/>
        </w:tabs>
        <w:rPr>
          <w:sz w:val="20"/>
          <w:szCs w:val="20"/>
          <w:color w:val="auto"/>
        </w:rPr>
      </w:pPr>
      <w:r>
        <w:rPr>
          <w:rFonts w:ascii="Times New Roman" w:cs="Times New Roman" w:eastAsia="Times New Roman" w:hAnsi="Times New Roman"/>
          <w:sz w:val="10"/>
          <w:szCs w:val="10"/>
          <w:b w:val="1"/>
          <w:bCs w:val="1"/>
          <w:color w:val="auto"/>
        </w:rPr>
        <w:t>March 31, 2018</w:t>
      </w:r>
      <w:r>
        <w:rPr>
          <w:sz w:val="20"/>
          <w:szCs w:val="20"/>
          <w:color w:val="auto"/>
        </w:rPr>
        <w:tab/>
      </w:r>
      <w:r>
        <w:rPr>
          <w:rFonts w:ascii="Times New Roman" w:cs="Times New Roman" w:eastAsia="Times New Roman" w:hAnsi="Times New Roman"/>
          <w:sz w:val="10"/>
          <w:szCs w:val="10"/>
          <w:b w:val="1"/>
          <w:bCs w:val="1"/>
          <w:color w:val="auto"/>
        </w:rPr>
        <w:t>June 30, 2018</w:t>
      </w:r>
      <w:r>
        <w:rPr>
          <w:sz w:val="20"/>
          <w:szCs w:val="20"/>
          <w:color w:val="auto"/>
        </w:rPr>
        <w:tab/>
      </w:r>
      <w:r>
        <w:rPr>
          <w:rFonts w:ascii="Times New Roman" w:cs="Times New Roman" w:eastAsia="Times New Roman" w:hAnsi="Times New Roman"/>
          <w:sz w:val="10"/>
          <w:szCs w:val="10"/>
          <w:b w:val="1"/>
          <w:bCs w:val="1"/>
          <w:color w:val="auto"/>
        </w:rPr>
        <w:t>September 30, 2018</w:t>
      </w:r>
      <w:r>
        <w:rPr>
          <w:sz w:val="20"/>
          <w:szCs w:val="20"/>
          <w:color w:val="auto"/>
        </w:rPr>
        <w:tab/>
      </w:r>
      <w:r>
        <w:rPr>
          <w:rFonts w:ascii="Times New Roman" w:cs="Times New Roman" w:eastAsia="Times New Roman" w:hAnsi="Times New Roman"/>
          <w:sz w:val="10"/>
          <w:szCs w:val="10"/>
          <w:b w:val="1"/>
          <w:bCs w:val="1"/>
          <w:color w:val="auto"/>
        </w:rPr>
        <w:t>December 31, 2018</w:t>
        <w:tab/>
        <w:t>March 31, 2019</w:t>
      </w:r>
      <w:r>
        <w:rPr>
          <w:sz w:val="20"/>
          <w:szCs w:val="20"/>
          <w:color w:val="auto"/>
        </w:rPr>
        <w:tab/>
      </w:r>
      <w:r>
        <w:rPr>
          <w:rFonts w:ascii="Times New Roman" w:cs="Times New Roman" w:eastAsia="Times New Roman" w:hAnsi="Times New Roman"/>
          <w:sz w:val="10"/>
          <w:szCs w:val="10"/>
          <w:b w:val="1"/>
          <w:bCs w:val="1"/>
          <w:color w:val="auto"/>
        </w:rPr>
        <w:t>June 30, 2019</w:t>
      </w:r>
      <w:r>
        <w:rPr>
          <w:sz w:val="20"/>
          <w:szCs w:val="20"/>
          <w:color w:val="auto"/>
        </w:rPr>
        <w:tab/>
      </w:r>
      <w:r>
        <w:rPr>
          <w:rFonts w:ascii="Times New Roman" w:cs="Times New Roman" w:eastAsia="Times New Roman" w:hAnsi="Times New Roman"/>
          <w:sz w:val="10"/>
          <w:szCs w:val="10"/>
          <w:b w:val="1"/>
          <w:bCs w:val="1"/>
          <w:color w:val="auto"/>
        </w:rPr>
        <w:t>September 30, 2019</w:t>
      </w:r>
      <w:r>
        <w:rPr>
          <w:sz w:val="20"/>
          <w:szCs w:val="20"/>
          <w:color w:val="auto"/>
        </w:rPr>
        <w:tab/>
      </w:r>
      <w:r>
        <w:rPr>
          <w:rFonts w:ascii="Times New Roman" w:cs="Times New Roman" w:eastAsia="Times New Roman" w:hAnsi="Times New Roman"/>
          <w:sz w:val="10"/>
          <w:szCs w:val="10"/>
          <w:b w:val="1"/>
          <w:bCs w:val="1"/>
          <w:color w:val="auto"/>
        </w:rPr>
        <w:t>December 31, 2019</w:t>
      </w:r>
      <w:r>
        <w:rPr>
          <w:sz w:val="20"/>
          <w:szCs w:val="20"/>
          <w:color w:val="auto"/>
        </w:rPr>
        <w:tab/>
      </w:r>
      <w:r>
        <w:rPr>
          <w:rFonts w:ascii="Times New Roman" w:cs="Times New Roman" w:eastAsia="Times New Roman" w:hAnsi="Times New Roman"/>
          <w:sz w:val="10"/>
          <w:szCs w:val="10"/>
          <w:b w:val="1"/>
          <w:bCs w:val="1"/>
          <w:color w:val="auto"/>
        </w:rPr>
        <w:t>March 31, 2020</w:t>
      </w:r>
      <w:r>
        <w:rPr>
          <w:sz w:val="20"/>
          <w:szCs w:val="20"/>
          <w:color w:val="auto"/>
        </w:rPr>
        <w:tab/>
      </w:r>
      <w:r>
        <w:rPr>
          <w:rFonts w:ascii="Times New Roman" w:cs="Times New Roman" w:eastAsia="Times New Roman" w:hAnsi="Times New Roman"/>
          <w:sz w:val="10"/>
          <w:szCs w:val="10"/>
          <w:b w:val="1"/>
          <w:bCs w:val="1"/>
          <w:color w:val="auto"/>
        </w:rPr>
        <w:t>June 30, 2020</w:t>
      </w:r>
      <w:r>
        <w:rPr>
          <w:sz w:val="20"/>
          <w:szCs w:val="20"/>
          <w:color w:val="auto"/>
        </w:rPr>
        <w:tab/>
      </w:r>
      <w:r>
        <w:rPr>
          <w:rFonts w:ascii="Times New Roman" w:cs="Times New Roman" w:eastAsia="Times New Roman" w:hAnsi="Times New Roman"/>
          <w:sz w:val="9"/>
          <w:szCs w:val="9"/>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16510</wp:posOffset>
            </wp:positionV>
            <wp:extent cx="6172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1"/>
          <w:szCs w:val="11"/>
          <w:b w:val="1"/>
          <w:bCs w:val="1"/>
          <w:color w:val="auto"/>
        </w:rPr>
        <w:t>(in millions)</w:t>
      </w:r>
    </w:p>
    <w:p>
      <w:pPr>
        <w:sectPr>
          <w:pgSz w:w="11900" w:h="16838" w:orient="portrait"/>
          <w:cols w:equalWidth="0" w:num="1">
            <w:col w:w="11240"/>
          </w:cols>
          <w:pgMar w:left="320" w:top="1413" w:right="339" w:bottom="1440" w:gutter="0" w:footer="0" w:header="0"/>
        </w:sectPr>
      </w:pPr>
    </w:p>
    <w:p>
      <w:pPr>
        <w:spacing w:after="0" w:line="33" w:lineRule="exact"/>
        <w:rPr>
          <w:sz w:val="20"/>
          <w:szCs w:val="20"/>
          <w:color w:val="auto"/>
        </w:rPr>
      </w:pPr>
    </w:p>
    <w:p>
      <w:pPr>
        <w:jc w:val="right"/>
        <w:ind w:left="2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r>
        <w:rPr>
          <w:rFonts w:ascii="Times New Roman" w:cs="Times New Roman" w:eastAsia="Times New Roman" w:hAnsi="Times New Roman"/>
          <w:sz w:val="15"/>
          <w:szCs w:val="15"/>
          <w:color w:val="auto"/>
          <w:vertAlign w:val="superscript"/>
        </w:rPr>
        <w:t>(1)</w:t>
      </w:r>
    </w:p>
    <w:p>
      <w:pPr>
        <w:spacing w:after="0" w:line="1" w:lineRule="exact"/>
        <w:rPr>
          <w:sz w:val="20"/>
          <w:szCs w:val="20"/>
          <w:color w:val="auto"/>
        </w:rPr>
      </w:pPr>
    </w:p>
    <w:p>
      <w:pPr>
        <w:ind w:left="180" w:right="160"/>
        <w:spacing w:after="0" w:line="210" w:lineRule="auto"/>
        <w:rPr>
          <w:sz w:val="20"/>
          <w:szCs w:val="20"/>
          <w:color w:val="auto"/>
        </w:rPr>
      </w:pPr>
      <w:r>
        <w:rPr>
          <w:rFonts w:ascii="Times New Roman" w:cs="Times New Roman" w:eastAsia="Times New Roman" w:hAnsi="Times New Roman"/>
          <w:sz w:val="13"/>
          <w:szCs w:val="13"/>
          <w:color w:val="auto"/>
        </w:rPr>
        <w:t>Net cash provided by (used in) investing activities</w:t>
      </w:r>
    </w:p>
    <w:p>
      <w:pPr>
        <w:spacing w:after="0" w:line="12" w:lineRule="exact"/>
        <w:rPr>
          <w:sz w:val="20"/>
          <w:szCs w:val="20"/>
          <w:color w:val="auto"/>
        </w:rPr>
      </w:pPr>
    </w:p>
    <w:p>
      <w:pPr>
        <w:ind w:left="180" w:right="160"/>
        <w:spacing w:after="0" w:line="217" w:lineRule="auto"/>
        <w:rPr>
          <w:sz w:val="20"/>
          <w:szCs w:val="20"/>
          <w:color w:val="auto"/>
        </w:rPr>
      </w:pPr>
      <w:r>
        <w:rPr>
          <w:rFonts w:ascii="Times New Roman" w:cs="Times New Roman" w:eastAsia="Times New Roman" w:hAnsi="Times New Roman"/>
          <w:sz w:val="13"/>
          <w:szCs w:val="13"/>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13.0</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w w:val="98"/>
              </w:rPr>
              <w:t>7.4</w:t>
            </w:r>
          </w:p>
        </w:tc>
        <w:tc>
          <w:tcPr>
            <w:tcW w:w="4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14.2</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18.5</w:t>
            </w:r>
          </w:p>
        </w:tc>
        <w:tc>
          <w:tcPr>
            <w:tcW w:w="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17.0</w:t>
            </w: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28.3</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25.3</w:t>
            </w:r>
          </w:p>
        </w:tc>
        <w:tc>
          <w:tcPr>
            <w:tcW w:w="4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r>
      <w:tr>
        <w:trPr>
          <w:trHeight w:val="418"/>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20" w:type="dxa"/>
            <w:vAlign w:val="bottom"/>
          </w:tcPr>
          <w:p>
            <w:pPr>
              <w:spacing w:after="0"/>
              <w:rPr>
                <w:sz w:val="24"/>
                <w:szCs w:val="24"/>
                <w:color w:val="auto"/>
              </w:rPr>
            </w:pPr>
          </w:p>
        </w:tc>
        <w:tc>
          <w:tcPr>
            <w:tcW w:w="600" w:type="dxa"/>
            <w:vAlign w:val="bottom"/>
          </w:tcPr>
          <w:p>
            <w:pPr>
              <w:jc w:val="center"/>
              <w:ind w:left="157"/>
              <w:spacing w:after="0"/>
              <w:rPr>
                <w:sz w:val="20"/>
                <w:szCs w:val="20"/>
                <w:color w:val="auto"/>
              </w:rPr>
            </w:pPr>
            <w:r>
              <w:rPr>
                <w:rFonts w:ascii="Times New Roman" w:cs="Times New Roman" w:eastAsia="Times New Roman" w:hAnsi="Times New Roman"/>
                <w:sz w:val="13"/>
                <w:szCs w:val="13"/>
                <w:color w:val="auto"/>
              </w:rPr>
              <w:t>(9.7)</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(708.6)</w:t>
            </w:r>
          </w:p>
        </w:tc>
        <w:tc>
          <w:tcPr>
            <w:tcW w:w="26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42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2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(4.1)</w:t>
            </w:r>
          </w:p>
        </w:tc>
        <w:tc>
          <w:tcPr>
            <w:tcW w:w="26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418"/>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20" w:type="dxa"/>
            <w:vAlign w:val="bottom"/>
          </w:tcPr>
          <w:p>
            <w:pPr>
              <w:spacing w:after="0"/>
              <w:rPr>
                <w:sz w:val="24"/>
                <w:szCs w:val="24"/>
                <w:color w:val="auto"/>
              </w:rPr>
            </w:pPr>
          </w:p>
        </w:tc>
        <w:tc>
          <w:tcPr>
            <w:tcW w:w="60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w w:val="98"/>
              </w:rPr>
              <w:t>1.2</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(5.7)</w:t>
            </w:r>
          </w:p>
        </w:tc>
        <w:tc>
          <w:tcPr>
            <w:tcW w:w="26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755.0</w:t>
            </w:r>
          </w:p>
        </w:tc>
        <w:tc>
          <w:tcPr>
            <w:tcW w:w="26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w:t>
            </w:r>
          </w:p>
        </w:tc>
        <w:tc>
          <w:tcPr>
            <w:tcW w:w="42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(5.3)</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174.9</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-715010</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-260985</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20" w:space="120"/>
            <w:col w:w="970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provided by (used in) operating activities includes cash payments for interest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42"/>
        </w:trPr>
        <w:tc>
          <w:tcPr>
            <w:tcW w:w="152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2018</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June 30, 2018</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2018</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June 30, 2019</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September 30, 2019</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2020</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June 30, 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 2020</w:t>
            </w:r>
          </w:p>
        </w:tc>
      </w:tr>
      <w:tr>
        <w:trPr>
          <w:trHeight w:val="174"/>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13"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$304.9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in our condensed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2020, we had unearned revenue of $176.0 million, of which $175.3 million was recorded as a current liability and is expected to be recorded as revenue in the next 12 months, provided all other revenue recognition criteria have been met.</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8"/>
                <w:szCs w:val="18"/>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and cash equivalents and restricted</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08"/>
        </w:trPr>
        <w:tc>
          <w:tcPr>
            <w:tcW w:w="51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Operating Activities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operations was $102.7 million for the nine months ended September 30, 2020 as a result of a net loss of $72.7 million, adjusted by non-cash charges of $179.7 million and partially offset by the change in our operating assets net of operating liabilities of $4.3 million. The non-cash charges are primarily comprised of depreciation and amortization of $37.0 million, equity-based compensation of $104.2 million, loss on early extinguishment of debt of $14.9 million, and amortization of deferred commission costs of $17.5 million, offset by a decrease in deferred tax assets net of deferred tax liabilities of $4.5 million. The change in operating assets net of operating liabilities was primarily the result of an increase in deferred costs and other assets of $22.3 million and an increase in accounts receivable of $4.6 million, partially offset by an increase in unearned revenue of $16.8 million and an increase in accrued expenses and other liabilities of $6.9 million.</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operations was $27.4 million for the nine months ended September 30, 2019 as a result of a net loss of $72.5 million, adjusted by non-cash charges of $66.6 million and the change in our operating assets net of operating liabilities of $33.3 million. The non-cash charges are primarily comprised of depreciation and amortization of $36.7 million, equity-based compensation of $17.1 million, loss on early extinguishment of debt of $9.4 million, and amortization of deferred commission costs of $4.5 million, offset by a decrease in deferred tax assets net of deferred tax liabilities of $6.1 million. The change in operating assets net of operating liabilities was primarily the result of an increase in unearned revenue of $46.2 million and an increase in accrued expenses and other liabilities of $6.2 million, partially offset by an increase in deferred costs and other assets of $13.2 million and an increase in accounts receivable of $7.4 million.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Restructuring and transaction-related cash costs for the nine months ended September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2020, and 2019, we incurred the following cash expenditures: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3"/>
                <w:szCs w:val="23"/>
                <w:color w:val="auto"/>
                <w:vertAlign w:val="superscript"/>
              </w:rPr>
              <w:t>(a)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3"/>
                <w:szCs w:val="23"/>
                <w:color w:val="auto"/>
                <w:vertAlign w:val="superscript"/>
              </w:rPr>
              <w:t>(b)</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155"/>
        </w:trPr>
        <w:tc>
          <w:tcPr>
            <w:tcW w:w="8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jc w:val="both"/>
        <w:ind w:left="340" w:hanging="332"/>
        <w:spacing w:after="0" w:line="241" w:lineRule="auto"/>
        <w:tabs>
          <w:tab w:leader="none" w:pos="337"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2020, these payments related primarily to the IPO, including professional fees, severance and acceleration of payments for terminated employees, and deferred consideration. For the nine months ended September 30, 2019, these payments related primarily to the acquisition of Pre-Acquisition ZI, including professional fees, severance, and acceleration of payments for terminated employees.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nine months ended September 30, 2020, these payments related primarily to cash vesting payments from the acquisition of Pre-Acquisition ZI. For the nine months ended September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34" w:lineRule="exact"/>
        <w:rPr>
          <w:sz w:val="20"/>
          <w:szCs w:val="20"/>
          <w:color w:val="auto"/>
        </w:rPr>
      </w:pPr>
    </w:p>
    <w:p>
      <w:pPr>
        <w:jc w:val="both"/>
        <w:ind w:left="660" w:hanging="328"/>
        <w:spacing w:after="0" w:line="289" w:lineRule="auto"/>
        <w:tabs>
          <w:tab w:leader="none" w:pos="65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used a portion of the proceeds from the IPO to repay a portion of our indebtedness, which resulted in our future liquidity increasing due to decreased debt service commitments.</w:t>
      </w:r>
    </w:p>
    <w:p>
      <w:pPr>
        <w:spacing w:after="0" w:line="103"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3"/>
                <w:szCs w:val="23"/>
                <w:color w:val="auto"/>
                <w:vertAlign w:val="superscript"/>
              </w:rPr>
              <w:t>(a)</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3"/>
                <w:szCs w:val="23"/>
                <w:color w:val="auto"/>
                <w:vertAlign w:val="superscript"/>
              </w:rPr>
              <w:t>(b)</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729"/>
        </w:trPr>
        <w:tc>
          <w:tcPr>
            <w:tcW w:w="5240" w:type="dxa"/>
            <w:vAlign w:val="bottom"/>
          </w:tcPr>
          <w:p>
            <w:pPr>
              <w:spacing w:after="0"/>
              <w:rPr>
                <w:sz w:val="24"/>
                <w:szCs w:val="24"/>
                <w:color w:val="auto"/>
              </w:rPr>
            </w:pPr>
          </w:p>
        </w:tc>
        <w:tc>
          <w:tcPr>
            <w:tcW w:w="27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4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41" w:lineRule="auto"/>
        <w:tabs>
          <w:tab w:leader="none" w:pos="337"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5"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2020 was $11.8 million, consisting of purchases of property and equipment and other assets.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was $724.2 million, consisting of cash payments for the acquisition of Pre-Acquisition ZI of $714.9 million and purchases of property and equipment and other assets of $9.3 million.</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and invest in our business, we expect to continue to invest in property and equipment and opportunistically pursue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from financing activities for the nine months ended September 30, 2020 was $172.6 million, consisting of the IPO proceeds, net of underwriter discount, of $1,023.7 million, partially offset by the redemption of Series A Preferred Units of $274.2 million, payments on long-term debt of $510.9 million, purchase of OpCo Units from Pre-IPO Unitholders for $47.2 million, payments of deferred consideration of $24.7 million, the payment of debt issuance costs of $7.2 million, and distributions to equity partners of $9.9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for the nine months ended September 30, 2019 was $728.0 million, consisting of the proceeds from long-term debt of $1,220.8 million, and equity offering, net of transaction costs of $200.2 million, partially offset by the payments on long-term debt of $647.6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during the year ended December 31, 2019 was $725.8 million, primarily as a result of the issuance of new debt of $1,220.8 million and the Series A Preferred Unit issuance of $200.2 million, partially offset by payments on long-term debt of $649.8 million, the payment of debt issuance costs of $16.7 million, and distributions to equity partners of $16.5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8 of our consolidated financial statements included elsewhere in this prospectus for additional information related to each of our borrowings.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aggregate remaining balance of $756.4 million of first lien term loans is due, in its entirety, at the contractual maturity date of February 1, 2026, which represents the only existing required future debt principal repayment obligations that will require future uses of our cash.</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first lien term loans bear interest at a rate equal to, at our option, either (a) LIBOR (not less than 0%) plus 3.75% per annum or (b) 2.75% per annum plus the highest of (i) the Federal Funds Rate plus 0.5% , (ii) the Prime Rate or (iii) one-month LIBOR plus 1.0% . The interest rate margins above reflect reductions of 0.25% following the IPO. Should we draw down on the $100 million of available credit on the revolving credit facility, the outstanding balance would bear interest at a rate equal to, at our option, either (a) LIBOR (not less than 0%) plus 3.5% per annum or (b) 2.5% per annum plus the highest of (i) the Federal Funds Rate plus 0.5% , (ii) the Prime Rate or (iii) one-month LIBOR plus 1.0%. The interest rate margins above reflect reductions of 0.25% following the IPO and an additional 0.25% due to our achievement of certain leverage criteria. The revolving credit facility is subject to customary fees for loan facilities of this type, including a commitment fee of 0.125%, reflecting 0.375% reductions due to our achievement of certain leverage criteria.</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September 30, 2020 was $256.6 million. Our consolidated first lien net leverage ratio as of September 30, 2020 was 1.8x.</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We may be able to incur substantial additional indebtedness in the future. The terms of the credit agreement governing our first lien term loan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expenditures increased by 2.5 million, or 27%, to $11.8 million in the nine months ended September 30, 2020 compared to the nine months ended September 30, 2019. The increase reflects increased capital expenditures to support the larger company and greater capitalization of internal development costs.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$9.0 million, or 196%, to $13.6 million in the year ended December 31, 2019 compared to year ended December 31, 2018. The increase reflects increased capital expenditures to support the larger company and greater capitalization of internal development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7" w:right="33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18"/>
          <w:szCs w:val="18"/>
          <w:color w:val="auto"/>
        </w:rPr>
        <w:t>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7"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18"/>
          <w:szCs w:val="18"/>
          <w:color w:val="auto"/>
        </w:rPr>
        <w:t>(together with a corresponding number of shares of Class B common stock) for shares of Class A common stock on the date of this offering)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See “Certain Relationships and Related Person Transactions—Tax Receivable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2019 and the years in which these obligations are due: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One to three years</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to five years</w:t>
            </w:r>
          </w:p>
        </w:tc>
        <w:tc>
          <w:tcPr>
            <w:tcW w:w="120" w:type="dxa"/>
            <w:vAlign w:val="bottom"/>
          </w:tcPr>
          <w:p>
            <w:pPr>
              <w:spacing w:after="0"/>
              <w:rPr>
                <w:sz w:val="11"/>
                <w:szCs w:val="11"/>
                <w:color w:val="auto"/>
              </w:rPr>
            </w:pPr>
          </w:p>
        </w:tc>
        <w:tc>
          <w:tcPr>
            <w:tcW w:w="1200" w:type="dxa"/>
            <w:vAlign w:val="bottom"/>
          </w:tcPr>
          <w:p>
            <w:pPr>
              <w:jc w:val="right"/>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Greater than five</w:t>
            </w:r>
          </w:p>
        </w:tc>
        <w:tc>
          <w:tcPr>
            <w:tcW w:w="0" w:type="dxa"/>
            <w:vAlign w:val="bottom"/>
          </w:tcPr>
          <w:p>
            <w:pPr>
              <w:spacing w:after="0"/>
              <w:rPr>
                <w:sz w:val="1"/>
                <w:szCs w:val="1"/>
                <w:color w:val="auto"/>
              </w:rPr>
            </w:pPr>
          </w:p>
        </w:tc>
      </w:tr>
      <w:tr>
        <w:trPr>
          <w:trHeight w:val="189"/>
        </w:trPr>
        <w:tc>
          <w:tcPr>
            <w:tcW w:w="4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or contingent consideration</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2"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16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on existing operating leases through the scheduled expiration dates thereof.</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9"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17" w:right="339" w:bottom="1440" w:gutter="0" w:footer="0" w:header="0"/>
        </w:sectPr>
      </w:pPr>
    </w:p>
    <w:bookmarkStart w:id="136" w:name="page137"/>
    <w:bookmarkEnd w:id="13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non-cancellable. We typically bill for services annually, semi-annually, or quarterly in advance of delivery.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January 1, 2018, we adopted the requirements of Topic 606 using the full retrospective method of adoption.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Historically, the Company has issued profits interests to employees and officers with a return threshold that is set based on the fair value of the Company, as determined by the board of directors.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2" w:lineRule="exact"/>
        <w:rPr>
          <w:sz w:val="20"/>
          <w:szCs w:val="20"/>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 The expected life represents the period of time that the equity-based awards are expected to remain outstanding, giving consideration to vesting schedules and forfeiture patterns.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The volatility is based on the historical volatility of the stock prices for comparable companies with a look-back period consistent with the expected life.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The dividend yield is assumed to be zero.</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8"/>
          <w:szCs w:val="18"/>
          <w:color w:val="auto"/>
        </w:rPr>
        <w:t>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Acquired intangible assets are amortized on a straight-line basis over the estimated period over which we expect to realize economic value related to the intangible asset. The amortization periods range from two years to 15 years.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82" w:lineRule="auto"/>
        <w:rPr>
          <w:sz w:val="20"/>
          <w:szCs w:val="20"/>
          <w:color w:val="auto"/>
        </w:rPr>
      </w:pPr>
      <w:r>
        <w:rPr>
          <w:rFonts w:ascii="Times New Roman" w:cs="Times New Roman" w:eastAsia="Times New Roman" w:hAnsi="Times New Roman"/>
          <w:sz w:val="18"/>
          <w:szCs w:val="18"/>
          <w:color w:val="auto"/>
        </w:rPr>
        <w:t>carrying value as a basis to determine whether further impairment testing under ASC 350 is necessary. No impairment charges were recorded for the three and nine month periods ended September 30, 2020 and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ZoomInfo OpCo is comprised of two limited liability companies that are treated as partnerships for tax purposes, ten limited liability companies that are single member entities and disregarded for tax purposes, four corporations, and one foreign entity.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consummation of the IPO we became subject to U.S. federal income taxes with respect to our allocable share of any U.S. taxable income of ZoomInfo OpCo and are taxed at the prevailing U.S. corporate tax rates. We are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of our consolidated financial statements included elsewhere in this prospectus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First Lien Term Loan, which bears a variable interest rate based on LIBOR. As of September 30, 2020, the total principal balance outstanding was $756.4 million. We have implemented a hedging strategy to mitigate the interest rate risk by entering into certain derivative instruments (refer to Note 8 of our consolidated financial statements included elsewhere in this prospectus). Based on the outstanding balances and interest rates of our debt as of September 30, 2020, a hypothetical 10% relative increase or decrease in LIBOR would cause an increase or decrease in interest expense of approximately $4.1 million over the next 12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1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enable this, our go-to-market intelligence platform delivers comprehensive and high-quality intelligence and analytics on approximately 14 million companies and over 119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82" w:lineRule="auto"/>
        <w:rPr>
          <w:sz w:val="20"/>
          <w:szCs w:val="20"/>
          <w:color w:val="auto"/>
        </w:rPr>
      </w:pPr>
      <w:r>
        <w:rPr>
          <w:rFonts w:ascii="Times New Roman" w:cs="Times New Roman" w:eastAsia="Times New Roman" w:hAnsi="Times New Roman"/>
          <w:sz w:val="18"/>
          <w:szCs w:val="18"/>
          <w:color w:val="auto"/>
        </w:rPr>
        <w:t>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931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Independent of size or industry, we believe our platform can make almost any sales and marketing team more effective and more efficient. 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16 customers spending over $1,000,000 in ACV.</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 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is Fundamental to Every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Business-to-Business (“B2B”) Sales and Marketing has Changed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is Still Inefficient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4" w:lineRule="exact"/>
        <w:rPr>
          <w:sz w:val="20"/>
          <w:szCs w:val="20"/>
          <w:color w:val="auto"/>
        </w:rPr>
      </w:pPr>
    </w:p>
    <w:p>
      <w:pPr>
        <w:jc w:val="both"/>
        <w:ind w:left="660" w:hanging="328"/>
        <w:spacing w:after="0" w:line="257" w:lineRule="auto"/>
        <w:tabs>
          <w:tab w:leader="none" w:pos="6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find and engage with decision makers. </w:t>
      </w:r>
      <w:r>
        <w:rPr>
          <w:rFonts w:ascii="Times New Roman" w:cs="Times New Roman" w:eastAsia="Times New Roman" w:hAnsi="Times New Roman"/>
          <w:sz w:val="18"/>
          <w:szCs w:val="18"/>
          <w:color w:val="auto"/>
        </w:rPr>
        <w:t>Inaccurate or missing contact information plagues efforts to engage with a broad set of targets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quickly 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13" w:right="339" w:bottom="1440" w:gutter="0" w:footer="0" w:header="0"/>
        </w:sectPr>
      </w:pPr>
    </w:p>
    <w:bookmarkStart w:id="143" w:name="page144"/>
    <w:bookmarkEnd w:id="143"/>
    <w:p>
      <w:pPr>
        <w:ind w:left="660"/>
        <w:spacing w:after="0" w:line="282" w:lineRule="auto"/>
        <w:rPr>
          <w:sz w:val="20"/>
          <w:szCs w:val="20"/>
          <w:color w:val="auto"/>
        </w:rPr>
      </w:pPr>
      <w:r>
        <w:rPr>
          <w:rFonts w:ascii="Times New Roman" w:cs="Times New Roman" w:eastAsia="Times New Roman" w:hAnsi="Times New Roman"/>
          <w:sz w:val="18"/>
          <w:szCs w:val="18"/>
          <w:color w:val="auto"/>
        </w:rPr>
        <w:t>calling mainline telephone numbers, which often get blocked. Ultimately, once they find the correct information, the data immediately begins to decay.</w:t>
      </w:r>
    </w:p>
    <w:p>
      <w:pPr>
        <w:spacing w:after="0" w:line="104" w:lineRule="exact"/>
        <w:rPr>
          <w:sz w:val="20"/>
          <w:szCs w:val="20"/>
          <w:color w:val="auto"/>
        </w:rPr>
      </w:pPr>
    </w:p>
    <w:p>
      <w:pPr>
        <w:jc w:val="both"/>
        <w:ind w:left="660" w:hanging="328"/>
        <w:spacing w:after="0" w:line="262" w:lineRule="auto"/>
        <w:tabs>
          <w:tab w:leader="none" w:pos="6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know when to engage. </w:t>
      </w:r>
      <w:r>
        <w:rPr>
          <w:rFonts w:ascii="Times New Roman" w:cs="Times New Roman" w:eastAsia="Times New Roman" w:hAnsi="Times New Roman"/>
          <w:sz w:val="18"/>
          <w:szCs w:val="18"/>
          <w:color w:val="auto"/>
        </w:rPr>
        <w:t>Sales and marketing professionals are much better positioned to land a sale when they have insights into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data-driven way to prioritize targets. </w:t>
      </w:r>
      <w:r>
        <w:rPr>
          <w:rFonts w:ascii="Times New Roman" w:cs="Times New Roman" w:eastAsia="Times New Roman" w:hAnsi="Times New Roman"/>
          <w:sz w:val="18"/>
          <w:szCs w:val="18"/>
          <w:color w:val="auto"/>
        </w:rPr>
        <w:t>Prioritization decisions for sales and marketing resources are often made based on intuition, random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ZoomInfo Platform</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ZoomInfo is the go-to-market intelligence platform for over 17,000 sales and marketing teams worldwide as of September 30,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had approximately 220,000 paid users using our paid platform as of September 30,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Bullhorn, Act-On, and a variety of other commonly used tools.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888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our go-to-market platform delivered comprehensive intelligence and analytics on approximately 14 million companies and over 119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ZoomInfo, the sales and marketing process becomes more streamlined and efficient, as demonstrated through the following examples:</w:t>
      </w:r>
    </w:p>
    <w:p>
      <w:pPr>
        <w:spacing w:after="0" w:line="171" w:lineRule="exact"/>
        <w:rPr>
          <w:sz w:val="20"/>
          <w:szCs w:val="20"/>
          <w:color w:val="auto"/>
        </w:rPr>
      </w:pPr>
    </w:p>
    <w:p>
      <w:pPr>
        <w:ind w:left="66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world’s largest banks uses ZoomInfo to provide their newly hired financial advisors a global network of senior professionals to target from which they can build their books of business.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telecom giant</w:t>
      </w:r>
      <w:r>
        <w:rPr>
          <w:rFonts w:ascii="Times New Roman" w:cs="Times New Roman" w:eastAsia="Times New Roman" w:hAnsi="Times New Roman"/>
          <w:sz w:val="18"/>
          <w:szCs w:val="18"/>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enterprise software</w:t>
      </w:r>
      <w:r>
        <w:rPr>
          <w:rFonts w:ascii="Times New Roman" w:cs="Times New Roman" w:eastAsia="Times New Roman" w:hAnsi="Times New Roman"/>
          <w:sz w:val="18"/>
          <w:szCs w:val="18"/>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13" w:right="339" w:bottom="1440" w:gutter="0" w:footer="0" w:header="0"/>
        </w:sectPr>
      </w:pPr>
    </w:p>
    <w:bookmarkStart w:id="145" w:name="page146"/>
    <w:bookmarkEnd w:id="145"/>
    <w:p>
      <w:pPr>
        <w:ind w:left="660" w:right="20" w:hanging="328"/>
        <w:spacing w:after="0" w:line="28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Fortune 500 </w:t>
      </w:r>
      <w:r>
        <w:rPr>
          <w:rFonts w:ascii="Times New Roman" w:cs="Times New Roman" w:eastAsia="Times New Roman" w:hAnsi="Times New Roman"/>
          <w:sz w:val="18"/>
          <w:szCs w:val="18"/>
          <w:b w:val="1"/>
          <w:bCs w:val="1"/>
          <w:color w:val="auto"/>
        </w:rPr>
        <w:t>transportation and logistics</w:t>
      </w:r>
      <w:r>
        <w:rPr>
          <w:rFonts w:ascii="Times New Roman" w:cs="Times New Roman" w:eastAsia="Times New Roman" w:hAnsi="Times New Roman"/>
          <w:sz w:val="18"/>
          <w:szCs w:val="18"/>
          <w:color w:val="auto"/>
        </w:rPr>
        <w:t xml:space="preserve"> company uses ZoomInfo predictive intent data to identify potential prospects who are conducting online research on “high-volume printing” and “commercial printing solutions.”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healthcare company</w:t>
      </w:r>
      <w:r>
        <w:rPr>
          <w:rFonts w:ascii="Times New Roman" w:cs="Times New Roman" w:eastAsia="Times New Roman" w:hAnsi="Times New Roman"/>
          <w:sz w:val="18"/>
          <w:szCs w:val="18"/>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largest </w:t>
      </w:r>
      <w:r>
        <w:rPr>
          <w:rFonts w:ascii="Times New Roman" w:cs="Times New Roman" w:eastAsia="Times New Roman" w:hAnsi="Times New Roman"/>
          <w:sz w:val="18"/>
          <w:szCs w:val="18"/>
          <w:b w:val="1"/>
          <w:bCs w:val="1"/>
          <w:color w:val="auto"/>
        </w:rPr>
        <w:t>management consulting</w:t>
      </w:r>
      <w:r>
        <w:rPr>
          <w:rFonts w:ascii="Times New Roman" w:cs="Times New Roman" w:eastAsia="Times New Roman" w:hAnsi="Times New Roman"/>
          <w:sz w:val="18"/>
          <w:szCs w:val="18"/>
          <w:color w:val="auto"/>
        </w:rPr>
        <w:t xml:space="preserve"> firms uses ZoomInfo to conduct targeted market research on behalf of its clients.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championship-winning </w:t>
      </w:r>
      <w:r>
        <w:rPr>
          <w:rFonts w:ascii="Times New Roman" w:cs="Times New Roman" w:eastAsia="Times New Roman" w:hAnsi="Times New Roman"/>
          <w:sz w:val="18"/>
          <w:szCs w:val="18"/>
          <w:b w:val="1"/>
          <w:bCs w:val="1"/>
          <w:color w:val="auto"/>
        </w:rPr>
        <w:t>professional basketball franchise</w:t>
      </w:r>
      <w:r>
        <w:rPr>
          <w:rFonts w:ascii="Times New Roman" w:cs="Times New Roman" w:eastAsia="Times New Roman" w:hAnsi="Times New Roman"/>
          <w:sz w:val="18"/>
          <w:szCs w:val="18"/>
          <w:color w:val="auto"/>
        </w:rPr>
        <w:t xml:space="preserve"> uses ZoomInfo to identify local businesses to purchase suites and human resources executives to develop employee engagement and perks programs.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HVAC and electrical company</w:t>
      </w:r>
      <w:r>
        <w:rPr>
          <w:rFonts w:ascii="Times New Roman" w:cs="Times New Roman" w:eastAsia="Times New Roman" w:hAnsi="Times New Roman"/>
          <w:sz w:val="18"/>
          <w:szCs w:val="18"/>
          <w:color w:val="auto"/>
        </w:rPr>
        <w:t xml:space="preserve"> uses ZoomInfo for address and location data so its sellers no longer have to drive around downtown areas looking for potential customers.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world’s largest </w:t>
      </w:r>
      <w:r>
        <w:rPr>
          <w:rFonts w:ascii="Times New Roman" w:cs="Times New Roman" w:eastAsia="Times New Roman" w:hAnsi="Times New Roman"/>
          <w:sz w:val="18"/>
          <w:szCs w:val="18"/>
          <w:b w:val="1"/>
          <w:bCs w:val="1"/>
          <w:color w:val="auto"/>
        </w:rPr>
        <w:t>beauty product retailers</w:t>
      </w:r>
      <w:r>
        <w:rPr>
          <w:rFonts w:ascii="Times New Roman" w:cs="Times New Roman" w:eastAsia="Times New Roman" w:hAnsi="Times New Roman"/>
          <w:sz w:val="18"/>
          <w:szCs w:val="18"/>
          <w:color w:val="auto"/>
        </w:rPr>
        <w:t xml:space="preserve"> uses ZoomInfo to power its recruiting efforts by identifying and sourcing talent.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Machine Learning and Artificial Intelligence Technologies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how the data engine works include:</w:t>
      </w:r>
    </w:p>
    <w:p>
      <w:pPr>
        <w:spacing w:after="0" w:line="171" w:lineRule="exact"/>
        <w:rPr>
          <w:sz w:val="20"/>
          <w:szCs w:val="20"/>
          <w:color w:val="auto"/>
        </w:rPr>
      </w:pPr>
    </w:p>
    <w:p>
      <w:pPr>
        <w:jc w:val="both"/>
        <w:ind w:left="66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VP of Marketing at a retail company responds to one of our automated surveys, indicating he plans to hire a new digital advertising agency within the next 12 months, which is published as a scoop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reads an agenda for a software company’s conference and identifies that the CEO of Omega Corp. is a keynote speaker at the conference, creating a piece of evidence that Omega Corp. is likely a customer.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13" w:right="339" w:bottom="1440" w:gutter="0" w:footer="0" w:header="0"/>
        </w:sectPr>
      </w:pPr>
    </w:p>
    <w:bookmarkStart w:id="146" w:name="page147"/>
    <w:bookmarkEnd w:id="146"/>
    <w:p>
      <w:pPr>
        <w:jc w:val="both"/>
        <w:ind w:left="660" w:right="2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number of data sources, including proprietary sources, that enrich our platform as detailed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Contributory Network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Unstructured Public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50 million web domains.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Training Lab</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 Available Information</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We purchase a limited amount of data from third-party vendors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of Our Platform</w:t>
      </w:r>
    </w:p>
    <w:p>
      <w:pPr>
        <w:spacing w:after="0" w:line="171" w:lineRule="exact"/>
        <w:rPr>
          <w:sz w:val="20"/>
          <w:szCs w:val="20"/>
          <w:color w:val="auto"/>
        </w:rPr>
      </w:pPr>
    </w:p>
    <w:p>
      <w:pPr>
        <w:jc w:val="both"/>
        <w:ind w:left="660" w:hanging="328"/>
        <w:spacing w:after="0" w:line="255"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and Measurable Revenue Improvement. </w:t>
      </w:r>
      <w:r>
        <w:rPr>
          <w:rFonts w:ascii="Times New Roman" w:cs="Times New Roman" w:eastAsia="Times New Roman" w:hAnsi="Times New Roman"/>
          <w:sz w:val="18"/>
          <w:szCs w:val="18"/>
          <w:color w:val="auto"/>
        </w:rPr>
        <w:t>The highly accurate and deep intelligence on existing and prospective customers, coupled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September 30,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September 30,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17"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color w:val="auto"/>
        </w:rPr>
        <w:t>2020 and used the ZoomInfo platform to drive approximately $43 million in closed business attributable to ZoomInfo in 24 months.</w:t>
      </w:r>
    </w:p>
    <w:p>
      <w:pPr>
        <w:spacing w:after="0" w:line="167" w:lineRule="exact"/>
        <w:rPr>
          <w:sz w:val="20"/>
          <w:szCs w:val="20"/>
          <w:color w:val="auto"/>
        </w:rPr>
      </w:pPr>
    </w:p>
    <w:p>
      <w:pPr>
        <w:jc w:val="both"/>
        <w:ind w:left="660" w:hanging="328"/>
        <w:spacing w:after="0" w:line="259"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Unmatched Accuracy, Depth, and Coverage of Data. </w:t>
      </w:r>
      <w:r>
        <w:rPr>
          <w:rFonts w:ascii="Times New Roman" w:cs="Times New Roman" w:eastAsia="Times New Roman" w:hAnsi="Times New Roman"/>
          <w:sz w:val="18"/>
          <w:szCs w:val="18"/>
          <w:color w:val="auto"/>
        </w:rPr>
        <w:t>We gather data from millions of sources to power our AI- and ML-driven platform.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approximately 14 million companies and over 119 million professionals.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Data Points Drive Valuable Insights. </w:t>
      </w:r>
      <w:r>
        <w:rPr>
          <w:rFonts w:ascii="Times New Roman" w:cs="Times New Roman" w:eastAsia="Times New Roman" w:hAnsi="Times New Roman"/>
          <w:sz w:val="18"/>
          <w:szCs w:val="18"/>
          <w:color w:val="auto"/>
        </w:rPr>
        <w:t>Leveraging our unique data asset, we are able to provide sales and marketing professionals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and Automated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cloud-based platform is available to our customers wherever needed and can be accessed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Leader with a Comprehensive Go-to-Market Intelligence Platform. </w:t>
      </w:r>
      <w:r>
        <w:rPr>
          <w:rFonts w:ascii="Times New Roman" w:cs="Times New Roman" w:eastAsia="Times New Roman" w:hAnsi="Times New Roman"/>
          <w:sz w:val="18"/>
          <w:szCs w:val="18"/>
          <w:color w:val="auto"/>
        </w:rPr>
        <w:t>We provide the most accurate and comprehensive go-to-market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platform available. Customers leverage our complete view of their target customers and prospects to drive effectiveness and efficiency. Our platform covered approximately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Finely Tuned Go-to-Market Model. </w:t>
      </w:r>
      <w:r>
        <w:rPr>
          <w:rFonts w:ascii="Times New Roman" w:cs="Times New Roman" w:eastAsia="Times New Roman" w:hAnsi="Times New Roman"/>
          <w:sz w:val="18"/>
          <w:szCs w:val="18"/>
          <w:color w:val="auto"/>
        </w:rPr>
        <w:t>We utilize the ZoomInfo platform to power our efficient go-to-market motion. Our median new business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cycle 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High-Velocity Software Development. </w:t>
      </w:r>
      <w:r>
        <w:rPr>
          <w:rFonts w:ascii="Times New Roman" w:cs="Times New Roman" w:eastAsia="Times New Roman" w:hAnsi="Times New Roman"/>
          <w:sz w:val="18"/>
          <w:szCs w:val="18"/>
          <w:color w:val="auto"/>
        </w:rPr>
        <w:t>We foster an innovative, fast-paced engineering culture that enabled the development, launch, and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17" w:right="339" w:bottom="1440" w:gutter="0" w:footer="0" w:header="0"/>
        </w:sectPr>
      </w:pPr>
    </w:p>
    <w:bookmarkStart w:id="148" w:name="page149"/>
    <w:bookmarkEnd w:id="148"/>
    <w:p>
      <w:pPr>
        <w:jc w:val="both"/>
        <w:ind w:left="660" w:hanging="328"/>
        <w:spacing w:after="0" w:line="26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and Significant Network Effects. </w:t>
      </w:r>
      <w:r>
        <w:rPr>
          <w:rFonts w:ascii="Times New Roman" w:cs="Times New Roman" w:eastAsia="Times New Roman" w:hAnsi="Times New Roman"/>
          <w:sz w:val="18"/>
          <w:szCs w:val="18"/>
          <w:color w:val="auto"/>
        </w:rPr>
        <w:t>Driven by growth in our contributory network, the number of records we receive from our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grown to approximately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Founder-Led Management Team. </w:t>
      </w:r>
      <w:r>
        <w:rPr>
          <w:rFonts w:ascii="Times New Roman" w:cs="Times New Roman" w:eastAsia="Times New Roman" w:hAnsi="Times New Roman"/>
          <w:sz w:val="18"/>
          <w:szCs w:val="18"/>
          <w:color w:val="auto"/>
        </w:rPr>
        <w:t>Our co-founder and CEO, Henry Schuck, pioneered the category of go-to-market intelligence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driving force behind our vision, mission, and culture. Our highly talented, customer-centric senior leadership enables us to rapidly develop new products, move more quickly than our competition, and build our fast-paced, execution-oriented culture.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$30 billion, including an approximately $6 billion market for sales engagement and an approximately $1 billion opportunity with our existing enterprise customers, based on data as of September 30, 2020.</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drive the growth of our business through the following strategies:</w:t>
      </w:r>
    </w:p>
    <w:p>
      <w:pPr>
        <w:spacing w:after="0" w:line="167" w:lineRule="exact"/>
        <w:rPr>
          <w:sz w:val="20"/>
          <w:szCs w:val="20"/>
          <w:color w:val="auto"/>
        </w:rPr>
      </w:pPr>
    </w:p>
    <w:p>
      <w:pPr>
        <w:jc w:val="both"/>
        <w:ind w:left="660" w:hanging="328"/>
        <w:spacing w:after="0" w:line="26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Acquire New Customers. </w:t>
      </w:r>
      <w:r>
        <w:rPr>
          <w:rFonts w:ascii="Times New Roman" w:cs="Times New Roman" w:eastAsia="Times New Roman" w:hAnsi="Times New Roman"/>
          <w:sz w:val="18"/>
          <w:szCs w:val="18"/>
          <w:color w:val="auto"/>
        </w:rPr>
        <w:t>Using the ZoomInfo platform, we have identified over 740,000 global businesses that sell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and have more than 10 employees, which represent our potential customers. Our current customer base of over 17,000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 Additional High-Value Solutions to Our Existing Customers. </w:t>
      </w:r>
      <w:r>
        <w:rPr>
          <w:rFonts w:ascii="Times New Roman" w:cs="Times New Roman" w:eastAsia="Times New Roman" w:hAnsi="Times New Roman"/>
          <w:sz w:val="18"/>
          <w:szCs w:val="18"/>
          <w:color w:val="auto"/>
        </w:rPr>
        <w:t>We often expand within existing customers as they realize the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our 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Incremental Penetration Within Enterprises. </w:t>
      </w:r>
      <w:r>
        <w:rPr>
          <w:rFonts w:ascii="Times New Roman" w:cs="Times New Roman" w:eastAsia="Times New Roman" w:hAnsi="Times New Roman"/>
          <w:sz w:val="18"/>
          <w:szCs w:val="18"/>
          <w:color w:val="auto"/>
        </w:rPr>
        <w:t>We believe we are underpenetrated in the enterprise market and that, within many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13" w:right="339" w:bottom="1440" w:gutter="0" w:footer="0" w:header="0"/>
        </w:sectPr>
      </w:pPr>
    </w:p>
    <w:bookmarkStart w:id="149" w:name="page150"/>
    <w:bookmarkEnd w:id="149"/>
    <w:p>
      <w:pPr>
        <w:jc w:val="both"/>
        <w:ind w:left="660" w:hanging="328"/>
        <w:spacing w:after="0" w:line="26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Platform for Adjacent Use Cases such as Recruiting. </w:t>
      </w:r>
      <w:r>
        <w:rPr>
          <w:rFonts w:ascii="Times New Roman" w:cs="Times New Roman" w:eastAsia="Times New Roman" w:hAnsi="Times New Roman"/>
          <w:sz w:val="18"/>
          <w:szCs w:val="18"/>
          <w:color w:val="auto"/>
        </w:rPr>
        <w:t>Customers are organically adopting our existing platform for new use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to International Markets. </w:t>
      </w:r>
      <w:r>
        <w:rPr>
          <w:rFonts w:ascii="Times New Roman" w:cs="Times New Roman" w:eastAsia="Times New Roman" w:hAnsi="Times New Roman"/>
          <w:sz w:val="18"/>
          <w:szCs w:val="18"/>
          <w:color w:val="auto"/>
        </w:rPr>
        <w:t>We believe adoption of sales and marketing intelligence in international markets is still nascent. Our go-to-market 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 Acquisitions to Complement Our Platform. </w:t>
      </w:r>
      <w:r>
        <w:rPr>
          <w:rFonts w:ascii="Times New Roman" w:cs="Times New Roman" w:eastAsia="Times New Roman" w:hAnsi="Times New Roman"/>
          <w:sz w:val="18"/>
          <w:szCs w:val="18"/>
          <w:color w:val="auto"/>
        </w:rPr>
        <w:t>We will continue to evaluate opportunities to make acquisitions that expand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Functionality</w:t>
      </w:r>
    </w:p>
    <w:p>
      <w:pPr>
        <w:spacing w:after="0" w:line="171"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Company and Contact Profiles. </w:t>
      </w:r>
      <w:r>
        <w:rPr>
          <w:rFonts w:ascii="Times New Roman" w:cs="Times New Roman" w:eastAsia="Times New Roman" w:hAnsi="Times New Roman"/>
          <w:sz w:val="18"/>
          <w:szCs w:val="18"/>
          <w:color w:val="auto"/>
        </w:rPr>
        <w:t>View consolidated go-to-market intelligence available on companies and contacts.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Dashboard. </w:t>
      </w:r>
      <w:r>
        <w:rPr>
          <w:rFonts w:ascii="Times New Roman" w:cs="Times New Roman" w:eastAsia="Times New Roman" w:hAnsi="Times New Roman"/>
          <w:sz w:val="18"/>
          <w:szCs w:val="18"/>
          <w:color w:val="auto"/>
        </w:rPr>
        <w:t>Customizable landing pages to help users organize workflow around actionable insights.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Search. </w:t>
      </w:r>
      <w:r>
        <w:rPr>
          <w:rFonts w:ascii="Times New Roman" w:cs="Times New Roman" w:eastAsia="Times New Roman" w:hAnsi="Times New Roman"/>
          <w:sz w:val="18"/>
          <w:szCs w:val="18"/>
          <w:color w:val="auto"/>
        </w:rPr>
        <w:t>Use 60+ filters and thousands of keywords and attributes to build hyper-targeted lists of companies, contacts, scoops and intent, or to 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a single record.</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w:t>
      </w:r>
      <w:r>
        <w:rPr>
          <w:rFonts w:ascii="Times New Roman" w:cs="Times New Roman" w:eastAsia="Times New Roman" w:hAnsi="Times New Roman"/>
          <w:sz w:val="18"/>
          <w:szCs w:val="18"/>
          <w:color w:val="auto"/>
        </w:rPr>
        <w:t>Upload first-party company and contact lists, match to our records and fill in data gaps.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Alerts. </w:t>
      </w:r>
      <w:r>
        <w:rPr>
          <w:rFonts w:ascii="Times New Roman" w:cs="Times New Roman" w:eastAsia="Times New Roman" w:hAnsi="Times New Roman"/>
          <w:sz w:val="18"/>
          <w:szCs w:val="18"/>
          <w:color w:val="auto"/>
        </w:rPr>
        <w:t>Get notifications when actionable intel surfaces on a company or contact that a user follows.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Prioritize. </w:t>
      </w:r>
      <w:r>
        <w:rPr>
          <w:rFonts w:ascii="Times New Roman" w:cs="Times New Roman" w:eastAsia="Times New Roman" w:hAnsi="Times New Roman"/>
          <w:sz w:val="18"/>
          <w:szCs w:val="18"/>
          <w:color w:val="auto"/>
        </w:rPr>
        <w:t>Score records on fit, context, and actionable intel based on target profiles.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Orchestrate. </w:t>
      </w:r>
      <w:r>
        <w:rPr>
          <w:rFonts w:ascii="Times New Roman" w:cs="Times New Roman" w:eastAsia="Times New Roman" w:hAnsi="Times New Roman"/>
          <w:sz w:val="18"/>
          <w:szCs w:val="18"/>
          <w:color w:val="auto"/>
        </w:rPr>
        <w:t>Create custom rules driven by intelligence to automate workflows.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 </w:t>
      </w:r>
      <w:r>
        <w:rPr>
          <w:rFonts w:ascii="Times New Roman" w:cs="Times New Roman" w:eastAsia="Times New Roman" w:hAnsi="Times New Roman"/>
          <w:sz w:val="18"/>
          <w:szCs w:val="18"/>
          <w:color w:val="auto"/>
        </w:rPr>
        <w:t>Connect and export directly to CRM and sales &amp; marketing automation systems and continually update exported records on an ongoing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13" w:right="339" w:bottom="1440" w:gutter="0" w:footer="0" w:header="0"/>
        </w:sectPr>
      </w:pPr>
    </w:p>
    <w:bookmarkStart w:id="150" w:name="page151"/>
    <w:bookmarkEnd w:id="150"/>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Identity Resolution. </w:t>
      </w:r>
      <w:r>
        <w:rPr>
          <w:rFonts w:ascii="Times New Roman" w:cs="Times New Roman" w:eastAsia="Times New Roman" w:hAnsi="Times New Roman"/>
          <w:sz w:val="18"/>
          <w:szCs w:val="18"/>
          <w:color w:val="auto"/>
        </w:rPr>
        <w:t>Identify the companies represented by anonymous website visitors.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Email Verification. </w:t>
      </w:r>
      <w:r>
        <w:rPr>
          <w:rFonts w:ascii="Times New Roman" w:cs="Times New Roman" w:eastAsia="Times New Roman" w:hAnsi="Times New Roman"/>
          <w:sz w:val="18"/>
          <w:szCs w:val="18"/>
          <w:color w:val="auto"/>
        </w:rPr>
        <w:t>Verify email addresses before running a campaign to lower bounce rates.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Browser Intelligence. </w:t>
      </w:r>
      <w:r>
        <w:rPr>
          <w:rFonts w:ascii="Times New Roman" w:cs="Times New Roman" w:eastAsia="Times New Roman" w:hAnsi="Times New Roman"/>
          <w:sz w:val="18"/>
          <w:szCs w:val="18"/>
          <w:color w:val="auto"/>
        </w:rPr>
        <w:t>ZoomInfo’s Google Chrome Extension, ReachOut, delivers company and contact intelligence on screen as users 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78105</wp:posOffset>
            </wp:positionV>
            <wp:extent cx="5349240" cy="2743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Go-to-Market Intelligence</w:t>
      </w:r>
    </w:p>
    <w:p>
      <w:pPr>
        <w:spacing w:after="0" w:line="17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14 Million Companies. </w:t>
      </w:r>
      <w:r>
        <w:rPr>
          <w:rFonts w:ascii="Times New Roman" w:cs="Times New Roman" w:eastAsia="Times New Roman" w:hAnsi="Times New Roman"/>
          <w:sz w:val="18"/>
          <w:szCs w:val="18"/>
          <w:color w:val="auto"/>
        </w:rPr>
        <w:t>Includes description, location, industry, revenue and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 119 Million Contacts. </w:t>
      </w:r>
      <w:r>
        <w:rPr>
          <w:rFonts w:ascii="Times New Roman" w:cs="Times New Roman" w:eastAsia="Times New Roman" w:hAnsi="Times New Roman"/>
          <w:sz w:val="18"/>
          <w:szCs w:val="18"/>
          <w:color w:val="auto"/>
        </w:rPr>
        <w:t>Includes role, location, verified email and direct dial phone numbers.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Scoops. </w:t>
      </w:r>
      <w:r>
        <w:rPr>
          <w:rFonts w:ascii="Times New Roman" w:cs="Times New Roman" w:eastAsia="Times New Roman" w:hAnsi="Times New Roman"/>
          <w:sz w:val="18"/>
          <w:szCs w:val="18"/>
          <w:color w:val="auto"/>
        </w:rPr>
        <w:t>Curated insights, such as personnel moves, pain points or planned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Technologies. </w:t>
      </w:r>
      <w:r>
        <w:rPr>
          <w:rFonts w:ascii="Times New Roman" w:cs="Times New Roman" w:eastAsia="Times New Roman" w:hAnsi="Times New Roman"/>
          <w:sz w:val="18"/>
          <w:szCs w:val="18"/>
          <w:color w:val="auto"/>
        </w:rPr>
        <w:t>The stack of technologies used by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Intent. </w:t>
      </w:r>
      <w:r>
        <w:rPr>
          <w:rFonts w:ascii="Times New Roman" w:cs="Times New Roman" w:eastAsia="Times New Roman" w:hAnsi="Times New Roman"/>
          <w:sz w:val="18"/>
          <w:szCs w:val="18"/>
          <w:color w:val="auto"/>
        </w:rPr>
        <w:t>Reveals companies signaling intent to buy through research on products or related topics.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Attributes. </w:t>
      </w:r>
      <w:r>
        <w:rPr>
          <w:rFonts w:ascii="Times New Roman" w:cs="Times New Roman" w:eastAsia="Times New Roman" w:hAnsi="Times New Roman"/>
          <w:sz w:val="18"/>
          <w:szCs w:val="18"/>
          <w:color w:val="auto"/>
        </w:rPr>
        <w:t>Enables granular targeting on categories of attributes, such as location, job function and company rankings. Examples include: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center,” “Has a mobile application,” “Has 100+ locations,” and “Has a data scientist.”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Charts. </w:t>
      </w:r>
      <w:r>
        <w:rPr>
          <w:rFonts w:ascii="Times New Roman" w:cs="Times New Roman" w:eastAsia="Times New Roman" w:hAnsi="Times New Roman"/>
          <w:sz w:val="18"/>
          <w:szCs w:val="18"/>
          <w:color w:val="auto"/>
        </w:rPr>
        <w:t>Displays the organizational hierarchy of a company and helps identify decision makers.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News &amp; Events. </w:t>
      </w:r>
      <w:r>
        <w:rPr>
          <w:rFonts w:ascii="Times New Roman" w:cs="Times New Roman" w:eastAsia="Times New Roman" w:hAnsi="Times New Roman"/>
          <w:sz w:val="18"/>
          <w:szCs w:val="18"/>
          <w:color w:val="auto"/>
        </w:rPr>
        <w:t>Links to relevant news articles and events including press releases.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Structure and Hierarchy. </w:t>
      </w:r>
      <w:r>
        <w:rPr>
          <w:rFonts w:ascii="Times New Roman" w:cs="Times New Roman" w:eastAsia="Times New Roman" w:hAnsi="Times New Roman"/>
          <w:sz w:val="18"/>
          <w:szCs w:val="18"/>
          <w:color w:val="auto"/>
        </w:rPr>
        <w:t>Illustrates the relationships between parent companies, subsidiaries,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Locations. </w:t>
      </w:r>
      <w:r>
        <w:rPr>
          <w:rFonts w:ascii="Times New Roman" w:cs="Times New Roman" w:eastAsia="Times New Roman" w:hAnsi="Times New Roman"/>
          <w:sz w:val="18"/>
          <w:szCs w:val="18"/>
          <w:color w:val="auto"/>
        </w:rPr>
        <w:t>Identifies all known company sites and contacts located at each location.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Funding and Acquisition Announcements. </w:t>
      </w:r>
      <w:r>
        <w:rPr>
          <w:rFonts w:ascii="Times New Roman" w:cs="Times New Roman" w:eastAsia="Times New Roman" w:hAnsi="Times New Roman"/>
          <w:sz w:val="18"/>
          <w:szCs w:val="18"/>
          <w:color w:val="auto"/>
        </w:rPr>
        <w:t>Timely alerts on funding rounds and merger and acquisition activities.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13" w:right="339" w:bottom="1440" w:gutter="0" w:footer="0" w:header="0"/>
        </w:sectPr>
      </w:pPr>
    </w:p>
    <w:bookmarkStart w:id="151" w:name="page152"/>
    <w:bookmarkEnd w:id="151"/>
    <w:p>
      <w:pPr>
        <w:ind w:left="340"/>
        <w:spacing w:after="0"/>
        <w:rPr>
          <w:sz w:val="20"/>
          <w:szCs w:val="20"/>
          <w:color w:val="auto"/>
        </w:rPr>
      </w:pPr>
      <w:r>
        <w:rPr>
          <w:rFonts w:ascii="Times New Roman" w:cs="Times New Roman" w:eastAsia="Times New Roman" w:hAnsi="Times New Roman"/>
          <w:sz w:val="18"/>
          <w:szCs w:val="18"/>
          <w:color w:val="auto"/>
        </w:rPr>
        <w:t>We offer four editions: Elite, Advance, Professional, and Community, ranging from the most complete functionality to the least.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Incremental to these editions, customers can benefit from additional functionality through add-ons or standalone products that serve a specific business need. Select examples of these include:</w:t>
      </w:r>
    </w:p>
    <w:p>
      <w:pPr>
        <w:spacing w:after="0" w:line="104" w:lineRule="exact"/>
        <w:rPr>
          <w:sz w:val="20"/>
          <w:szCs w:val="20"/>
          <w:color w:val="auto"/>
        </w:rPr>
      </w:pPr>
    </w:p>
    <w:p>
      <w:pPr>
        <w:jc w:val="both"/>
        <w:ind w:left="660" w:hanging="328"/>
        <w:spacing w:after="0" w:line="268"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Record Subscriptions. </w:t>
      </w:r>
      <w:r>
        <w:rPr>
          <w:rFonts w:ascii="Times New Roman" w:cs="Times New Roman" w:eastAsia="Times New Roman" w:hAnsi="Times New Roman"/>
          <w:sz w:val="18"/>
          <w:szCs w:val="18"/>
          <w:color w:val="auto"/>
        </w:rPr>
        <w:t>Each product edition comes with an allowable number of records per user sufficient for typical sales use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European Dataset. </w:t>
      </w:r>
      <w:r>
        <w:rPr>
          <w:rFonts w:ascii="Times New Roman" w:cs="Times New Roman" w:eastAsia="Times New Roman" w:hAnsi="Times New Roman"/>
          <w:sz w:val="18"/>
          <w:szCs w:val="18"/>
          <w:color w:val="auto"/>
        </w:rPr>
        <w:t>Gain access to contact and other data for businesses throughout Europe.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Enrich. </w:t>
      </w:r>
      <w:r>
        <w:rPr>
          <w:rFonts w:ascii="Times New Roman" w:cs="Times New Roman" w:eastAsia="Times New Roman" w:hAnsi="Times New Roman"/>
          <w:sz w:val="18"/>
          <w:szCs w:val="18"/>
          <w:color w:val="auto"/>
        </w:rPr>
        <w:t>Fills in data gaps and maintains the accuracy and completeness of data in customers’ go-to-market systems.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cleans and appends new records generated in these go-to-market systems, in real time.</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Engage. </w:t>
      </w:r>
      <w:r>
        <w:rPr>
          <w:rFonts w:ascii="Times New Roman" w:cs="Times New Roman" w:eastAsia="Times New Roman" w:hAnsi="Times New Roman"/>
          <w:sz w:val="18"/>
          <w:szCs w:val="18"/>
          <w:color w:val="auto"/>
        </w:rPr>
        <w:t>A sales engagement solution that enables direct outreach to prospects and customers. Functionality includes a dialer,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orchestration and templates, chat, custom multi-touch engagement sequences and activity syncing with go-to-market systems.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InboxAI. </w:t>
      </w:r>
      <w:r>
        <w:rPr>
          <w:rFonts w:ascii="Times New Roman" w:cs="Times New Roman" w:eastAsia="Times New Roman" w:hAnsi="Times New Roman"/>
          <w:sz w:val="18"/>
          <w:szCs w:val="18"/>
          <w:color w:val="auto"/>
        </w:rPr>
        <w:t>Mines email and calendar systems for contacts and activity, automatically synchronizing them with Salesforce. It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generates AI-powered insights and recommendations to help teams manage opportunities and renewals.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Compliance </w:t>
      </w:r>
      <w:r>
        <w:rPr>
          <w:rFonts w:ascii="Times New Roman" w:cs="Times New Roman" w:eastAsia="Times New Roman" w:hAnsi="Times New Roman"/>
          <w:sz w:val="18"/>
          <w:szCs w:val="18"/>
          <w:color w:val="auto"/>
        </w:rPr>
        <w:t>API. Helps customers identify pertinent information, such as physical locations and other known aliases, for opt-out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pricing is based on the edition, number of users and add-on functionality of our platform that is purchased.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18" w:lineRule="exact"/>
        <w:rPr>
          <w:sz w:val="20"/>
          <w:szCs w:val="20"/>
          <w:color w:val="auto"/>
        </w:rPr>
      </w:pPr>
    </w:p>
    <w:p>
      <w:pPr>
        <w:jc w:val="both"/>
        <w:ind w:left="660" w:hanging="328"/>
        <w:spacing w:after="0" w:line="26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We foster an innovative, fast-paced engineering culture that enabled the release of 112 product features and services in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By leveraging leading cloud infrastructure providers, including the Google Cloud Platform, Amazon Web Services and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Azure, along with our automated technology stack, we are able to scale workloads of varying sizes at any time. This allows us to process billions of data points each day from millions of data sources in our proprietary data engine.</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w:t>
      </w:r>
      <w:r>
        <w:rPr>
          <w:rFonts w:ascii="Times New Roman" w:cs="Times New Roman" w:eastAsia="Times New Roman" w:hAnsi="Times New Roman"/>
          <w:sz w:val="18"/>
          <w:szCs w:val="18"/>
          <w:color w:val="auto"/>
        </w:rPr>
        <w:t>Each of our application components is deployed redundantly across multiple data centers, and most of our software today runs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September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17" w:right="339" w:bottom="1440" w:gutter="0" w:footer="0" w:header="0"/>
        </w:sectPr>
      </w:pPr>
    </w:p>
    <w:bookmarkStart w:id="152" w:name="page153"/>
    <w:bookmarkEnd w:id="152"/>
    <w:p>
      <w:pPr>
        <w:ind w:left="660" w:hanging="328"/>
        <w:spacing w:after="0" w:line="28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We encrypt all traffic, employ Zero Trust authentication wherever feasible, scan our code and dependencies for vulnerabilities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undergo regular pen-testing. In addition, all user passwords are centrally managed.</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 and diversified customer base consists of over 17,000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September 30, 2020, we had over 720 customers with more than $100,000 of ACV, with 18 customers spending over $1,000,000 in ACV annually. No single customer contributed more than 1%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built an extremely efficient go-to-market engine. We have integrated our insights and data into an automated engine with defined processes and specialized roles in order to market and sell our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high-value roles.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82" w:lineRule="auto"/>
        <w:rPr>
          <w:sz w:val="20"/>
          <w:szCs w:val="20"/>
          <w:color w:val="auto"/>
        </w:rPr>
      </w:pPr>
      <w:r>
        <w:rPr>
          <w:rFonts w:ascii="Times New Roman" w:cs="Times New Roman" w:eastAsia="Times New Roman" w:hAnsi="Times New Roman"/>
          <w:sz w:val="18"/>
          <w:szCs w:val="18"/>
          <w:color w:val="auto"/>
        </w:rPr>
        <w:t>their footprint within existing customers that have significant potential to grow their relationship with us. In 2019 our net annual retention rate increased to 109% from 102% in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Culture, and Values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 The values we live and work by build the foundation for our award-winning culture.</w:t>
      </w:r>
    </w:p>
    <w:p>
      <w:pPr>
        <w:spacing w:after="0" w:line="104"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Winning…Is What Drives Us. </w:t>
      </w:r>
      <w:r>
        <w:rPr>
          <w:rFonts w:ascii="Times New Roman" w:cs="Times New Roman" w:eastAsia="Times New Roman" w:hAnsi="Times New Roman"/>
          <w:sz w:val="17"/>
          <w:szCs w:val="17"/>
          <w:color w:val="auto"/>
        </w:rPr>
        <w:t>We’re focused on stretch goals that we feel good about, and are laser-focused to blow those marks out of the water.</w:t>
      </w:r>
    </w:p>
    <w:p>
      <w:pPr>
        <w:spacing w:after="0" w:line="182" w:lineRule="exact"/>
        <w:rPr>
          <w:rFonts w:ascii="Times New Roman" w:cs="Times New Roman" w:eastAsia="Times New Roman" w:hAnsi="Times New Roman"/>
          <w:sz w:val="17"/>
          <w:szCs w:val="17"/>
          <w:color w:val="auto"/>
        </w:rPr>
      </w:pPr>
    </w:p>
    <w:p>
      <w:pPr>
        <w:ind w:left="660" w:hanging="328"/>
        <w:spacing w:after="0" w:line="28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Rapidly Innovate. </w:t>
      </w:r>
      <w:r>
        <w:rPr>
          <w:rFonts w:ascii="Times New Roman" w:cs="Times New Roman" w:eastAsia="Times New Roman" w:hAnsi="Times New Roman"/>
          <w:sz w:val="18"/>
          <w:szCs w:val="18"/>
          <w:color w:val="auto"/>
        </w:rPr>
        <w:t>We believe in challenging the status quo and refuse to stand by the words “that’s the way it has always been done.” We 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to see what is the most innovative, efficient, and effective way each and every day.</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Are 100% Results Driven. </w:t>
      </w:r>
      <w:r>
        <w:rPr>
          <w:rFonts w:ascii="Times New Roman" w:cs="Times New Roman" w:eastAsia="Times New Roman" w:hAnsi="Times New Roman"/>
          <w:sz w:val="18"/>
          <w:szCs w:val="18"/>
          <w:color w:val="auto"/>
        </w:rPr>
        <w:t>We face obstacles head on and collaborate to overcome them.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Like to Feel Uncomfortable. </w:t>
      </w:r>
      <w:r>
        <w:rPr>
          <w:rFonts w:ascii="Times New Roman" w:cs="Times New Roman" w:eastAsia="Times New Roman" w:hAnsi="Times New Roman"/>
          <w:sz w:val="18"/>
          <w:szCs w:val="18"/>
          <w:color w:val="auto"/>
        </w:rPr>
        <w:t>If we’re not uncomfortable, we’re not getting better. Discomfort is key to change, change is key to progress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progress is the key to winning.</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Define New Possibles. </w:t>
      </w:r>
      <w:r>
        <w:rPr>
          <w:rFonts w:ascii="Times New Roman" w:cs="Times New Roman" w:eastAsia="Times New Roman" w:hAnsi="Times New Roman"/>
          <w:sz w:val="18"/>
          <w:szCs w:val="18"/>
          <w:color w:val="auto"/>
        </w:rPr>
        <w:t>We don’t just meet our goals, we take pride in going above and beyond whatever the goal may be. And we are always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raising the bar.</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wholeheartedly that our employees love working here and like coming to work because they feel that they’re working towards a larger mission. Our employee culture is showcased by the following notable distinctions:</w:t>
      </w:r>
    </w:p>
    <w:p>
      <w:pPr>
        <w:spacing w:after="0" w:line="104" w:lineRule="exact"/>
        <w:rPr>
          <w:sz w:val="20"/>
          <w:szCs w:val="20"/>
          <w:color w:val="auto"/>
        </w:rPr>
      </w:pPr>
    </w:p>
    <w:p>
      <w:pPr>
        <w:ind w:left="660" w:hanging="328"/>
        <w:spacing w:after="0" w:line="286"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Workplace Awards. </w:t>
      </w:r>
      <w:r>
        <w:rPr>
          <w:rFonts w:ascii="Times New Roman" w:cs="Times New Roman" w:eastAsia="Times New Roman" w:hAnsi="Times New Roman"/>
          <w:sz w:val="18"/>
          <w:szCs w:val="18"/>
          <w:color w:val="auto"/>
        </w:rPr>
        <w:t>Our strong culture is celebrated by our distinctions in the 2017 Inc. Magazine’s Top Companies to Work for,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Magazine’s Best Workplaces, 2017 Fortune Best Small &amp; Medium Workplaces, and 2019 Fortune 100 Best Medium Workplaces.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and Recognized Quality Brand. </w:t>
      </w:r>
      <w:r>
        <w:rPr>
          <w:rFonts w:ascii="Times New Roman" w:cs="Times New Roman" w:eastAsia="Times New Roman" w:hAnsi="Times New Roman"/>
          <w:sz w:val="18"/>
          <w:szCs w:val="18"/>
          <w:color w:val="auto"/>
        </w:rPr>
        <w:t>We were awarded the 2018 G2Crowd’s Top 100 best software companies, 2018 Inc. 5000’s Fastest-Growing Private Companies, and 2015, 2016, 2017, and 2018 Deloitte’s Technology Fast 500. Our renowned brand has helped us garner exceptional talent to help us further our mission of revolutionizing the sales and marketing industry.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we had 1,490 employees, consisting of 641 in engineering, product development, research, and customer operations, 560 in sales, 135 in marketing and operations, and 154 in general and administrative.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08" w:lineRule="exact"/>
        <w:rPr>
          <w:sz w:val="20"/>
          <w:szCs w:val="20"/>
          <w:color w:val="auto"/>
        </w:rPr>
      </w:pPr>
    </w:p>
    <w:p>
      <w:pPr>
        <w:ind w:left="6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providers, such as D&amp;B Hoovers, which focus on specific types of data sets (e.g., companies, attributes, or intent) but lack the combination of quality, depth, and coverage;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data providers, such as TechTarget, which focus on specific types of data sets but lack scale, quality, and coverage of data;</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17" w:right="339" w:bottom="1440" w:gutter="0" w:footer="0" w:header="0"/>
        </w:sectPr>
      </w:pPr>
    </w:p>
    <w:bookmarkStart w:id="154" w:name="page155"/>
    <w:bookmarkEnd w:id="154"/>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startups or less mature competitors who lack the investment, expertise, and resources to manage quality at scale and keep up with the pace of technological advancement.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71"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and ROI for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&amp; marketing automation systems;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17" w:right="339" w:bottom="1440" w:gutter="0" w:footer="0" w:header="0"/>
        </w:sectPr>
      </w:pPr>
    </w:p>
    <w:bookmarkStart w:id="155" w:name="page156"/>
    <w:bookmarkEnd w:id="15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a number of patents, registered trademarks (including ZOOMINFO and DISCOVERORG, among others) and copyrights in the United States. We also have a portfolio of registered domain names (including zoominfo.com)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26"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intend to pursue additional intellectual property protection to the extent we believe it would be beneficial and cost effective. </w:t>
      </w:r>
      <w:r>
        <w:rPr>
          <w:rFonts w:ascii="Times New Roman" w:cs="Times New Roman" w:eastAsia="Times New Roman" w:hAnsi="Times New Roman"/>
          <w:sz w:val="18"/>
          <w:szCs w:val="18"/>
          <w:b w:val="1"/>
          <w:bCs w:val="1"/>
          <w:color w:val="auto"/>
        </w:rPr>
        <w:t>Facilities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Vancouver, Washington and consists of 57,576 square feet under a lease agreement that expires on August 31,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1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directors and executive officers of ZoomInfo Technologies Inc.: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6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Schuck</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Borders>
              <w:top w:val="single" w:sz="8" w:color="CCEEFF"/>
            </w:tcBorders>
            <w:shd w:val="clear" w:color="auto" w:fill="CCEEFF"/>
          </w:tcPr>
          <w:p>
            <w:pPr>
              <w:spacing w:after="0"/>
              <w:rPr>
                <w:sz w:val="19"/>
                <w:szCs w:val="19"/>
                <w:color w:val="auto"/>
              </w:rPr>
            </w:pPr>
          </w:p>
        </w:tc>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Cameron Hyzer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 Hays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Keren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Todd Crockett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Mitesh Dhruv</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Enright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Ashley Evans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Mader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McCarter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Mironov</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Randall Winn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Schuck </w:t>
      </w:r>
      <w:r>
        <w:rPr>
          <w:rFonts w:ascii="Times New Roman" w:cs="Times New Roman" w:eastAsia="Times New Roman" w:hAnsi="Times New Roman"/>
          <w:sz w:val="18"/>
          <w:szCs w:val="18"/>
          <w:color w:val="auto"/>
        </w:rPr>
        <w:t>has served as Chief Executive Officer and a director of ZoomInfo Holdings LLC (formerly known as DiscoverOrg Holdings,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since 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xml:space="preserve"> graduate of the University of Nevada, Las Vegas with a B.S. in Business Administration and a B.S. in Hospitality Management and holds a J.D.,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from The Ohio State University Moritz College of Law.</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Cameron Hyzer </w:t>
      </w:r>
      <w:r>
        <w:rPr>
          <w:rFonts w:ascii="Times New Roman" w:cs="Times New Roman" w:eastAsia="Times New Roman" w:hAnsi="Times New Roman"/>
          <w:sz w:val="18"/>
          <w:szCs w:val="18"/>
          <w:color w:val="auto"/>
        </w:rPr>
        <w:t>has served as Chief Financial Officer of ZoomInfo Holdings LLC since 2018 and as Chief Financial Officer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charterholder.</w:t>
      </w:r>
    </w:p>
    <w:p>
      <w:pPr>
        <w:spacing w:after="0" w:line="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 Hays </w:t>
      </w:r>
      <w:r>
        <w:rPr>
          <w:rFonts w:ascii="Times New Roman" w:cs="Times New Roman" w:eastAsia="Times New Roman" w:hAnsi="Times New Roman"/>
          <w:sz w:val="18"/>
          <w:szCs w:val="18"/>
          <w:color w:val="auto"/>
        </w:rPr>
        <w:t>has served as Chief Revenue Officer of ZoomInfo Holdings LLC since February 2019 and as Chief Marketing Officer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2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Nir Keren </w:t>
      </w:r>
      <w:r>
        <w:rPr>
          <w:rFonts w:ascii="Times New Roman" w:cs="Times New Roman" w:eastAsia="Times New Roman" w:hAnsi="Times New Roman"/>
          <w:sz w:val="18"/>
          <w:szCs w:val="18"/>
          <w:color w:val="auto"/>
        </w:rPr>
        <w:t>has served as Chief Technology Officer of ZoomInfo Technologies Inc. since 2020, ZoomInfo Holdings LLC since 2019, and at Pre-Acquisition ZI since 2015. Prior to joining Pre-Acquisition ZI, Mr. Keren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61" w:lineRule="auto"/>
        <w:rPr>
          <w:sz w:val="20"/>
          <w:szCs w:val="20"/>
          <w:color w:val="auto"/>
        </w:rPr>
      </w:pPr>
      <w:r>
        <w:rPr>
          <w:rFonts w:ascii="Times New Roman" w:cs="Times New Roman" w:eastAsia="Times New Roman" w:hAnsi="Times New Roman"/>
          <w:sz w:val="18"/>
          <w:szCs w:val="18"/>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Crockett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2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Mitesh Dhruv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charterholder, and holds an undergraduate degree in accounting from the University of Mumbai, India.</w:t>
      </w:r>
    </w:p>
    <w:p>
      <w:pPr>
        <w:spacing w:after="0" w:line="14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Enright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Ashley Evans </w:t>
      </w:r>
      <w:r>
        <w:rPr>
          <w:rFonts w:ascii="Times New Roman" w:cs="Times New Roman" w:eastAsia="Times New Roman" w:hAnsi="Times New Roman"/>
          <w:sz w:val="18"/>
          <w:szCs w:val="18"/>
          <w:color w:val="auto"/>
        </w:rPr>
        <w:t>has served as a director of ZoomInfo Holdings LLC since 2018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Mader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McCarter </w:t>
      </w:r>
      <w:r>
        <w:rPr>
          <w:rFonts w:ascii="Times New Roman" w:cs="Times New Roman" w:eastAsia="Times New Roman" w:hAnsi="Times New Roman"/>
          <w:sz w:val="18"/>
          <w:szCs w:val="18"/>
          <w:color w:val="auto"/>
        </w:rPr>
        <w:t>has served as a director of ZoomInfo Holdings LLC since 2018 and as a member of the board of directors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2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Mironov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Mironov currently serves as a Director at 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17" w:right="339" w:bottom="1440" w:gutter="0" w:footer="0" w:header="0"/>
        </w:sectPr>
      </w:pPr>
    </w:p>
    <w:bookmarkStart w:id="158" w:name="page159"/>
    <w:bookmarkEnd w:id="158"/>
    <w:p>
      <w:pPr>
        <w:jc w:val="both"/>
        <w:spacing w:after="0" w:line="266" w:lineRule="auto"/>
        <w:rPr>
          <w:sz w:val="20"/>
          <w:szCs w:val="20"/>
          <w:color w:val="auto"/>
        </w:rPr>
      </w:pPr>
      <w:r>
        <w:rPr>
          <w:rFonts w:ascii="Times New Roman" w:cs="Times New Roman" w:eastAsia="Times New Roman" w:hAnsi="Times New Roman"/>
          <w:sz w:val="18"/>
          <w:szCs w:val="18"/>
          <w:color w:val="auto"/>
        </w:rPr>
        <w:t>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Randall Winn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 —Stockholders Agreement.” In connection with the IPO, we amended and restated our certificate of incorporation to provide for a classified board of directors consisting of three classes of directors, each serving staggered three-year terms, as follows:</w:t>
      </w:r>
    </w:p>
    <w:p>
      <w:pPr>
        <w:spacing w:after="0" w:line="129" w:lineRule="exact"/>
        <w:rPr>
          <w:sz w:val="20"/>
          <w:szCs w:val="20"/>
          <w:color w:val="auto"/>
        </w:rPr>
      </w:pPr>
    </w:p>
    <w:p>
      <w:pPr>
        <w:ind w:left="66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Messrs. Dhruv, Enright, and Schuck with their terms expiring at the first annual meeting of stockholders following the date of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Messrs. Mader, McCarter, and Mironov with their terms expiring at the second annual meeting of stockholders following the date of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Mr. Crockett, Ms. Evans, and Mr. Winn with their terms expiring at the third annual meeting of stockholders following the date of this prospectus.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 Classified Board of Directors.”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entered into a stockholders agreement with certain affiliates of TA Associates, Carlyle, and our Founders in connection with the IPO. This agreement granted certain affiliates of TA Associates, Carlyle, and our Founders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17" w:right="339" w:bottom="1440" w:gutter="0" w:footer="0" w:header="0"/>
        </w:sectPr>
      </w:pPr>
    </w:p>
    <w:bookmarkStart w:id="159" w:name="page160"/>
    <w:bookmarkEnd w:id="159"/>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decreased upon the resignation of the applicable designee. See “Certain Relationships and Related Person Transactions—Stockholders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29"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Schuck – our board of directors considered Mr. Schuck’s perspective and the experience he brings as our co-founder and CEO.</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Enright – our board of directors considered Mr. Enright’s extensive experience with data privacy, including as Chief Privacy Officer for Google LLC, and his significant core business skills.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Evans – our board of directors considered Ms. Evans’ significant core business skills, including financial and strategic planning, and her extensive management experience, including her involvement with Carlyle.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Exception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31, 2020, the parties to our stockholders agreement, described in “Certain Relationships and Related Person Transactions—Stockholders Agreement,” beneficially owned approximately 89.0% of the combined voting power of our Class A, Class B, and Class C common stock. As a result, we are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17" w:right="339" w:bottom="1440" w:gutter="0" w:footer="0" w:header="0"/>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18"/>
          <w:szCs w:val="18"/>
          <w:color w:val="auto"/>
        </w:rPr>
        <w:t>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has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consists of Messrs. Dhruv, Mader, and Winn, with Mr. Dhruv serving as chair. Our audit committee is responsible for, among other things:</w:t>
      </w:r>
    </w:p>
    <w:p>
      <w:pPr>
        <w:spacing w:after="0" w:line="108"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our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processes;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performance of our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Messrs. Crockett, McCarter and Winn, with Mr. Winn serving as chair. Our compensation committee is responsible for, among other things: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disclosure when such disclosure is required by SEC rules;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to be included in our annual proxy statement when such report is required by SEC rules;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Crockett and Ms. Evans, with Ms. Evans serving as chair. The nominating and corporate governance committee is responsible for, among other things:</w:t>
      </w:r>
    </w:p>
    <w:p>
      <w:pPr>
        <w:spacing w:after="0" w:line="108"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1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1"/>
                <w:szCs w:val="11"/>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8"/>
                <w:szCs w:val="18"/>
                <w:b w:val="1"/>
                <w:bCs w:val="1"/>
                <w:color w:val="auto"/>
                <w:vertAlign w:val="superscript"/>
              </w:rPr>
              <w:t>(1)</w:t>
            </w:r>
          </w:p>
        </w:tc>
        <w:tc>
          <w:tcPr>
            <w:tcW w:w="80" w:type="dxa"/>
            <w:vAlign w:val="bottom"/>
            <w:vMerge w:val="restart"/>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8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Plan Compensation</w:t>
            </w:r>
          </w:p>
        </w:tc>
        <w:tc>
          <w:tcPr>
            <w:tcW w:w="1520" w:type="dxa"/>
            <w:vAlign w:val="bottom"/>
            <w:gridSpan w:val="2"/>
            <w:vMerge w:val="continue"/>
          </w:tcPr>
          <w:p>
            <w:pPr>
              <w:spacing w:after="0"/>
              <w:rPr>
                <w:sz w:val="11"/>
                <w:szCs w:val="11"/>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 xml:space="preserve"> (3)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Henry Schuck</w:t>
            </w: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371,539</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3,780,583</w:t>
            </w: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65,880</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4,568,002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5,775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530,775</w:t>
            </w:r>
          </w:p>
        </w:tc>
        <w:tc>
          <w:tcPr>
            <w:tcW w:w="0" w:type="dxa"/>
            <w:vAlign w:val="bottom"/>
          </w:tcPr>
          <w:p>
            <w:pPr>
              <w:spacing w:after="0"/>
              <w:rPr>
                <w:sz w:val="1"/>
                <w:szCs w:val="1"/>
                <w:color w:val="auto"/>
              </w:rPr>
            </w:pPr>
          </w:p>
        </w:tc>
      </w:tr>
      <w:tr>
        <w:trPr>
          <w:trHeight w:val="135"/>
        </w:trPr>
        <w:tc>
          <w:tcPr>
            <w:tcW w:w="29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Cameron Hyzer</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402,885</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43,750</w:t>
            </w:r>
          </w:p>
        </w:tc>
        <w:tc>
          <w:tcPr>
            <w:tcW w:w="80" w:type="dxa"/>
            <w:vAlign w:val="bottom"/>
          </w:tcPr>
          <w:p>
            <w:pPr>
              <w:spacing w:after="0"/>
              <w:rPr>
                <w:sz w:val="11"/>
                <w:szCs w:val="11"/>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12,600</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1,059,235</w:t>
            </w:r>
          </w:p>
        </w:tc>
        <w:tc>
          <w:tcPr>
            <w:tcW w:w="0" w:type="dxa"/>
            <w:vAlign w:val="bottom"/>
          </w:tcPr>
          <w:p>
            <w:pPr>
              <w:spacing w:after="0"/>
              <w:rPr>
                <w:sz w:val="1"/>
                <w:szCs w:val="1"/>
                <w:color w:val="auto"/>
              </w:rPr>
            </w:pPr>
          </w:p>
        </w:tc>
      </w:tr>
      <w:tr>
        <w:trPr>
          <w:trHeight w:val="180"/>
        </w:trPr>
        <w:tc>
          <w:tcPr>
            <w:tcW w:w="294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3,436,894</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43,000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3,529,894</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Chris Hays</w:t>
            </w: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362,901</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112,500</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3,958,003</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1,973</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5,435,377</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197,705</w:t>
            </w:r>
          </w:p>
        </w:tc>
        <w:tc>
          <w:tcPr>
            <w:tcW w:w="8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1,307,937</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 w:lineRule="exact"/>
        <w:rPr>
          <w:sz w:val="20"/>
          <w:szCs w:val="20"/>
          <w:color w:val="auto"/>
        </w:rPr>
      </w:pPr>
    </w:p>
    <w:p>
      <w:pPr>
        <w:jc w:val="both"/>
        <w:ind w:left="340" w:hanging="332"/>
        <w:spacing w:after="0" w:line="241" w:lineRule="auto"/>
        <w:tabs>
          <w:tab w:leader="none" w:pos="33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 2019. See “—Narrative Disclosure to Summary Compensation Table—Annual Bonus/Non-Equity Incentive Plan Compensation—Annual Bonus—Mr. Schuck.”</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spacing w:after="0" w:line="3"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13" w:right="339" w:bottom="1440" w:gutter="0" w:footer="0" w:header="0"/>
        </w:sectPr>
      </w:pPr>
    </w:p>
    <w:bookmarkStart w:id="163" w:name="page164"/>
    <w:bookmarkEnd w:id="163"/>
    <w:p>
      <w:pPr>
        <w:jc w:val="both"/>
        <w:ind w:left="340" w:hanging="332"/>
        <w:spacing w:after="0" w:line="251"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 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in each case, that governs the terms of employment of each such named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Schuck’s Employment Agreement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“—Termination and Change in Control Provisions” for a description of the severance benefits to which Mr. Schuck is entitled in the event of a qualifying termination of his employment.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Hyzer’s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13" w:right="339" w:bottom="1440" w:gutter="0" w:footer="0" w:header="0"/>
        </w:sectPr>
      </w:pPr>
    </w:p>
    <w:bookmarkStart w:id="164" w:name="page165"/>
    <w:bookmarkEnd w:id="16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 Termination and Change in Control Provisions” for a description of the severance benefits to which Mr. Hyzer is entitled in the event of a qualifying termination of his employment.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Hays’ Employment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entered into a new employment agreement with Mr. Hays on August 10, 2020, superseding his prior employment agreement, pursuant to which he continues to serve as the Chief Revenue Officer of the Company.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“—Termination and Change in Control Provisions” for a description of the severance benefits to which Mr. Hays is entitled in the event of a qualifying termination of his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1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Bonus/Non-Equity Incentive Plan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Mr. Schuck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Messrs. Hyzer and Hays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make incentive cash bonus opportunities available to Messrs. Hyzer and Hays to motivate their achievement of performance goals and tie a portion of their cash compensation to performance.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in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Bonus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pay special cash bonuses to reward superior performance. We paid Mr. Hays a special discretionary cash bonus of $112,500 to reward him for his performance in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Unit Agreements (Class P Units of ZoomInfo OpCo)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8"/>
          <w:szCs w:val="18"/>
          <w:color w:val="auto"/>
        </w:rPr>
        <w:t>Messrs. Schuck and Hyzer,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Class P Units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 (Common Units of HSKB Funds, LLC)</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3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2019, the vesting and forfeiture terms of all grants of HSKB Units (including the grant made to Mr. Hays) were modified to add an additional vesting condition, wherein 50% of a grant of HSKB Units will no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17" w:right="339" w:bottom="1440" w:gutter="0" w:footer="0" w:header="0"/>
        </w:sectPr>
      </w:pPr>
    </w:p>
    <w:bookmarkStart w:id="167" w:name="page168"/>
    <w:bookmarkEnd w:id="167"/>
    <w:p>
      <w:pPr>
        <w:jc w:val="both"/>
        <w:spacing w:after="0" w:line="256" w:lineRule="auto"/>
        <w:rPr>
          <w:sz w:val="20"/>
          <w:szCs w:val="20"/>
          <w:color w:val="auto"/>
        </w:rPr>
      </w:pPr>
      <w:r>
        <w:rPr>
          <w:rFonts w:ascii="Times New Roman" w:cs="Times New Roman" w:eastAsia="Times New Roman" w:hAnsi="Times New Roman"/>
          <w:sz w:val="18"/>
          <w:szCs w:val="18"/>
          <w:color w:val="auto"/>
        </w:rPr>
        <w:t>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HSKB Units have the ability to indirectly convert their HSKB Units into shares of our Class A common stock pursuant to the terms of the amended and restated limited liability company agreement of ZoomInfo OpCo or ZoomInfo HoldCo, as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Distribution on HSKB Units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HSKB Phantom Units (Common Units of ZoomInfo OpCo)</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the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Perquisites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17" w:right="339" w:bottom="1440" w:gutter="0" w:footer="0" w:header="0"/>
        </w:sectPr>
      </w:pPr>
    </w:p>
    <w:bookmarkStart w:id="168" w:name="page169"/>
    <w:bookmarkEnd w:id="168"/>
    <w:p>
      <w:pPr>
        <w:ind w:right="460"/>
        <w:spacing w:after="0" w:line="438" w:lineRule="auto"/>
        <w:rPr>
          <w:sz w:val="20"/>
          <w:szCs w:val="20"/>
          <w:color w:val="auto"/>
        </w:rPr>
      </w:pPr>
      <w:r>
        <w:rPr>
          <w:rFonts w:ascii="Times New Roman" w:cs="Times New Roman" w:eastAsia="Times New Roman" w:hAnsi="Times New Roman"/>
          <w:sz w:val="18"/>
          <w:szCs w:val="18"/>
          <w:color w:val="auto"/>
        </w:rPr>
        <w:t xml:space="preserve">housing and commuting allowance as described under “—Narrative Disclosure to Summary Compensation Table—Employment Agreements” above. </w:t>
      </w:r>
      <w:r>
        <w:rPr>
          <w:rFonts w:ascii="Times New Roman" w:cs="Times New Roman" w:eastAsia="Times New Roman" w:hAnsi="Times New Roman"/>
          <w:sz w:val="18"/>
          <w:szCs w:val="18"/>
          <w:i w:val="1"/>
          <w:iCs w:val="1"/>
          <w:color w:val="auto"/>
        </w:rPr>
        <w:t>Retirement Plan</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2019</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made to our named executive officers as of December 31,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4"/>
          </w:tcPr>
          <w:p>
            <w:pPr>
              <w:ind w:left="13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Equity Incentive Plan Awards:</w:t>
            </w:r>
          </w:p>
        </w:tc>
        <w:tc>
          <w:tcPr>
            <w:tcW w:w="1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Market Value of Shares or</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0"/>
                <w:szCs w:val="10"/>
                <w:color w:val="auto"/>
              </w:rPr>
            </w:pPr>
          </w:p>
        </w:tc>
        <w:tc>
          <w:tcPr>
            <w:tcW w:w="170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3"/>
                <w:szCs w:val="13"/>
                <w:b w:val="1"/>
                <w:bCs w:val="1"/>
                <w:color w:val="auto"/>
                <w:w w:val="95"/>
              </w:rPr>
              <w:t>Market or Payout Value</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 Shares or Units of</w:t>
            </w:r>
          </w:p>
        </w:tc>
        <w:tc>
          <w:tcPr>
            <w:tcW w:w="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 Units or</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Unearned Shares, Units or</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 Stock That Have Not</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Rights That Have Not</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 That Have Not</w:t>
            </w:r>
          </w:p>
        </w:tc>
        <w:tc>
          <w:tcPr>
            <w:tcW w:w="0" w:type="dxa"/>
            <w:vAlign w:val="bottom"/>
          </w:tcPr>
          <w:p>
            <w:pPr>
              <w:spacing w:after="0"/>
              <w:rPr>
                <w:sz w:val="1"/>
                <w:szCs w:val="1"/>
                <w:color w:val="auto"/>
              </w:rPr>
            </w:pPr>
          </w:p>
        </w:tc>
      </w:tr>
      <w:tr>
        <w:trPr>
          <w:trHeight w:val="121"/>
        </w:trPr>
        <w:tc>
          <w:tcPr>
            <w:tcW w:w="19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1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 That Have Not Vested</w:t>
            </w:r>
          </w:p>
        </w:tc>
        <w:tc>
          <w:tcPr>
            <w:tcW w:w="80" w:type="dxa"/>
            <w:vAlign w:val="bottom"/>
          </w:tcPr>
          <w:p>
            <w:pPr>
              <w:spacing w:after="0"/>
              <w:rPr>
                <w:sz w:val="10"/>
                <w:szCs w:val="10"/>
                <w:color w:val="auto"/>
              </w:rPr>
            </w:pPr>
          </w:p>
        </w:tc>
        <w:tc>
          <w:tcPr>
            <w:tcW w:w="17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76"/>
        </w:trPr>
        <w:tc>
          <w:tcPr>
            <w:tcW w:w="194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10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32"/>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Henry Schuck</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01/16/2019</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1,928,869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20,214,548</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Cameron Hyzer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12/26/2018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18,376,862</w:t>
            </w:r>
          </w:p>
        </w:tc>
        <w:tc>
          <w:tcPr>
            <w:tcW w:w="100" w:type="dxa"/>
            <w:vAlign w:val="bottom"/>
          </w:tcPr>
          <w:p>
            <w:pPr>
              <w:spacing w:after="0"/>
              <w:rPr>
                <w:sz w:val="16"/>
                <w:szCs w:val="16"/>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 Hays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06/23/2016</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862,027</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08/24/2017</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215,508</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09/11/2017</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431,012</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10/31/2018</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1,400,385</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01/07/2019</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1,522,485</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07/26/2018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3,675,372</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06/24/2019</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7,084,210</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10/17/2019</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565,600</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12/29/2019</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323,100</w:t>
            </w:r>
          </w:p>
        </w:tc>
        <w:tc>
          <w:tcPr>
            <w:tcW w:w="0" w:type="dxa"/>
            <w:vAlign w:val="bottom"/>
          </w:tcPr>
          <w:p>
            <w:pPr>
              <w:spacing w:after="0"/>
              <w:rPr>
                <w:sz w:val="1"/>
                <w:szCs w:val="1"/>
                <w:color w:val="auto"/>
              </w:rPr>
            </w:pPr>
          </w:p>
        </w:tc>
      </w:tr>
      <w:tr>
        <w:trPr>
          <w:trHeight w:val="155"/>
        </w:trPr>
        <w:tc>
          <w:tcPr>
            <w:tcW w:w="1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P Units that vest as follows:</w:t>
      </w:r>
    </w:p>
    <w:p>
      <w:pPr>
        <w:spacing w:after="0" w:line="1" w:lineRule="exact"/>
        <w:rPr>
          <w:rFonts w:ascii="Times New Roman" w:cs="Times New Roman" w:eastAsia="Times New Roman" w:hAnsi="Times New Roman"/>
          <w:sz w:val="14"/>
          <w:szCs w:val="14"/>
          <w:color w:val="auto"/>
        </w:rPr>
      </w:pP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Schuck, 964,435 vested on March 12, 2020 and 964,435 vest in equal monthly installments during the 24 months following March 12, 2020, in each case subject to his continued service on each vesting date.</w:t>
      </w: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Hays, of the 350,703 granted on July 26, 2018, 175,352 vested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appreciation, if any, in the value of our business from and after the date of grant through the date of our most recent valuation prior to December 31, 2019.</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most recent valuation prior to December 31, 2019.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1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Termination and Change in Control Provisions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Messrs. Schuck and Hyzer are entitled to potential payments and benefits in connection with a termination of employment and/or a change in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termination and change in control provisions under each executive’s employment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Schuck’s Employment Agreement</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Schuck, see “—Narrative Disclosure to Summary Compensation Table—Employment Agreements”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Hyzer’s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Hyzer, see “—Narrative Disclosure to Summary Compensation Table—Employment Agreements”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13"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i w:val="1"/>
          <w:iCs w:val="1"/>
          <w:color w:val="auto"/>
        </w:rPr>
        <w:t>Mr. Hays’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Hays, see “—Narrative Disclosure to Summary Compensation Table—Employment Agreements”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Adopted in Connection with the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IPO, our board of directors adopted, and our stockholders approved, the Company’s 2020 Omnibus Incentive Plan (the “2020 Plan”).</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2020 Plan is to provide a means through which to attract and retain key personnel and to provide a means whereby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2020 Plan is administered by the compensation committee of our board of directors or such other committee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15" w:right="339" w:bottom="1440" w:gutter="0" w:footer="0" w:header="0"/>
        </w:sectPr>
      </w:pPr>
    </w:p>
    <w:bookmarkStart w:id="171" w:name="page172"/>
    <w:bookmarkEnd w:id="171"/>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Shares Subject to 2020 Plan</w:t>
      </w:r>
      <w:r>
        <w:rPr>
          <w:rFonts w:ascii="Times New Roman" w:cs="Times New Roman" w:eastAsia="Times New Roman" w:hAnsi="Times New Roman"/>
          <w:sz w:val="18"/>
          <w:szCs w:val="18"/>
          <w:color w:val="auto"/>
        </w:rPr>
        <w:t>. The 2020 Plan provides that the total number of shares of common stock that may be issued under the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compensation committee may grant non-qualified stock options and incentive stock options, under the 2020 Plan, with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end of such period. The purchase price for the shares as to which a stock option is exercised may be paid to us, to the extent permitted by law,</w:t>
      </w:r>
    </w:p>
    <w:p>
      <w:pPr>
        <w:spacing w:after="0" w:line="9" w:lineRule="exact"/>
        <w:rPr>
          <w:sz w:val="20"/>
          <w:szCs w:val="20"/>
          <w:color w:val="auto"/>
        </w:rPr>
      </w:pPr>
    </w:p>
    <w:p>
      <w:pPr>
        <w:ind w:firstLine="8"/>
        <w:spacing w:after="0" w:line="260" w:lineRule="auto"/>
        <w:tabs>
          <w:tab w:leader="none" w:pos="2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its equivalent at the time the stock option is exercised; (ii) in shares having a fair market value equal to the aggregate exercise price for the shares being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17" w:right="3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18"/>
          <w:szCs w:val="18"/>
          <w:color w:val="auto"/>
        </w:rPr>
        <w:t>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Restricted Shares and Restricted Stock Units</w:t>
      </w:r>
      <w:r>
        <w:rPr>
          <w:rFonts w:ascii="Times New Roman" w:cs="Times New Roman" w:eastAsia="Times New Roman" w:hAnsi="Times New Roman"/>
          <w:sz w:val="18"/>
          <w:szCs w:val="18"/>
          <w:color w:val="auto"/>
        </w:rPr>
        <w:t>. The compensation committee may grant restricted shares of our common stock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ZoomInfo OpCo Unit Awards. </w:t>
      </w:r>
      <w:r>
        <w:rPr>
          <w:rFonts w:ascii="Times New Roman" w:cs="Times New Roman" w:eastAsia="Times New Roman" w:hAnsi="Times New Roman"/>
          <w:sz w:val="18"/>
          <w:szCs w:val="18"/>
          <w:color w:val="auto"/>
        </w:rPr>
        <w:t>The compensation committee may issue awards in the form of OpCo Units or other classes of partnership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ZoomInfo 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 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17" w:right="339" w:bottom="1440" w:gutter="0" w:footer="0" w:header="0"/>
        </w:sectPr>
      </w:pPr>
    </w:p>
    <w:bookmarkStart w:id="173" w:name="page174"/>
    <w:bookmarkEnd w:id="173"/>
    <w:p>
      <w:pPr>
        <w:jc w:val="both"/>
        <w:spacing w:after="0" w:line="258" w:lineRule="auto"/>
        <w:rPr>
          <w:sz w:val="20"/>
          <w:szCs w:val="20"/>
          <w:color w:val="auto"/>
        </w:rPr>
      </w:pPr>
      <w:r>
        <w:rPr>
          <w:rFonts w:ascii="Times New Roman" w:cs="Times New Roman" w:eastAsia="Times New Roman" w:hAnsi="Times New Roman"/>
          <w:sz w:val="18"/>
          <w:szCs w:val="18"/>
          <w:color w:val="auto"/>
        </w:rPr>
        <w:t>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Equity-Based Awards and Cash-Based Awards. </w:t>
      </w:r>
      <w:r>
        <w:rPr>
          <w:rFonts w:ascii="Times New Roman" w:cs="Times New Roman" w:eastAsia="Times New Roman" w:hAnsi="Times New Roman"/>
          <w:sz w:val="18"/>
          <w:szCs w:val="18"/>
          <w:color w:val="auto"/>
        </w:rPr>
        <w:t>The compensation committee may grant other equity-based or cash-based awards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with terms and conditions determined by the compensation committee that are not inconsistent with the 2020 Plan.</w:t>
      </w:r>
    </w:p>
    <w:p>
      <w:pPr>
        <w:spacing w:after="0" w:line="10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Effect of Certain Events on 2020 Plan and Awards</w:t>
      </w:r>
      <w:r>
        <w:rPr>
          <w:rFonts w:ascii="Times New Roman" w:cs="Times New Roman" w:eastAsia="Times New Roman" w:hAnsi="Times New Roman"/>
          <w:sz w:val="18"/>
          <w:szCs w:val="18"/>
          <w:color w:val="auto"/>
        </w:rPr>
        <w:t>. Other than with respect to cash-based awards, in the event of (i) any dividend (other than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8"/>
        <w:spacing w:after="0" w:line="253" w:lineRule="auto"/>
        <w:tabs>
          <w:tab w:leader="none" w:pos="2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Each award under the 2020 Plan will not be transferable or assignable by a participant other than by will or by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2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amend, alter, suspend, discontinue, or terminate the 2020 Plan or any portion thereof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but no such amendment, alteration, suspension, discontinuance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17" w:right="339" w:bottom="1440" w:gutter="0" w:footer="0" w:header="0"/>
        </w:sectPr>
      </w:pPr>
    </w:p>
    <w:bookmarkStart w:id="174" w:name="page175"/>
    <w:bookmarkEnd w:id="174"/>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w:t>
      </w:r>
    </w:p>
    <w:p>
      <w:pPr>
        <w:ind w:firstLine="8"/>
        <w:spacing w:after="0" w:line="260" w:lineRule="auto"/>
        <w:tabs>
          <w:tab w:leader="none" w:pos="33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may not take any other action which is considered a “repricing” for purposes of the stockholder approval rules of any securities exchange or inter-dealer quotation system on which our securities are listed or quoted.</w:t>
      </w:r>
    </w:p>
    <w:p>
      <w:pPr>
        <w:spacing w:after="0" w:line="1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The compensation committee in its sole discretion may provide that an award under the 2020 Plan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 the extent necessary to comply with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forfeiture or other similar policy adopted by our board of directors or the compensation committee and as in effect from time to time and</w:t>
      </w:r>
    </w:p>
    <w:p>
      <w:pPr>
        <w:jc w:val="both"/>
        <w:ind w:firstLine="8"/>
        <w:spacing w:after="0" w:line="250" w:lineRule="auto"/>
        <w:tabs>
          <w:tab w:leader="none" w:pos="27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3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1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ESPP is intended to qualify as an “employee stock purchase plan” under Section 423 of the Code. We may also authorize offerings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Shares Reserved for the ESPP</w:t>
      </w:r>
      <w:r>
        <w:rPr>
          <w:rFonts w:ascii="Times New Roman" w:cs="Times New Roman" w:eastAsia="Times New Roman" w:hAnsi="Times New Roman"/>
          <w:sz w:val="18"/>
          <w:szCs w:val="18"/>
          <w:color w:val="auto"/>
        </w:rPr>
        <w:t>. The aggregate number of shares of our common stock that may be issued under the ESPP may not exceed 7,500,000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is administered by the compensation committee of our board of directors unless the board of directors elects to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The compensation committee may appoint one or more agents to assist in the administration of the ESPP and may delegate certain responsibilities or powers subject to ESPP terms and applicable law. Subject to ESPP terms and applicable law, the compensation committee has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3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ESPP became effective on the date of the IPO. However, no offering periods will commence under the ESPP until such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Eligible Participants</w:t>
      </w:r>
      <w:r>
        <w:rPr>
          <w:rFonts w:ascii="Times New Roman" w:cs="Times New Roman" w:eastAsia="Times New Roman" w:hAnsi="Times New Roman"/>
          <w:sz w:val="18"/>
          <w:szCs w:val="18"/>
          <w:color w:val="auto"/>
        </w:rPr>
        <w:t>. Subject to the compensation committee’s ability to exclude certain groups of employees on a uniform and nondiscriminatory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13" w:right="339" w:bottom="1440" w:gutter="0" w:footer="0" w:header="0"/>
        </w:sectPr>
      </w:pPr>
    </w:p>
    <w:bookmarkStart w:id="176" w:name="page177"/>
    <w:bookmarkEnd w:id="17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given time, a subsidiary that is a designated company under a Section 423 Code-compliant offering will not be a designated company under an offering that does not comply with Section 423 of the Code.</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 A participant may acquire common stock under the ESPP by authorizing the use of contributions to purchase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 and Purchase Price</w:t>
      </w:r>
      <w:r>
        <w:rPr>
          <w:rFonts w:ascii="Times New Roman" w:cs="Times New Roman" w:eastAsia="Times New Roman" w:hAnsi="Times New Roman"/>
          <w:sz w:val="18"/>
          <w:szCs w:val="18"/>
          <w:color w:val="auto"/>
        </w:rPr>
        <w:t>. The ESPP generally provides for two six-month offering periods, with one purchase period in each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The compensation committee has the authority to change the duration of a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change is announced a reasonable period of time prior to its effective date and the purchase period is not greater than 27 months.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participant may purchase shares of common stock with a fair market value (as of the date of purchase right grant) in excess of $25,000 per calendar year in the case of offerings intended to comply with Section 423 of the Code; and</w:t>
      </w:r>
    </w:p>
    <w:p>
      <w:pPr>
        <w:spacing w:after="0" w:line="3" w:lineRule="exact"/>
        <w:rPr>
          <w:sz w:val="20"/>
          <w:szCs w:val="20"/>
          <w:color w:val="auto"/>
        </w:rPr>
      </w:pPr>
    </w:p>
    <w:p>
      <w:pPr>
        <w:ind w:right="20" w:firstLine="8"/>
        <w:spacing w:after="0" w:line="260" w:lineRule="auto"/>
        <w:tabs>
          <w:tab w:leader="none" w:pos="2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A participant will have no rights as a stockholder with respect to our shares that the participant has a purchase right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offering until those shares are issued to the participant.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17" w:right="339" w:bottom="1440" w:gutter="0" w:footer="0" w:header="0"/>
        </w:sectPr>
      </w:pPr>
    </w:p>
    <w:bookmarkStart w:id="177" w:name="page178"/>
    <w:bookmarkEnd w:id="177"/>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Rights Not Transferable</w:t>
      </w:r>
      <w:r>
        <w:rPr>
          <w:rFonts w:ascii="Times New Roman" w:cs="Times New Roman" w:eastAsia="Times New Roman" w:hAnsi="Times New Roman"/>
          <w:sz w:val="18"/>
          <w:szCs w:val="18"/>
          <w:color w:val="auto"/>
        </w:rPr>
        <w:t>. A participant’s rights under the ESPP will be exercisable only by the participant and are not transferable other than by will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descent or distribution.</w:t>
      </w:r>
    </w:p>
    <w:p>
      <w:pPr>
        <w:spacing w:after="0" w:line="1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Effect of a Change in Control; Adjustments</w:t>
      </w:r>
      <w:r>
        <w:rPr>
          <w:rFonts w:ascii="Times New Roman" w:cs="Times New Roman" w:eastAsia="Times New Roman" w:hAnsi="Times New Roman"/>
          <w:sz w:val="18"/>
          <w:szCs w:val="18"/>
          <w:color w:val="auto"/>
        </w:rPr>
        <w:t>. If there is any change in the outstanding shares of our common stock because of a merger,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33"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substitution of purchase rights by a successor entity (or parent or subsidiary of such successor);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a date on which all outstanding purchase rights will be exercised on or before the consummation date of the change in control;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outstanding purchase rights and refund of accumulated contributions to each participant prior to the change in control;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purchase rights unchanged.</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ESPP may be amended, altered, suspended and/or terminated at any time by our board of directors;</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P Units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Vested Class P Units were generally converted into fully vested Employee Units and unvested Class P Units were generally converted into unvested Employee Units, which are subject to vesting terms (as described below) that are substantially similar to those applicable to the unvested Class P Units immediately prior to the Reclassification, as described above. The aggregate number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415" w:right="339" w:bottom="1440" w:gutter="0" w:footer="0" w:header="0"/>
        </w:sectPr>
      </w:pPr>
    </w:p>
    <w:bookmarkStart w:id="178" w:name="page179"/>
    <w:bookmarkEnd w:id="178"/>
    <w:p>
      <w:pPr>
        <w:jc w:val="both"/>
        <w:spacing w:after="0" w:line="256" w:lineRule="auto"/>
        <w:rPr>
          <w:sz w:val="20"/>
          <w:szCs w:val="20"/>
          <w:color w:val="auto"/>
        </w:rPr>
      </w:pPr>
      <w:r>
        <w:rPr>
          <w:rFonts w:ascii="Times New Roman" w:cs="Times New Roman" w:eastAsia="Times New Roman" w:hAnsi="Times New Roman"/>
          <w:sz w:val="18"/>
          <w:szCs w:val="18"/>
          <w:color w:val="auto"/>
        </w:rPr>
        <w:t>vested and unvested Employee Units issued to holders of Class P Units was 1,325,330. The total number of unvested Employee Units issued was 1,290,263, or approximately 97.4% of the total of 1,325,330 Employee Units issued and outstanding following the IPO and the consummation of the transactions contemplated by the Reclassification. The vesting conditions applicable to these unvested Employee Units are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Reclassification, we granted options to purchase shares of Class A common stock under the 2020 Plan to all holders of Class P Units whose interests were converted in the Reclassification, in substitution for part of the economic benefit of the Class P Units that was not reflected in the conversion of Class P Units to Employee Units. We refer to these stock options as “leverage restoration options.” The leverage restoration options have an exercise price per share that is equal to the initial public offering price per share in the IPO and vest according to the same vesting schedule as the corresponding Class P Units in respect of which they were granted. The aggregate number of leverage restoration options granted to holders of Class P Units whose interests were converted into Employee Units in the Reclassification was 576,708.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None of our directors received compensation for their service on the board of directors for 2018 or 2019. However, all directors are reimbursed for their reasonable out-of-pocket expenses related to their board service.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2020, each of our outside directors (Messrs. Dhruv, Enright, and Mader) is entitled to receive $50,000 annually as a cash retainer for their board service, with additional annual cash retainers of (i) $20,000 for Mr. Dhruv for his service as a member and the chair of the audit committee; (ii) $10,000 for Mr. Mader for his service as a member of the audit committee and (iii) $15,000 for Mr. Enright for his service as chair of the Privacy, Security and Technology Committee.</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 equity since the commencement of their board service. These additional restricted stock unit grants will vest on the same schedule as the sign-on grants that Messrs. Dhruv and Mader received at the time of the IPO.</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time of the IPO, each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22" w:lineRule="exact"/>
        <w:rPr>
          <w:sz w:val="20"/>
          <w:szCs w:val="20"/>
          <w:color w:val="auto"/>
        </w:rPr>
      </w:pPr>
    </w:p>
    <w:p>
      <w:pPr>
        <w:ind w:right="10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Additionally, all of our directors will continue to be reimbursed for their reasonable out-of-pocket expenses related to their board service. </w:t>
      </w:r>
      <w:r>
        <w:rPr>
          <w:rFonts w:ascii="Times New Roman" w:cs="Times New Roman" w:eastAsia="Times New Roman" w:hAnsi="Times New Roman"/>
          <w:sz w:val="18"/>
          <w:szCs w:val="18"/>
          <w:b w:val="1"/>
          <w:bCs w:val="1"/>
          <w:color w:val="auto"/>
        </w:rPr>
        <w:t>IPO Employee Equity Grants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and in order to incentivize future employee performance and retention, we made grants to certain employees at the time of the IPO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 follows: 630,000 Class P Units with a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strike price) equal to the initial public offering price per share in the IPO, 47,620 LTIP Units and 513,440 restricted stock units. Such Class P Units, LTIP Units and restricted stock units will generally vest in varying installments over three to four and a half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17" w:right="339" w:bottom="1440" w:gutter="0" w:footer="0" w:header="0"/>
        </w:sectPr>
      </w:pPr>
    </w:p>
    <w:bookmarkStart w:id="179" w:name="page180"/>
    <w:bookmarkEnd w:id="17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Class P Unit and LTIP Unit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 following the grant date. Each of the Class P Unit agreements for named executive officers provides for a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strike price) equal to the initial public offering price per share in the IPO.</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1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agreements described in this section are filed as exhibits to the registration statement of which this prospectus forms a part, and the following descriptions are qualified by reference thereto.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2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w:t>
      </w:r>
    </w:p>
    <w:p>
      <w:pPr>
        <w:spacing w:after="0" w:line="3" w:lineRule="exact"/>
        <w:rPr>
          <w:sz w:val="20"/>
          <w:szCs w:val="20"/>
          <w:color w:val="auto"/>
        </w:rPr>
      </w:pPr>
    </w:p>
    <w:p>
      <w:pPr>
        <w:jc w:val="both"/>
        <w:ind w:firstLine="8"/>
        <w:spacing w:after="0" w:line="255" w:lineRule="auto"/>
        <w:tabs>
          <w:tab w:leader="none" w:pos="2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ZoomInfo Technologies Inc. entered into two tax receivable agreements. ZoomInfo Technologies Inc.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417" w:right="339" w:bottom="1440" w:gutter="0" w:footer="0" w:header="0"/>
        </w:sectPr>
      </w:pPr>
    </w:p>
    <w:bookmarkStart w:id="182" w:name="page183"/>
    <w:bookmarkEnd w:id="182"/>
    <w:p>
      <w:pPr>
        <w:jc w:val="both"/>
        <w:spacing w:after="0" w:line="254" w:lineRule="auto"/>
        <w:rPr>
          <w:sz w:val="20"/>
          <w:szCs w:val="20"/>
          <w:color w:val="auto"/>
        </w:rPr>
      </w:pPr>
      <w:r>
        <w:rPr>
          <w:rFonts w:ascii="Times New Roman" w:cs="Times New Roman" w:eastAsia="Times New Roman" w:hAnsi="Times New Roman"/>
          <w:sz w:val="18"/>
          <w:szCs w:val="18"/>
          <w:color w:val="auto"/>
        </w:rPr>
        <w:t>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34" w:lineRule="exact"/>
        <w:rPr>
          <w:sz w:val="20"/>
          <w:szCs w:val="20"/>
          <w:color w:val="auto"/>
        </w:rPr>
      </w:pPr>
    </w:p>
    <w:p>
      <w:pPr>
        <w:jc w:val="both"/>
        <w:ind w:left="660" w:hanging="328"/>
        <w:spacing w:after="0" w:line="261"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exchanges are taxable—if an exchange is not taxable for any reason, increased deductions will not be available;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amount of ZoomInfo Technologies Inc.’s allocable share of existing tax basis acquired in the IPO with respect to which our pre-IPO owners are entitled to receive payments under the tax receivable agreements has been determined to be approximately $257.4 million, the timing and amount of any related payments under the tax receivable agreements is uncertain since both will be dependent on the amount and timing of the ZoomInfo Tax Group’s income and other tax attributes.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 this prospectus) is approximately $344.8 million (assuming a public offering price of $42.99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417" w:right="339" w:bottom="1440" w:gutter="0" w:footer="0" w:header="0"/>
        </w:sectPr>
      </w:pPr>
    </w:p>
    <w:bookmarkStart w:id="183" w:name="page184"/>
    <w:bookmarkEnd w:id="183"/>
    <w:p>
      <w:pPr>
        <w:jc w:val="both"/>
        <w:spacing w:after="0" w:line="255" w:lineRule="auto"/>
        <w:rPr>
          <w:sz w:val="20"/>
          <w:szCs w:val="20"/>
          <w:color w:val="auto"/>
        </w:rPr>
      </w:pPr>
      <w:r>
        <w:rPr>
          <w:rFonts w:ascii="Times New Roman" w:cs="Times New Roman" w:eastAsia="Times New Roman" w:hAnsi="Times New Roman"/>
          <w:sz w:val="18"/>
          <w:szCs w:val="18"/>
          <w:color w:val="auto"/>
        </w:rPr>
        <w:t>which is the last reported sale price of our Class A common stock on the Nasdaq on September 30, 2020).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$42.99 per share, which is the last reported sale price of our Class A common stock on the Nasdaq on September 30, 2020, and that LIBOR were to be 0.34%, we estimate that the aggregate amount of these termination payments would be approximately $1,963.9 million if ZoomInfo Technologies Inc. were to exercise its termination right on September 30, 2020.</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417" w:right="339" w:bottom="1440" w:gutter="0" w:footer="0" w:header="0"/>
        </w:sectPr>
      </w:pPr>
    </w:p>
    <w:bookmarkStart w:id="184" w:name="page185"/>
    <w:bookmarkEnd w:id="184"/>
    <w:p>
      <w:pPr>
        <w:jc w:val="both"/>
        <w:spacing w:after="0" w:line="282" w:lineRule="auto"/>
        <w:rPr>
          <w:sz w:val="20"/>
          <w:szCs w:val="20"/>
          <w:color w:val="auto"/>
        </w:rPr>
      </w:pPr>
      <w:r>
        <w:rPr>
          <w:rFonts w:ascii="Times New Roman" w:cs="Times New Roman" w:eastAsia="Times New Roman" w:hAnsi="Times New Roman"/>
          <w:sz w:val="18"/>
          <w:szCs w:val="18"/>
          <w:color w:val="auto"/>
        </w:rPr>
        <w:t>the disposition of assets before an exchange will increase a pre-IPO owner’s tax liability without giving rise to any rights of a pre-IPO owner to receive payments under the tax receivable agreements.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OpCo Amended and Restated Limited Liability Company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Transactions and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distributions will be made in respect of unvested OpCo Units and instead such amounts will be distributed to holders of vested OpCo Units pro rata in accordance with their vested interests.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and (Y) then-current difference between the per share value of an OpCo Unit at the time of the exchange (based on the public trading price of Class A common stock) and the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417" w:right="339" w:bottom="1440" w:gutter="0" w:footer="0" w:header="0"/>
        </w:sectPr>
      </w:pPr>
    </w:p>
    <w:bookmarkStart w:id="185" w:name="page186"/>
    <w:bookmarkEnd w:id="185"/>
    <w:p>
      <w:pPr>
        <w:jc w:val="both"/>
        <w:spacing w:after="0" w:line="256" w:lineRule="auto"/>
        <w:rPr>
          <w:sz w:val="20"/>
          <w:szCs w:val="20"/>
          <w:color w:val="auto"/>
        </w:rPr>
      </w:pPr>
      <w:r>
        <w:rPr>
          <w:rFonts w:ascii="Times New Roman" w:cs="Times New Roman" w:eastAsia="Times New Roman" w:hAnsi="Times New Roman"/>
          <w:sz w:val="18"/>
          <w:szCs w:val="18"/>
          <w:color w:val="auto"/>
        </w:rPr>
        <w:t>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OpCo Units and Payment of Blocker Merger Consideration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1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of our Sponsors, and the shares of Class C common stock underlying the merger consideration payable to the Sponsors.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OpCo Units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Shares of Class C</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Purchase Price</w:t>
            </w:r>
          </w:p>
        </w:tc>
      </w:tr>
      <w:tr>
        <w:trPr>
          <w:trHeight w:val="189"/>
        </w:trPr>
        <w:tc>
          <w:tcPr>
            <w:tcW w:w="602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Purchased</w:t>
            </w:r>
          </w:p>
        </w:tc>
        <w:tc>
          <w:tcPr>
            <w:tcW w:w="30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1,841,818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275,269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Person Transactions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nine months ended September 30, 2020 was $0.2 million, $0.4 million, $1.8 million, $1.0 million, and $0.9 million respectively.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nine months ended September 30, 2020 was $0.7 million and $1.0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Transactions with Our Sponsors and Sponsor Portfolio Companies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IPO, our board of directors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the IPO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17" w:right="339" w:bottom="1440" w:gutter="0" w:footer="0" w:header="0"/>
        </w:sectPr>
      </w:pPr>
    </w:p>
    <w:bookmarkStart w:id="187" w:name="page188"/>
    <w:bookmarkEnd w:id="187"/>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41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and footnotes set forth information regarding the beneficial ownership of shares of our Class A common stock, our Class B common stock, and our Class C common stock, as of October 31, 2020, by (1) each person known to us to beneficially own more than 5% of any class of the outstanding voting securities of ZoomInfo Technologies Inc., (2) each of our directors and named executive officers and (3) all of our directors and executive officers as a group.</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percentage of beneficial ownership of shares of our Class A common stock, our Class B common stock, and our Class C common stock is based on 69,240,501 shares of Class A common stock outstanding, 228,488,162 shares of Class B common stock outstanding, and 91,582,353 shares of Class C common stock outstanding as of October 31, 2020, and does not give effect to (i) the issuance upon exchange of shares of Class A common stock registered hereby and (ii) the cancellation of shares of Class B common stock upon such exchange. As of October 31, 2020, we had five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October 31, 2020, we had 378 holders of record of our Class B common stock and seven holders of record of our Class C common stock.</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413" w:right="33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8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580" w:type="dxa"/>
            <w:vAlign w:val="bottom"/>
            <w:gridSpan w:val="4"/>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5"/>
              </w:rPr>
              <w:t>Class B Common Stock Beneficially Owned</w:t>
            </w:r>
            <w:r>
              <w:rPr>
                <w:rFonts w:ascii="Times New Roman" w:cs="Times New Roman" w:eastAsia="Times New Roman" w:hAnsi="Times New Roman"/>
                <w:sz w:val="16"/>
                <w:szCs w:val="16"/>
                <w:b w:val="1"/>
                <w:bCs w:val="1"/>
                <w:color w:val="auto"/>
                <w:w w:val="95"/>
                <w:vertAlign w:val="superscript"/>
              </w:rPr>
              <w:t>(1)</w:t>
            </w:r>
          </w:p>
        </w:tc>
        <w:tc>
          <w:tcPr>
            <w:tcW w:w="2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Class C Common Stock Beneficially Owned</w:t>
            </w:r>
            <w:r>
              <w:rPr>
                <w:rFonts w:ascii="Times New Roman" w:cs="Times New Roman" w:eastAsia="Times New Roman" w:hAnsi="Times New Roman"/>
                <w:sz w:val="16"/>
                <w:szCs w:val="16"/>
                <w:b w:val="1"/>
                <w:bCs w:val="1"/>
                <w:color w:val="auto"/>
                <w:w w:val="99"/>
                <w:vertAlign w:val="superscript"/>
              </w:rPr>
              <w:t>(3)</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Combined Voting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580" w:type="dxa"/>
            <w:vAlign w:val="bottom"/>
            <w:gridSpan w:val="4"/>
          </w:tcPr>
          <w:p>
            <w:pPr>
              <w:ind w:left="600"/>
              <w:spacing w:after="0" w:line="135" w:lineRule="exact"/>
              <w:rPr>
                <w:sz w:val="20"/>
                <w:szCs w:val="20"/>
                <w:color w:val="auto"/>
              </w:rPr>
            </w:pPr>
            <w:r>
              <w:rPr>
                <w:rFonts w:ascii="Times New Roman" w:cs="Times New Roman" w:eastAsia="Times New Roman" w:hAnsi="Times New Roman"/>
                <w:sz w:val="12"/>
                <w:szCs w:val="12"/>
                <w:b w:val="1"/>
                <w:bCs w:val="1"/>
                <w:color w:val="auto"/>
              </w:rPr>
              <w:t>Beneficially Owned</w:t>
            </w:r>
            <w:r>
              <w:rPr>
                <w:rFonts w:ascii="Times New Roman" w:cs="Times New Roman" w:eastAsia="Times New Roman" w:hAnsi="Times New Roman"/>
                <w:sz w:val="15"/>
                <w:szCs w:val="15"/>
                <w:b w:val="1"/>
                <w:bCs w:val="1"/>
                <w:color w:val="auto"/>
                <w:vertAlign w:val="superscript"/>
              </w:rPr>
              <w:t>(1)(3)</w:t>
            </w:r>
          </w:p>
        </w:tc>
        <w:tc>
          <w:tcPr>
            <w:tcW w:w="1160" w:type="dxa"/>
            <w:vAlign w:val="bottom"/>
          </w:tcPr>
          <w:p>
            <w:pPr>
              <w:spacing w:after="0"/>
              <w:rPr>
                <w:sz w:val="11"/>
                <w:szCs w:val="11"/>
                <w:color w:val="auto"/>
              </w:rPr>
            </w:pPr>
          </w:p>
        </w:tc>
        <w:tc>
          <w:tcPr>
            <w:tcW w:w="1420" w:type="dxa"/>
            <w:vAlign w:val="bottom"/>
            <w:gridSpan w:val="3"/>
          </w:tcPr>
          <w:p>
            <w:pPr>
              <w:jc w:val="right"/>
              <w:ind w:right="1228"/>
              <w:spacing w:after="0"/>
              <w:rPr>
                <w:sz w:val="20"/>
                <w:szCs w:val="20"/>
                <w:color w:val="auto"/>
              </w:rPr>
            </w:pPr>
            <w:r>
              <w:rPr>
                <w:rFonts w:ascii="Times New Roman" w:cs="Times New Roman" w:eastAsia="Times New Roman" w:hAnsi="Times New Roman"/>
                <w:sz w:val="8"/>
                <w:szCs w:val="8"/>
                <w:b w:val="1"/>
                <w:bCs w:val="1"/>
                <w:color w:val="auto"/>
              </w:rPr>
              <w:t>(2)</w:t>
            </w:r>
          </w:p>
        </w:tc>
        <w:tc>
          <w:tcPr>
            <w:tcW w:w="2600" w:type="dxa"/>
            <w:vAlign w:val="bottom"/>
            <w:gridSpan w:val="4"/>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Power</w:t>
            </w:r>
            <w:r>
              <w:rPr>
                <w:rFonts w:ascii="Times New Roman" w:cs="Times New Roman" w:eastAsia="Times New Roman" w:hAnsi="Times New Roman"/>
                <w:sz w:val="15"/>
                <w:szCs w:val="15"/>
                <w:b w:val="1"/>
                <w:bCs w:val="1"/>
                <w:color w:val="auto"/>
                <w:w w:val="99"/>
                <w:vertAlign w:val="superscript"/>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280" w:type="dxa"/>
            <w:vAlign w:val="bottom"/>
            <w:tcBorders>
              <w:top w:val="single" w:sz="8" w:color="auto"/>
            </w:tcBorders>
            <w:gridSpan w:val="2"/>
          </w:tcPr>
          <w:p>
            <w:pPr>
              <w:ind w:left="360"/>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0" w:type="dxa"/>
            <w:vAlign w:val="bottom"/>
            <w:tcBorders>
              <w:top w:val="single" w:sz="8" w:color="auto"/>
            </w:tcBorders>
          </w:tcPr>
          <w:p>
            <w:pPr>
              <w:jc w:val="right"/>
              <w:ind w:right="48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89"/>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20" w:type="dxa"/>
            <w:vAlign w:val="bottom"/>
            <w:tcBorders>
              <w:top w:val="single" w:sz="8" w:color="auto"/>
            </w:tcBorders>
            <w:gridSpan w:val="3"/>
          </w:tcPr>
          <w:p>
            <w:pPr>
              <w:jc w:val="right"/>
              <w:ind w:right="56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top w:val="single" w:sz="8" w:color="auto"/>
            </w:tcBorders>
            <w:gridSpan w:val="2"/>
          </w:tcPr>
          <w:p>
            <w:pPr>
              <w:ind w:left="360"/>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20" w:type="dxa"/>
            <w:vAlign w:val="bottom"/>
            <w:tcBorders>
              <w:top w:val="single" w:sz="8" w:color="auto"/>
            </w:tcBorders>
          </w:tcPr>
          <w:p>
            <w:pPr>
              <w:jc w:val="right"/>
              <w:ind w:right="48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80" w:type="dxa"/>
            <w:vAlign w:val="bottom"/>
            <w:tcBorders>
              <w:right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TA Associates</w:t>
            </w:r>
            <w:r>
              <w:rPr>
                <w:rFonts w:ascii="Times New Roman" w:cs="Times New Roman" w:eastAsia="Times New Roman" w:hAnsi="Times New Roman"/>
                <w:sz w:val="18"/>
                <w:szCs w:val="18"/>
                <w:color w:val="auto"/>
                <w:vertAlign w:val="superscript"/>
              </w:rPr>
              <w:t>(5)(22)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84,100,741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36.8%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30,971,456</w:t>
            </w:r>
          </w:p>
        </w:tc>
        <w:tc>
          <w:tcPr>
            <w:tcW w:w="100" w:type="dxa"/>
            <w:vAlign w:val="bottom"/>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right w:val="single" w:sz="8" w:color="auto"/>
            </w:tcBorders>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Investment Funds affiliated with</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41,954,633</w:t>
            </w:r>
          </w:p>
        </w:tc>
        <w:tc>
          <w:tcPr>
            <w:tcW w:w="1420" w:type="dxa"/>
            <w:vAlign w:val="bottom"/>
            <w:tcBorders>
              <w:right w:val="single" w:sz="8" w:color="auto"/>
            </w:tcBorders>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18.4%</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57,171,484</w:t>
            </w:r>
          </w:p>
        </w:tc>
        <w:tc>
          <w:tcPr>
            <w:tcW w:w="100" w:type="dxa"/>
            <w:vAlign w:val="bottom"/>
          </w:tcPr>
          <w:p>
            <w:pPr>
              <w:spacing w:after="0"/>
              <w:rPr>
                <w:sz w:val="11"/>
                <w:szCs w:val="11"/>
                <w:color w:val="auto"/>
              </w:rPr>
            </w:pPr>
          </w:p>
        </w:tc>
        <w:tc>
          <w:tcPr>
            <w:tcW w:w="122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ind w:left="160"/>
              <w:spacing w:after="0" w:line="189" w:lineRule="exact"/>
              <w:rPr>
                <w:sz w:val="20"/>
                <w:szCs w:val="20"/>
                <w:color w:val="auto"/>
              </w:rPr>
            </w:pPr>
            <w:r>
              <w:rPr>
                <w:rFonts w:ascii="Times New Roman" w:cs="Times New Roman" w:eastAsia="Times New Roman" w:hAnsi="Times New Roman"/>
                <w:sz w:val="14"/>
                <w:szCs w:val="14"/>
                <w:color w:val="auto"/>
              </w:rPr>
              <w:t>Carlyle</w:t>
            </w:r>
            <w:r>
              <w:rPr>
                <w:rFonts w:ascii="Times New Roman" w:cs="Times New Roman" w:eastAsia="Times New Roman" w:hAnsi="Times New Roman"/>
                <w:sz w:val="18"/>
                <w:szCs w:val="18"/>
                <w:color w:val="auto"/>
                <w:vertAlign w:val="superscript"/>
              </w:rPr>
              <w:t>(6)(22)</w:t>
            </w:r>
          </w:p>
        </w:tc>
        <w:tc>
          <w:tcPr>
            <w:tcW w:w="1280" w:type="dxa"/>
            <w:vAlign w:val="bottom"/>
            <w:gridSpan w:val="2"/>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1420" w:type="dxa"/>
            <w:vAlign w:val="bottom"/>
            <w:tcBorders>
              <w:right w:val="single" w:sz="8" w:color="auto"/>
            </w:tcBorders>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22C Capital</w:t>
            </w:r>
            <w:r>
              <w:rPr>
                <w:rFonts w:ascii="Times New Roman" w:cs="Times New Roman" w:eastAsia="Times New Roman" w:hAnsi="Times New Roman"/>
                <w:sz w:val="18"/>
                <w:szCs w:val="18"/>
                <w:color w:val="auto"/>
                <w:vertAlign w:val="superscript"/>
              </w:rPr>
              <w:t>(7)(22)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16,864,222</w:t>
            </w:r>
          </w:p>
        </w:tc>
        <w:tc>
          <w:tcPr>
            <w:tcW w:w="1420" w:type="dxa"/>
            <w:vAlign w:val="bottom"/>
            <w:tcBorders>
              <w:right w:val="single" w:sz="8" w:color="auto"/>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3,439,413</w:t>
            </w:r>
          </w:p>
        </w:tc>
        <w:tc>
          <w:tcPr>
            <w:tcW w:w="100" w:type="dxa"/>
            <w:vAlign w:val="bottom"/>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DO Holdings (WA), LLC</w:t>
            </w:r>
            <w:r>
              <w:rPr>
                <w:rFonts w:ascii="Times New Roman" w:cs="Times New Roman" w:eastAsia="Times New Roman" w:hAnsi="Times New Roman"/>
                <w:sz w:val="18"/>
                <w:szCs w:val="18"/>
                <w:color w:val="auto"/>
                <w:vertAlign w:val="superscript"/>
              </w:rPr>
              <w:t>(8)(22)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58,647,878</w:t>
            </w:r>
          </w:p>
        </w:tc>
        <w:tc>
          <w:tcPr>
            <w:tcW w:w="1420" w:type="dxa"/>
            <w:vAlign w:val="bottom"/>
            <w:tcBorders>
              <w:right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25.7%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Kirk Brown</w:t>
            </w:r>
            <w:r>
              <w:rPr>
                <w:rFonts w:ascii="Times New Roman" w:cs="Times New Roman" w:eastAsia="Times New Roman" w:hAnsi="Times New Roman"/>
                <w:sz w:val="18"/>
                <w:szCs w:val="18"/>
                <w:color w:val="auto"/>
                <w:vertAlign w:val="superscript"/>
              </w:rPr>
              <w:t>(9)(22)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58,647,878</w:t>
            </w:r>
          </w:p>
        </w:tc>
        <w:tc>
          <w:tcPr>
            <w:tcW w:w="1420" w:type="dxa"/>
            <w:vAlign w:val="bottom"/>
            <w:tcBorders>
              <w:right w:val="single" w:sz="8" w:color="auto"/>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25.7%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Henry Schuck</w:t>
            </w:r>
            <w:r>
              <w:rPr>
                <w:rFonts w:ascii="Times New Roman" w:cs="Times New Roman" w:eastAsia="Times New Roman" w:hAnsi="Times New Roman"/>
                <w:sz w:val="18"/>
                <w:szCs w:val="18"/>
                <w:color w:val="auto"/>
                <w:vertAlign w:val="superscript"/>
              </w:rPr>
              <w:t>(10)(22)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1,186,472</w:t>
            </w:r>
          </w:p>
        </w:tc>
        <w:tc>
          <w:tcPr>
            <w:tcW w:w="100" w:type="dxa"/>
            <w:vAlign w:val="bottom"/>
          </w:tcPr>
          <w:p>
            <w:pPr>
              <w:spacing w:after="0"/>
              <w:rPr>
                <w:sz w:val="16"/>
                <w:szCs w:val="16"/>
                <w:color w:val="auto"/>
              </w:rPr>
            </w:pP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76,722,043</w:t>
            </w:r>
          </w:p>
        </w:tc>
        <w:tc>
          <w:tcPr>
            <w:tcW w:w="1420" w:type="dxa"/>
            <w:vAlign w:val="bottom"/>
            <w:tcBorders>
              <w:right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33.6%</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Cameron Hyzer</w:t>
            </w:r>
            <w:r>
              <w:rPr>
                <w:rFonts w:ascii="Times New Roman" w:cs="Times New Roman" w:eastAsia="Times New Roman" w:hAnsi="Times New Roman"/>
                <w:sz w:val="18"/>
                <w:szCs w:val="18"/>
                <w:color w:val="auto"/>
                <w:vertAlign w:val="superscript"/>
              </w:rPr>
              <w:t>(11)</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Chris Hays</w:t>
            </w:r>
            <w:r>
              <w:rPr>
                <w:rFonts w:ascii="Times New Roman" w:cs="Times New Roman" w:eastAsia="Times New Roman" w:hAnsi="Times New Roman"/>
                <w:sz w:val="18"/>
                <w:szCs w:val="18"/>
                <w:color w:val="auto"/>
                <w:vertAlign w:val="superscript"/>
              </w:rPr>
              <w:t>(12)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189,574</w:t>
            </w:r>
          </w:p>
        </w:tc>
        <w:tc>
          <w:tcPr>
            <w:tcW w:w="100" w:type="dxa"/>
            <w:vAlign w:val="bottom"/>
          </w:tcPr>
          <w:p>
            <w:pPr>
              <w:spacing w:after="0"/>
              <w:rPr>
                <w:sz w:val="16"/>
                <w:szCs w:val="16"/>
                <w:color w:val="auto"/>
              </w:rPr>
            </w:pP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Nir Keren</w:t>
            </w:r>
            <w:r>
              <w:rPr>
                <w:rFonts w:ascii="Times New Roman" w:cs="Times New Roman" w:eastAsia="Times New Roman" w:hAnsi="Times New Roman"/>
                <w:sz w:val="18"/>
                <w:szCs w:val="18"/>
                <w:color w:val="auto"/>
                <w:vertAlign w:val="superscript"/>
              </w:rPr>
              <w:t>(13)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1,305,653</w:t>
            </w:r>
          </w:p>
        </w:tc>
        <w:tc>
          <w:tcPr>
            <w:tcW w:w="100" w:type="dxa"/>
            <w:vAlign w:val="bottom"/>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Todd Crockett</w:t>
            </w:r>
            <w:r>
              <w:rPr>
                <w:rFonts w:ascii="Times New Roman" w:cs="Times New Roman" w:eastAsia="Times New Roman" w:hAnsi="Times New Roman"/>
                <w:sz w:val="18"/>
                <w:szCs w:val="18"/>
                <w:color w:val="auto"/>
                <w:vertAlign w:val="superscript"/>
              </w:rPr>
              <w:t>(14)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Mitesh Dhruv</w:t>
            </w:r>
            <w:r>
              <w:rPr>
                <w:rFonts w:ascii="Times New Roman" w:cs="Times New Roman" w:eastAsia="Times New Roman" w:hAnsi="Times New Roman"/>
                <w:sz w:val="18"/>
                <w:szCs w:val="18"/>
                <w:color w:val="auto"/>
                <w:vertAlign w:val="superscript"/>
              </w:rPr>
              <w:t>(15)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Keith Enright</w:t>
            </w:r>
            <w:r>
              <w:rPr>
                <w:rFonts w:ascii="Times New Roman" w:cs="Times New Roman" w:eastAsia="Times New Roman" w:hAnsi="Times New Roman"/>
                <w:sz w:val="18"/>
                <w:szCs w:val="18"/>
                <w:color w:val="auto"/>
                <w:vertAlign w:val="superscript"/>
              </w:rPr>
              <w:t>(16)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Ashley Evans</w:t>
            </w:r>
            <w:r>
              <w:rPr>
                <w:rFonts w:ascii="Times New Roman" w:cs="Times New Roman" w:eastAsia="Times New Roman" w:hAnsi="Times New Roman"/>
                <w:sz w:val="18"/>
                <w:szCs w:val="18"/>
                <w:color w:val="auto"/>
                <w:vertAlign w:val="superscript"/>
              </w:rPr>
              <w:t>(17)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Mark Mader</w:t>
            </w:r>
            <w:r>
              <w:rPr>
                <w:rFonts w:ascii="Times New Roman" w:cs="Times New Roman" w:eastAsia="Times New Roman" w:hAnsi="Times New Roman"/>
                <w:sz w:val="18"/>
                <w:szCs w:val="18"/>
                <w:color w:val="auto"/>
                <w:vertAlign w:val="superscript"/>
              </w:rPr>
              <w:t>(18)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Patrick McCarter</w:t>
            </w:r>
            <w:r>
              <w:rPr>
                <w:rFonts w:ascii="Times New Roman" w:cs="Times New Roman" w:eastAsia="Times New Roman" w:hAnsi="Times New Roman"/>
                <w:sz w:val="18"/>
                <w:szCs w:val="18"/>
                <w:color w:val="auto"/>
                <w:vertAlign w:val="superscript"/>
              </w:rPr>
              <w:t>(19)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Jason Mironov</w:t>
            </w:r>
            <w:r>
              <w:rPr>
                <w:rFonts w:ascii="Times New Roman" w:cs="Times New Roman" w:eastAsia="Times New Roman" w:hAnsi="Times New Roman"/>
                <w:sz w:val="18"/>
                <w:szCs w:val="18"/>
                <w:color w:val="auto"/>
                <w:vertAlign w:val="superscript"/>
              </w:rPr>
              <w:t>(20)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80" w:type="dxa"/>
            <w:vAlign w:val="bottom"/>
            <w:tcBorders>
              <w:right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D. Randall Winn</w:t>
            </w:r>
            <w:r>
              <w:rPr>
                <w:rFonts w:ascii="Times New Roman" w:cs="Times New Roman" w:eastAsia="Times New Roman" w:hAnsi="Times New Roman"/>
                <w:sz w:val="18"/>
                <w:szCs w:val="18"/>
                <w:color w:val="auto"/>
                <w:vertAlign w:val="superscript"/>
              </w:rPr>
              <w:t>(21)</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23,517,559</w:t>
            </w:r>
          </w:p>
        </w:tc>
        <w:tc>
          <w:tcPr>
            <w:tcW w:w="1420" w:type="dxa"/>
            <w:vAlign w:val="bottom"/>
            <w:tcBorders>
              <w:right w:val="single" w:sz="8" w:color="auto"/>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3,439,413</w:t>
            </w:r>
          </w:p>
        </w:tc>
        <w:tc>
          <w:tcPr>
            <w:tcW w:w="100" w:type="dxa"/>
            <w:vAlign w:val="bottom"/>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Directors and executive officers as a</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right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group</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2,681,699</w:t>
            </w:r>
          </w:p>
        </w:tc>
        <w:tc>
          <w:tcPr>
            <w:tcW w:w="100" w:type="dxa"/>
            <w:vAlign w:val="bottom"/>
          </w:tcPr>
          <w:p>
            <w:pPr>
              <w:spacing w:after="0"/>
              <w:rPr>
                <w:sz w:val="11"/>
                <w:szCs w:val="11"/>
                <w:color w:val="auto"/>
              </w:rPr>
            </w:pPr>
          </w:p>
        </w:tc>
        <w:tc>
          <w:tcPr>
            <w:tcW w:w="120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right w:val="single" w:sz="8" w:color="auto"/>
            </w:tcBorders>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100,239,602</w:t>
            </w:r>
          </w:p>
        </w:tc>
        <w:tc>
          <w:tcPr>
            <w:tcW w:w="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300" w:type="dxa"/>
            <w:vAlign w:val="bottom"/>
            <w:tcBorders>
              <w:right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43.9%</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3,439,413</w:t>
            </w:r>
          </w:p>
        </w:tc>
        <w:tc>
          <w:tcPr>
            <w:tcW w:w="100" w:type="dxa"/>
            <w:vAlign w:val="bottom"/>
          </w:tcPr>
          <w:p>
            <w:pPr>
              <w:spacing w:after="0"/>
              <w:rPr>
                <w:sz w:val="11"/>
                <w:szCs w:val="11"/>
                <w:color w:val="auto"/>
              </w:rPr>
            </w:pPr>
          </w:p>
        </w:tc>
        <w:tc>
          <w:tcPr>
            <w:tcW w:w="122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(12 persons)</w:t>
            </w: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1" w:lineRule="exact"/>
        <w:rPr>
          <w:sz w:val="20"/>
          <w:szCs w:val="20"/>
          <w:color w:val="auto"/>
        </w:rPr>
      </w:pPr>
    </w:p>
    <w:p>
      <w:pPr>
        <w:jc w:val="both"/>
        <w:ind w:left="340" w:right="20" w:hanging="332"/>
        <w:spacing w:after="0" w:line="241"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16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OpCo Units which are paired with an equal number of shares of Class B common stock, except as noted in footnote (7) below.</w:t>
      </w:r>
    </w:p>
    <w:p>
      <w:pPr>
        <w:spacing w:after="0" w:line="1" w:lineRule="exact"/>
        <w:rPr>
          <w:rFonts w:ascii="Times New Roman" w:cs="Times New Roman" w:eastAsia="Times New Roman" w:hAnsi="Times New Roman"/>
          <w:sz w:val="14"/>
          <w:szCs w:val="14"/>
          <w:color w:val="auto"/>
        </w:rPr>
      </w:pPr>
    </w:p>
    <w:p>
      <w:pPr>
        <w:jc w:val="both"/>
        <w:ind w:left="340" w:right="20" w:hanging="332"/>
        <w:spacing w:after="0" w:line="241"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spacing w:after="0" w:line="2"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340" w:right="20" w:hanging="332"/>
        <w:spacing w:after="0" w:line="243"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(i) 61,795,517 OpCo Units (and associated shares of Class B common stock) held by TA XI DO AIV, L.P., (ii) 1,595,274 OpCo Units (and associated shares of Class B common stock) held by TA SDF III DO AIV, L.P., (iii) 10,672,029 OpCo Units (and associated shares of Class B common stock) held by TA Atlantic and Pacific VII-A, L.P., (iv) 2,295,058 OpCo Units (and associated shares of Class B common stock) held by TA Investors IV, L.P., (v) 4,041,101 OpCo Units (and associated shares of Class B common stock) held by TA XI DO AIV II, L.P., (vi) 76,205 OpCo Units (and associated shares of Class B common stock) held by TA SDF III DO AIV II, L.P., (vii) 3,625,557 OpCo Units (and associated shares of Class B common stock) held by TA AP VII-B DO Subsidiary Partnership, L.P., (viii) 16,164,403 shares of Class C common stock held by TA XI DO Feeder, L.P., (ix) 304,823 shares of Class C common stock held by TA SDF III DO Feeder, L.P., and (x) 14,502,230 shares of Class C common stock held by TA Atlantic and Pacific VII-B,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60"/>
          </w:cols>
          <w:pgMar w:left="320" w:top="1440" w:right="319" w:bottom="1440" w:gutter="0" w:footer="0" w:header="0"/>
        </w:sectPr>
      </w:pPr>
    </w:p>
    <w:bookmarkStart w:id="190" w:name="page191"/>
    <w:bookmarkEnd w:id="190"/>
    <w:p>
      <w:pPr>
        <w:jc w:val="both"/>
        <w:ind w:left="340" w:hanging="332"/>
        <w:spacing w:after="0" w:line="249"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Partners VI Evergreen Holdings, L.P. (“Carlyle Evergreen”) is the record holder of 41,954,633 OpCo Units (and associated shares of Class B common stock). CP VI Evergreen Holdings, L.P. (“CP VI Evergreen”) is the record holder of 42,188,071 shares of Class C common stock. Carlyle Partners VI Dash Holdings, L.P. (together with Carlyle Evergreen and CP VI Evergreen, the “Carlyle Investors”) is the record holder of 14,983,413 shares of Class C common stock.</w:t>
      </w: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(i) 2,988,488 shares of Class C common stock and 16,782,541 OpCo Units (and associated shares of Class B common stock) held directly by 22C Magellan Holdings LLC, whose two principal members are 22C DiscoverOrg Investors, LLC and 22C Capital I, L.P., and (ii) 450,925 shares of Class C common stock and 81,681 HoldCo Units (and 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FiveW DiscoverOrg LLC. The address of 22C Magellan Holdings LLC, 22C Capital I-A, L.P., Eric Edell and D. Randall Winn is 445 Park Avenue, 13th Floor, New York, New York 10022.</w:t>
      </w:r>
    </w:p>
    <w:p>
      <w:pPr>
        <w:spacing w:after="0" w:line="3" w:lineRule="exact"/>
        <w:rPr>
          <w:rFonts w:ascii="Times New Roman" w:cs="Times New Roman" w:eastAsia="Times New Roman" w:hAnsi="Times New Roman"/>
          <w:sz w:val="14"/>
          <w:szCs w:val="14"/>
          <w:color w:val="auto"/>
        </w:rPr>
      </w:pPr>
    </w:p>
    <w:p>
      <w:pPr>
        <w:jc w:val="both"/>
        <w:ind w:left="340" w:right="20" w:hanging="332"/>
        <w:spacing w:after="0" w:line="241"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58,647,878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the 58,647,878 OpCo Units (and associated shares of Class B common stock) held directly by DO Holdings (WA), LLC (as described above). The principal business address of Mr. Brown is c/o 1012 SE 64th Court, Vancouver, Washington 98661.</w:t>
      </w:r>
    </w:p>
    <w:p>
      <w:pPr>
        <w:jc w:val="both"/>
        <w:ind w:left="340" w:hanging="332"/>
        <w:spacing w:after="0" w:line="241" w:lineRule="auto"/>
        <w:tabs>
          <w:tab w:leader="none" w:pos="33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the vested Class P Units held directly by Henry Schuck (including 80,370 Class P Units that vest within 60 days) convertible for 1,186,472 shares of Class A common stock (based on the closing price of our Class A common stock of $37.99 per share reported on Nasdaq on October 30, 2020), OpCo Units (and associated shares of Class B common stock) held directly by HSKB Funds, LLC, 58,647,878 OpCo Units (and associated shares of Class B common stock) held directly by DO Holdings (WA), LLC (as described above), and 2,778,810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spacing w:after="0" w:line="16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Hyzer is c/o 805 Broadway Street, Suite 900 Vancouver, Washington 98660.</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Class P Units held directly by Chris Hays (including 14,612 Class P Units that vest within 60 days) convertible for 189,574 shares of Class A common stock (based on the closing price of our Class A common stock of $37.99 per share reported on Nasdaq on October 30, 2020). The principal business address of Mr. Hays is c/o 805 Broadway Street, Suite 900 Vancouver, Washington 98660.</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the vested Class P Units held directly by Nir Keren convertible for 1,305,653 shares of Class A common stock (based on the closing price of our Class A common stock of $37.99 per share reported on Nasdaq on October 30, 2020). The principal business address of Mr. Keren is c/o 805 Broadway Street, Suite 900 Vancouver, Washington 98660.</w:t>
      </w:r>
    </w:p>
    <w:p>
      <w:pPr>
        <w:spacing w:after="0" w:line="16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Crockett is c/o 200 Clarendon Street, 56th floor, Boston, Massachusetts 02116.</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Dhruv is c/o 20 Davis Drive, Belmont, California 94002.</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Enright is c/o 345 Spear Street, 4th Floor, San Francisco, California 94105.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Ms. Evans is c/o 2710 Sand Hill Road, Menlo Park, California 94025.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413" w:right="339" w:bottom="1440" w:gutter="0" w:footer="0" w:header="0"/>
        </w:sectPr>
      </w:pPr>
    </w:p>
    <w:bookmarkStart w:id="191" w:name="page192"/>
    <w:bookmarkEnd w:id="191"/>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Mader is c/o 10500 NE 8th Street, Suite 1300, Bellevue, Washington 98004.</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McCarter is c/o 2710 Sand Hill Road, Menlo Park, California 94025.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Mironov is c/o 200 Clarendon Street, 56th floor, Boston, Massachusetts 02116.</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beneficially owned reflect: (i) 3,439,413 shares of Class C common stock, 16,782,541 OpCo Units (and associated shares of Class B common stock), and 81,681 HoldCo Units (and associated shares of Class B common stock) beneficially owned by 22C Capital, as disclosed in footnote (7) above; (ii) 1,396,768 OpCo Units (and associated shares of Class B common stock) directly held by Mr. Winn in his individual capacity; and (iii) 5,256,569 OpCo Units (and associated shares of Class B common stock) held directly by FiveW DiscoverOrg LLC, over which Mr. Winn exercises voting and investment power. The principal business address of Mr. Winn is 445 Park Avenue, 13th Floor, New York, New York 10022.</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1413" w:right="339" w:bottom="1440" w:gutter="0" w:footer="0" w:header="0"/>
        </w:sectPr>
      </w:pPr>
    </w:p>
    <w:bookmarkStart w:id="192" w:name="page193"/>
    <w:bookmarkEnd w:id="192"/>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section summarizes the terms of our material principal indebtedness.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Lien Credit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borrowings under the first lien credit agreement consist of $865.0 million initial term loans, maturing February 1, 2026, and a $100.0 million revolving credit facility, maturing February 1, 2024. Of these first lien term loans, $756.4 million was outstanding as of September 30, 2020. In June 2020, we used a portion of the net proceeds from the IPO to prepay $100.0 million aggregate principal amount of the first lien term loans outstanding under the first lien credit agreement, including accrued interest thereon.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portion of the revolving credit facility is available for letters of credit, of which none was utilized as of September 30, 2020. Including letters of credit, there were no borrowings outstanding under the revolving credit facility as of September 30, 2020. In connection with the IPO, we used a portion of the net proceeds from the IPO to repay $35.0 million of outstanding borrowings under the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completion of our IPO and as of September 30, 2020, the applicable margin was reduced 0.25% from 4.00% to 3.75% in the case of LIBOR rate loans, and from 3.00% to 2.75% in the case of base rate loans.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1413"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Prepayments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 principal amount prepaid is required to be paid. After the six-month anniversary of the amendment no. 1 effective date, no premium is required.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Prepayments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first lien credit agreement requires us to prepay outstanding first lien term loans, subject to certain exceptions, with:</w:t>
      </w:r>
    </w:p>
    <w:p>
      <w:pPr>
        <w:spacing w:after="0" w:line="171" w:lineRule="exact"/>
        <w:rPr>
          <w:sz w:val="20"/>
          <w:szCs w:val="20"/>
          <w:color w:val="auto"/>
        </w:rPr>
      </w:pPr>
    </w:p>
    <w:p>
      <w:pPr>
        <w:jc w:val="both"/>
        <w:ind w:left="660" w:hanging="328"/>
        <w:spacing w:after="0" w:line="282"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5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8"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incurrence or issuance by ZoomInfo LLC or certain of its subsidiaries of any indebtedness (except for permitted debt (other than refinancing debt));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required to prepay the amount by which we exceed the revolving credit commitment.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amounts outstanding under the revolving credit facility are due and payable in full at maturity.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1413"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first lien credit agreement contains a number of covenants that restrict, subject to certain exceptions, our ability to, among other things:</w:t>
      </w:r>
    </w:p>
    <w:p>
      <w:pPr>
        <w:spacing w:after="0" w:line="171"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Lien Credit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lien credit agreement provides for $370.0 million initial term loan facility, maturing on February 1, 2027 of which none was outstanding as of September 30, 2020. In connection with the IPO, we used a portion of the net proceeds of the IPO to prepay in full all outstanding indebtedness under the second lien credit agreement and terminated the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1413"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1413" w:right="339" w:bottom="1440" w:gutter="0" w:footer="0" w:header="0"/>
        </w:sectPr>
      </w:pPr>
    </w:p>
    <w:bookmarkStart w:id="196" w:name="page197"/>
    <w:bookmarkEnd w:id="19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1417" w:right="339" w:bottom="1440" w:gutter="0" w:footer="0" w:header="0"/>
        </w:sectPr>
      </w:pPr>
    </w:p>
    <w:bookmarkStart w:id="197" w:name="page198"/>
    <w:bookmarkEnd w:id="197"/>
    <w:p>
      <w:pPr>
        <w:jc w:val="both"/>
        <w:spacing w:after="0" w:line="282" w:lineRule="auto"/>
        <w:rPr>
          <w:sz w:val="20"/>
          <w:szCs w:val="20"/>
          <w:color w:val="auto"/>
        </w:rPr>
      </w:pPr>
      <w:r>
        <w:rPr>
          <w:rFonts w:ascii="Times New Roman" w:cs="Times New Roman" w:eastAsia="Times New Roman" w:hAnsi="Times New Roman"/>
          <w:sz w:val="18"/>
          <w:szCs w:val="18"/>
          <w:color w:val="auto"/>
        </w:rPr>
        <w:t>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29"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40"/>
          </w:cols>
          <w:pgMar w:left="320" w:top="141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Multi-Class Structure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40"/>
          </w:cols>
          <w:pgMar w:left="320" w:top="1413" w:right="339" w:bottom="1440" w:gutter="0" w:footer="0" w:header="0"/>
        </w:sectPr>
      </w:pPr>
    </w:p>
    <w:bookmarkStart w:id="199" w:name="page200"/>
    <w:bookmarkEnd w:id="199"/>
    <w:p>
      <w:pPr>
        <w:jc w:val="both"/>
        <w:spacing w:after="0" w:line="258" w:lineRule="auto"/>
        <w:rPr>
          <w:sz w:val="20"/>
          <w:szCs w:val="20"/>
          <w:color w:val="auto"/>
        </w:rPr>
      </w:pPr>
      <w:r>
        <w:rPr>
          <w:rFonts w:ascii="Times New Roman" w:cs="Times New Roman" w:eastAsia="Times New Roman" w:hAnsi="Times New Roman"/>
          <w:sz w:val="18"/>
          <w:szCs w:val="18"/>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2" w:lineRule="exact"/>
        <w:rPr>
          <w:sz w:val="20"/>
          <w:szCs w:val="20"/>
          <w:color w:val="auto"/>
        </w:rPr>
      </w:pPr>
    </w:p>
    <w:p>
      <w:pPr>
        <w:ind w:left="66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 and Newly Created Directorships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40"/>
          </w:cols>
          <w:pgMar w:left="320" w:top="1417" w:right="339" w:bottom="1440" w:gutter="0" w:footer="0" w:header="0"/>
        </w:sectPr>
      </w:pPr>
    </w:p>
    <w:bookmarkStart w:id="200" w:name="page201"/>
    <w:bookmarkEnd w:id="200"/>
    <w:p>
      <w:pPr>
        <w:jc w:val="both"/>
        <w:spacing w:after="0" w:line="255" w:lineRule="auto"/>
        <w:rPr>
          <w:sz w:val="20"/>
          <w:szCs w:val="20"/>
          <w:color w:val="auto"/>
        </w:rPr>
      </w:pPr>
      <w:r>
        <w:rPr>
          <w:rFonts w:ascii="Times New Roman" w:cs="Times New Roman" w:eastAsia="Times New Roman" w:hAnsi="Times New Roman"/>
          <w:sz w:val="18"/>
          <w:szCs w:val="18"/>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40"/>
          </w:cols>
          <w:pgMar w:left="320" w:top="1417"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133"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66⅔% supermajority vote for stockholders to amend our 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regarding forum selection;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66⅔% supermajority vote.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40"/>
          </w:cols>
          <w:pgMar w:left="320" w:top="1413" w:right="339" w:bottom="1440" w:gutter="0" w:footer="0" w:header="0"/>
        </w:sectPr>
      </w:pPr>
    </w:p>
    <w:bookmarkStart w:id="202" w:name="page203"/>
    <w:bookmarkEnd w:id="20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fluctuations in the market price of our shares that could result from actual or rumored takeover attempts. Such provisions may also have the effect of preventing changes in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w:t>
      </w:r>
    </w:p>
    <w:p>
      <w:pPr>
        <w:spacing w:after="0" w:line="3" w:lineRule="exact"/>
        <w:rPr>
          <w:sz w:val="20"/>
          <w:szCs w:val="20"/>
          <w:color w:val="auto"/>
        </w:rPr>
      </w:pPr>
    </w:p>
    <w:p>
      <w:pPr>
        <w:ind w:left="260" w:hanging="252"/>
        <w:spacing w:after="0"/>
        <w:tabs>
          <w:tab w:leader="none" w:pos="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we or our affiliates now engage or propose to engage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1417" w:right="339" w:bottom="1440" w:gutter="0" w:footer="0" w:header="0"/>
        </w:sectPr>
      </w:pPr>
    </w:p>
    <w:bookmarkStart w:id="203" w:name="page204"/>
    <w:bookmarkEnd w:id="203"/>
    <w:p>
      <w:pPr>
        <w:jc w:val="both"/>
        <w:spacing w:after="0" w:line="266" w:lineRule="auto"/>
        <w:rPr>
          <w:sz w:val="20"/>
          <w:szCs w:val="20"/>
          <w:color w:val="auto"/>
        </w:rPr>
      </w:pPr>
      <w:r>
        <w:rPr>
          <w:rFonts w:ascii="Times New Roman" w:cs="Times New Roman" w:eastAsia="Times New Roman" w:hAnsi="Times New Roman"/>
          <w:sz w:val="18"/>
          <w:szCs w:val="18"/>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shares of our Class A common stock is Equiniti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40"/>
          </w:cols>
          <w:pgMar w:left="320" w:top="141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AND ESTATE TAX CONSEQUENCES TO NON-U.S. HOLDERS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and estate tax consequences of the ownership, and disposition of our Class A common stock as of the date hereof. Except where noted, this summary deals only with Class A common stock registered hereby to be issued upon exchange that is held as a capital asset by a non-U.S. holder (as defined below).</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08"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If you are considering the exchange of your Class P Units or if your HSKB Phantom Units are settled for our Class A common stock, you should consult your own tax advisors concerning the particular United States federal income and estate tax consequences to you of the ownership and disposition of our Class A common stock, as well as the consequences to you arising under other United States federal tax laws and the laws of any other taxing jurisdiction.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1413" w:right="339" w:bottom="1440" w:gutter="0" w:footer="0" w:header="0"/>
        </w:sectPr>
      </w:pPr>
    </w:p>
    <w:bookmarkStart w:id="205" w:name="page206"/>
    <w:bookmarkEnd w:id="205"/>
    <w:p>
      <w:pPr>
        <w:jc w:val="both"/>
        <w:spacing w:after="0" w:line="261" w:lineRule="auto"/>
        <w:rPr>
          <w:sz w:val="20"/>
          <w:szCs w:val="20"/>
          <w:color w:val="auto"/>
        </w:rPr>
      </w:pPr>
      <w:r>
        <w:rPr>
          <w:rFonts w:ascii="Times New Roman" w:cs="Times New Roman" w:eastAsia="Times New Roman" w:hAnsi="Times New Roman"/>
          <w:sz w:val="18"/>
          <w:szCs w:val="18"/>
          <w:color w:val="auto"/>
        </w:rPr>
        <w:t>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08" w:lineRule="exact"/>
        <w:rPr>
          <w:sz w:val="20"/>
          <w:szCs w:val="20"/>
          <w:color w:val="auto"/>
        </w:rPr>
      </w:pPr>
    </w:p>
    <w:p>
      <w:pPr>
        <w:ind w:left="66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United States federal income tax purposes and certain other conditions are met.</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United States real property interests equals or exceeds 50% of the sum of the fair market value of its worldwide real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1417" w:right="339" w:bottom="1440" w:gutter="0" w:footer="0" w:header="0"/>
        </w:sectPr>
      </w:pPr>
    </w:p>
    <w:bookmarkStart w:id="206" w:name="page207"/>
    <w:bookmarkEnd w:id="20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1417"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Ownership of our Class A Common Stock—If we or our pre-IPO owners sell additional shares of our Class A common stock or are perceived by the public markets as intending to sell them, the market price of our Class A common stock could decline.”</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31, 2020, we had a total of 69,240,501 shares of our Class A common stock outstanding. Of these shares, all of the shares of our Class A common stock sold in the IPO and the Secondary Offering (totaling 68,354,135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under certain circumstances, subject to certain exceptions. As of October 31, 2020, the Pre-IPO OpCo Unitholders and the Pre-IPO HoldCo Unitholders held 224,283,503 OpCo Units and 4,204,659 HoldCo Units, respectively, all of which are exchangeable for shares of our Class A common stock, and the Pre-IPO Blocker Holders held 91,582,353 shares of Class C common stock, all of which are convertible into shares of 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liability company agreement of ZoomInfo OpCo, the holders of 14,383,955 Pre-IPO Class P Units, which have a weighted-average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$5.53 per Class P Unit, are able to exchange their Pre-IPO Class P Units into shares of our Class A common stock, which share are registered hereby,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18,650,000 shares of Class A common stock may be granted under the 2020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strike price) equal to the initial public offering price per share of Class A common stock in the IPO were granted under the 2020 Plan. See “Executive Compensation—Compensation Arrangements Adopted in Connection with the IPO—2020 Omnibus Incentive Plan.” We have filed a registration statement on Form S-8 under the Securities Act to register shares of Class A common stock or securities convertible into or exchangeable for shares of Class A common stock issued under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1413" w:right="339" w:bottom="1440" w:gutter="0" w:footer="0" w:header="0"/>
        </w:sectPr>
      </w:pPr>
    </w:p>
    <w:bookmarkStart w:id="208" w:name="page209"/>
    <w:bookmarkEnd w:id="208"/>
    <w:p>
      <w:pPr>
        <w:jc w:val="both"/>
        <w:spacing w:after="0" w:line="282" w:lineRule="auto"/>
        <w:rPr>
          <w:sz w:val="20"/>
          <w:szCs w:val="20"/>
          <w:color w:val="auto"/>
        </w:rPr>
      </w:pPr>
      <w:r>
        <w:rPr>
          <w:rFonts w:ascii="Times New Roman" w:cs="Times New Roman" w:eastAsia="Times New Roman" w:hAnsi="Times New Roman"/>
          <w:sz w:val="18"/>
          <w:szCs w:val="18"/>
          <w:color w:val="auto"/>
        </w:rPr>
        <w:t>covered by the 2020 Plan. Such Form S-8 registration statement automatically became effective upon filing. Accordingly, shares of Class A common stock registered under such registration statements are available for sale in the open market.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of our pre-IPO owners pursuant to which we granted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Assuming exchange of all OpCo Units and HoldCo Units held by the Pre-IPO OpCo Unitholders and the Pre-IPO HoldCo Unitholders, respectively, and conversion of all shares of Class C common stock held by the Pre-IPO Blocker Holders, the shares covered by registration rights represent approximately 79.2% of our outstanding Class A common stock, assuming exchange of all OpCo Units and HoldCo Units and conversion of all shares of our Class C common stock.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IPO, we, our executive officers, our directors, the holders of all of our Class C common stock, the holders of substantially all of our outstanding OpCo Units, and certain holders of our HoldCo Units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from the IPO for a period of 180 days after June 3, 2020.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including customary exceptions related to open-market transactions in our Class A common stock, issuances or transfers in connection with incentive plans, establishment of Rule 10b5-1 plans, exchanges of OpCo Units and HoldCo Units and corresponding number of shares of Class B common stock for shares of Class A common stock, and conversions of shares of Class C common stock into shares of Class A common stock. Of the shares of Class A common stock registered hereby, all of these shares are restricted from being exchanged until December 5, 2020 pursuant to the limited liability company agreement of ZoomInfo OpCo or ZoomInfo HoldCo, as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141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40"/>
          </w:cols>
          <w:pgMar w:left="320" w:top="1413"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by us from time to time of up to an aggregate of 4,500,000 shares of Class A common stock upon exchange, to the extent that holders exchange, of an equal number of OpCo Units or HoldCo Units (together with the same number of shares of our Class B common stock), as applicable, upon exchange or settlement of (i) Pre-IPO Class P Units by Continuing Class P Unitholders and (ii) HSKB Phantom Units by Continuing HSKB Phantom Unitholders.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Class A common stock may be sold in such states only through registered or licensed brokers or dealers. In addition, in some states the shares of Class A common stock may not be sold unless such shares have been registered or qualified for sale in such state or an exemption from registration or qualification is available and is complied with.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recipients of shares of Class A common stock issued upon exchange of OpCo Units or HoldCo Units (together with the same number of shares of our Class B common stock), as applicable, will sell any or all of the Class A common stock registered pursuant to the shelf registration statement, of which this prospectus forms a part.</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recipients of shares of Class A common stock issued upon exchange of OpCo Units or HoldCo Units (together with the same number of shares of our Class B common stock), as applicable, and any other person participating in such distribution will be subject to applicable provisions of the Exchange Act and the rules and regulations thereunder, including, without limitation, Regulation M of the Exchange Act, which may limit the timing of purchases and sales of any shares of the Class A common stock by such holder and any other participating person. Regulation M may also restrict the ability of any person engaged in the distribution of the shares of Class A common stock to engage in market-making activities with respect to the Class A common stock. All of the foregoing may affect the marketability of the shares of Class A common stock and the ability of any person or entity to engage in market-making activities with respect to the shares of Class A common stock.</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shares of Class A common stock pursuant to this prospectus. Once issued pursuant to the registration statement, of which this prospectus forms a part, the shares of Class A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40"/>
          </w:cols>
          <w:pgMar w:left="320" w:top="1413" w:right="339" w:bottom="1440" w:gutter="0" w:footer="0" w:header="0"/>
        </w:sectPr>
      </w:pPr>
    </w:p>
    <w:bookmarkStart w:id="211" w:name="page212"/>
    <w:bookmarkEnd w:id="211"/>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Class A common stock will be passed upon for us by Simpson Thacher &amp; Bartlett LLP, New York, New York.</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Times New Roman" w:cs="Times New Roman" w:eastAsia="Times New Roman" w:hAnsi="Times New Roman"/>
          <w:sz w:val="18"/>
          <w:szCs w:val="18"/>
          <w:i w:val="1"/>
          <w:iCs w:val="1"/>
          <w:color w:val="auto"/>
        </w:rPr>
        <w:t>http://www.sec.gov.</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maintain an internet site at </w:t>
      </w:r>
      <w:r>
        <w:rPr>
          <w:rFonts w:ascii="Times New Roman" w:cs="Times New Roman" w:eastAsia="Times New Roman" w:hAnsi="Times New Roman"/>
          <w:sz w:val="18"/>
          <w:szCs w:val="18"/>
          <w:i w:val="1"/>
          <w:iCs w:val="1"/>
          <w:color w:val="auto"/>
        </w:rPr>
        <w:t>http://www.zoominfo.com</w:t>
      </w:r>
      <w:r>
        <w:rPr>
          <w:rFonts w:ascii="Times New Roman" w:cs="Times New Roman" w:eastAsia="Times New Roman" w:hAnsi="Times New Roman"/>
          <w:sz w:val="18"/>
          <w:szCs w:val="18"/>
          <w:color w:val="auto"/>
        </w:rPr>
        <w:t>. The information on, or accessible from, our website is not part of this prospectus by reference or otherwise.</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are required to file reports and other information with the SEC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You may inspect copies of these materials without charge at the SEC’s website. We intend to make available to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annual reports containing consolidated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1413"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40" w:type="dxa"/>
            <w:vAlign w:val="bottom"/>
            <w:gridSpan w:val="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Balance Sheet of ZoomInfo Technologies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4">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4">
              <w:r>
                <w:rPr>
                  <w:rFonts w:ascii="Times New Roman" w:cs="Times New Roman" w:eastAsia="Times New Roman" w:hAnsi="Times New Roman"/>
                  <w:sz w:val="18"/>
                  <w:szCs w:val="18"/>
                  <w:color w:val="auto"/>
                </w:rPr>
                <w:t>F-2</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4">
              <w:r>
                <w:rPr>
                  <w:rFonts w:ascii="Times New Roman" w:cs="Times New Roman" w:eastAsia="Times New Roman" w:hAnsi="Times New Roman"/>
                  <w:sz w:val="18"/>
                  <w:szCs w:val="18"/>
                  <w:u w:val="single" w:color="auto"/>
                  <w:color w:val="0000FF"/>
                </w:rPr>
                <w:t>Balance Sheets as of December 31, 2019 and November 14, 2019</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4">
              <w:r>
                <w:rPr>
                  <w:rFonts w:ascii="Times New Roman" w:cs="Times New Roman" w:eastAsia="Times New Roman" w:hAnsi="Times New Roman"/>
                  <w:sz w:val="18"/>
                  <w:szCs w:val="18"/>
                  <w:color w:val="auto"/>
                </w:rPr>
                <w:t>F-3</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5">
              <w:r>
                <w:rPr>
                  <w:rFonts w:ascii="Times New Roman" w:cs="Times New Roman" w:eastAsia="Times New Roman" w:hAnsi="Times New Roman"/>
                  <w:sz w:val="18"/>
                  <w:szCs w:val="18"/>
                  <w:u w:val="single" w:color="auto"/>
                  <w:color w:val="0000FF"/>
                </w:rPr>
                <w:t>Notes to Balance Sheet</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5">
              <w:r>
                <w:rPr>
                  <w:rFonts w:ascii="Times New Roman" w:cs="Times New Roman" w:eastAsia="Times New Roman" w:hAnsi="Times New Roman"/>
                  <w:sz w:val="18"/>
                  <w:szCs w:val="18"/>
                  <w:color w:val="auto"/>
                </w:rPr>
                <w:t>F-4</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DiscoverOrg Holdings, LLC (“ZoomInfo OpCo”)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7">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7">
              <w:r>
                <w:rPr>
                  <w:rFonts w:ascii="Times New Roman" w:cs="Times New Roman" w:eastAsia="Times New Roman" w:hAnsi="Times New Roman"/>
                  <w:sz w:val="18"/>
                  <w:szCs w:val="18"/>
                  <w:color w:val="auto"/>
                </w:rPr>
                <w:t>F-5</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7">
              <w:r>
                <w:rPr>
                  <w:rFonts w:ascii="Times New Roman" w:cs="Times New Roman" w:eastAsia="Times New Roman" w:hAnsi="Times New Roman"/>
                  <w:sz w:val="18"/>
                  <w:szCs w:val="18"/>
                  <w:u w:val="single" w:color="auto"/>
                  <w:color w:val="0000FF"/>
                </w:rPr>
                <w:t>Consolidated Balance Sheets as of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7">
              <w:r>
                <w:rPr>
                  <w:rFonts w:ascii="Times New Roman" w:cs="Times New Roman" w:eastAsia="Times New Roman" w:hAnsi="Times New Roman"/>
                  <w:sz w:val="18"/>
                  <w:szCs w:val="18"/>
                  <w:color w:val="auto"/>
                </w:rPr>
                <w:t>F-6</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8">
              <w:r>
                <w:rPr>
                  <w:rFonts w:ascii="Times New Roman" w:cs="Times New Roman" w:eastAsia="Times New Roman" w:hAnsi="Times New Roman"/>
                  <w:sz w:val="18"/>
                  <w:szCs w:val="18"/>
                  <w:u w:val="single" w:color="auto"/>
                  <w:color w:val="0000FF"/>
                </w:rPr>
                <w:t>Consolidated Statements of Operations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8">
              <w:r>
                <w:rPr>
                  <w:rFonts w:ascii="Times New Roman" w:cs="Times New Roman" w:eastAsia="Times New Roman" w:hAnsi="Times New Roman"/>
                  <w:sz w:val="18"/>
                  <w:szCs w:val="18"/>
                  <w:color w:val="auto"/>
                </w:rPr>
                <w:t>F-7</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9">
              <w:r>
                <w:rPr>
                  <w:rFonts w:ascii="Times New Roman" w:cs="Times New Roman" w:eastAsia="Times New Roman" w:hAnsi="Times New Roman"/>
                  <w:sz w:val="18"/>
                  <w:szCs w:val="18"/>
                  <w:u w:val="single" w:color="auto"/>
                  <w:color w:val="0000FF"/>
                </w:rPr>
                <w:t>Consolidated Statements of Comprehensive Loss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9">
              <w:r>
                <w:rPr>
                  <w:rFonts w:ascii="Times New Roman" w:cs="Times New Roman" w:eastAsia="Times New Roman" w:hAnsi="Times New Roman"/>
                  <w:sz w:val="18"/>
                  <w:szCs w:val="18"/>
                  <w:color w:val="auto"/>
                </w:rPr>
                <w:t>F-8</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0">
              <w:r>
                <w:rPr>
                  <w:rFonts w:ascii="Times New Roman" w:cs="Times New Roman" w:eastAsia="Times New Roman" w:hAnsi="Times New Roman"/>
                  <w:sz w:val="18"/>
                  <w:szCs w:val="18"/>
                  <w:u w:val="single" w:color="auto"/>
                  <w:color w:val="0000FF"/>
                </w:rPr>
                <w:t>Consolidated Statements of Changes in Members’ Deficit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0">
              <w:r>
                <w:rPr>
                  <w:rFonts w:ascii="Times New Roman" w:cs="Times New Roman" w:eastAsia="Times New Roman" w:hAnsi="Times New Roman"/>
                  <w:sz w:val="18"/>
                  <w:szCs w:val="18"/>
                  <w:color w:val="auto"/>
                </w:rPr>
                <w:t>F-9</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1">
              <w:r>
                <w:rPr>
                  <w:rFonts w:ascii="Times New Roman" w:cs="Times New Roman" w:eastAsia="Times New Roman" w:hAnsi="Times New Roman"/>
                  <w:sz w:val="18"/>
                  <w:szCs w:val="18"/>
                  <w:u w:val="single" w:color="auto"/>
                  <w:color w:val="0000FF"/>
                </w:rPr>
                <w:t>Consolidated Statements of Cash Flows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21">
              <w:r>
                <w:rPr>
                  <w:rFonts w:ascii="Times New Roman" w:cs="Times New Roman" w:eastAsia="Times New Roman" w:hAnsi="Times New Roman"/>
                  <w:sz w:val="18"/>
                  <w:szCs w:val="18"/>
                  <w:color w:val="auto"/>
                  <w:w w:val="99"/>
                </w:rPr>
                <w:t>F-10</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2">
              <w:r>
                <w:rPr>
                  <w:rFonts w:ascii="Times New Roman" w:cs="Times New Roman" w:eastAsia="Times New Roman" w:hAnsi="Times New Roman"/>
                  <w:sz w:val="18"/>
                  <w:szCs w:val="18"/>
                  <w:u w:val="single" w:color="auto"/>
                  <w:color w:val="0000FF"/>
                </w:rPr>
                <w:t>Notes to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22">
              <w:r>
                <w:rPr>
                  <w:rFonts w:ascii="Times New Roman" w:cs="Times New Roman" w:eastAsia="Times New Roman" w:hAnsi="Times New Roman"/>
                  <w:sz w:val="18"/>
                  <w:szCs w:val="18"/>
                  <w:color w:val="auto"/>
                  <w:w w:val="99"/>
                </w:rPr>
                <w:t>F-11</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4">
              <w:r>
                <w:rPr>
                  <w:rFonts w:ascii="Times New Roman" w:cs="Times New Roman" w:eastAsia="Times New Roman" w:hAnsi="Times New Roman"/>
                  <w:sz w:val="18"/>
                  <w:szCs w:val="18"/>
                  <w:u w:val="single" w:color="auto"/>
                  <w:color w:val="0000FF"/>
                </w:rPr>
                <w:t>Consolidated Balance Sheets as of September 30, 2020 and December 31,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4">
              <w:r>
                <w:rPr>
                  <w:rFonts w:ascii="Times New Roman" w:cs="Times New Roman" w:eastAsia="Times New Roman" w:hAnsi="Times New Roman"/>
                  <w:sz w:val="18"/>
                  <w:szCs w:val="18"/>
                  <w:color w:val="auto"/>
                  <w:w w:val="99"/>
                </w:rPr>
                <w:t>F-42</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4">
              <w:r>
                <w:rPr>
                  <w:rFonts w:ascii="Times New Roman" w:cs="Times New Roman" w:eastAsia="Times New Roman" w:hAnsi="Times New Roman"/>
                  <w:sz w:val="18"/>
                  <w:szCs w:val="18"/>
                  <w:u w:val="single" w:color="auto"/>
                  <w:color w:val="0000FF"/>
                </w:rPr>
                <w:t>Consolidated Statements of Operations for the Nine Months Ended September 30, 2020 and September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4">
              <w:r>
                <w:rPr>
                  <w:rFonts w:ascii="Times New Roman" w:cs="Times New Roman" w:eastAsia="Times New Roman" w:hAnsi="Times New Roman"/>
                  <w:sz w:val="18"/>
                  <w:szCs w:val="18"/>
                  <w:color w:val="auto"/>
                  <w:w w:val="99"/>
                </w:rPr>
                <w:t>F-43</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5">
              <w:r>
                <w:rPr>
                  <w:rFonts w:ascii="Times New Roman" w:cs="Times New Roman" w:eastAsia="Times New Roman" w:hAnsi="Times New Roman"/>
                  <w:sz w:val="18"/>
                  <w:szCs w:val="18"/>
                  <w:u w:val="single" w:color="auto"/>
                  <w:color w:val="0000FF"/>
                </w:rPr>
                <w:t>Consolidated Statements of Comprehensive Loss for the Nine Months Ended September 30, 2020 and September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5">
              <w:r>
                <w:rPr>
                  <w:rFonts w:ascii="Times New Roman" w:cs="Times New Roman" w:eastAsia="Times New Roman" w:hAnsi="Times New Roman"/>
                  <w:sz w:val="18"/>
                  <w:szCs w:val="18"/>
                  <w:color w:val="auto"/>
                  <w:w w:val="99"/>
                </w:rPr>
                <w:t>F-44</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8">
              <w:r>
                <w:rPr>
                  <w:rFonts w:ascii="Times New Roman" w:cs="Times New Roman" w:eastAsia="Times New Roman" w:hAnsi="Times New Roman"/>
                  <w:sz w:val="18"/>
                  <w:szCs w:val="18"/>
                  <w:u w:val="single" w:color="auto"/>
                  <w:color w:val="0000FF"/>
                </w:rPr>
                <w:t>Consolidated Statements of Changes in Members’ Deficit for the Nine Months Ended September 30, 2020 and September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8">
              <w:r>
                <w:rPr>
                  <w:rFonts w:ascii="Times New Roman" w:cs="Times New Roman" w:eastAsia="Times New Roman" w:hAnsi="Times New Roman"/>
                  <w:sz w:val="18"/>
                  <w:szCs w:val="18"/>
                  <w:color w:val="auto"/>
                  <w:w w:val="99"/>
                </w:rPr>
                <w:t>F-47</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9">
              <w:r>
                <w:rPr>
                  <w:rFonts w:ascii="Times New Roman" w:cs="Times New Roman" w:eastAsia="Times New Roman" w:hAnsi="Times New Roman"/>
                  <w:sz w:val="18"/>
                  <w:szCs w:val="18"/>
                  <w:u w:val="single" w:color="auto"/>
                  <w:color w:val="0000FF"/>
                </w:rPr>
                <w:t>Consolidated Statements of Cash Flow for Nine Months Ended September 30, 2020 and September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9">
              <w:r>
                <w:rPr>
                  <w:rFonts w:ascii="Times New Roman" w:cs="Times New Roman" w:eastAsia="Times New Roman" w:hAnsi="Times New Roman"/>
                  <w:sz w:val="18"/>
                  <w:szCs w:val="18"/>
                  <w:color w:val="auto"/>
                  <w:w w:val="99"/>
                </w:rPr>
                <w:t>F-48</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60">
              <w:r>
                <w:rPr>
                  <w:rFonts w:ascii="Times New Roman" w:cs="Times New Roman" w:eastAsia="Times New Roman" w:hAnsi="Times New Roman"/>
                  <w:sz w:val="18"/>
                  <w:szCs w:val="18"/>
                  <w:u w:val="single" w:color="auto"/>
                  <w:color w:val="0000FF"/>
                </w:rPr>
                <w:t>Notes to Unaudited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60">
              <w:r>
                <w:rPr>
                  <w:rFonts w:ascii="Times New Roman" w:cs="Times New Roman" w:eastAsia="Times New Roman" w:hAnsi="Times New Roman"/>
                  <w:sz w:val="18"/>
                  <w:szCs w:val="18"/>
                  <w:color w:val="auto"/>
                  <w:w w:val="99"/>
                </w:rPr>
                <w:t>F-49</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 Information, Inc. (“Pre-Acquisition ZI”)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4">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4">
              <w:r>
                <w:rPr>
                  <w:rFonts w:ascii="Times New Roman" w:cs="Times New Roman" w:eastAsia="Times New Roman" w:hAnsi="Times New Roman"/>
                  <w:sz w:val="18"/>
                  <w:szCs w:val="18"/>
                  <w:color w:val="auto"/>
                  <w:w w:val="99"/>
                </w:rPr>
                <w:t>F-82</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4">
              <w:r>
                <w:rPr>
                  <w:rFonts w:ascii="Times New Roman" w:cs="Times New Roman" w:eastAsia="Times New Roman" w:hAnsi="Times New Roman"/>
                  <w:sz w:val="18"/>
                  <w:szCs w:val="18"/>
                  <w:u w:val="single" w:color="auto"/>
                  <w:color w:val="0000FF"/>
                </w:rPr>
                <w:t>Consolidated Balance Sheets as of January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4">
              <w:r>
                <w:rPr>
                  <w:rFonts w:ascii="Times New Roman" w:cs="Times New Roman" w:eastAsia="Times New Roman" w:hAnsi="Times New Roman"/>
                  <w:sz w:val="18"/>
                  <w:szCs w:val="18"/>
                  <w:color w:val="auto"/>
                  <w:w w:val="99"/>
                </w:rPr>
                <w:t>F-83</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5">
              <w:r>
                <w:rPr>
                  <w:rFonts w:ascii="Times New Roman" w:cs="Times New Roman" w:eastAsia="Times New Roman" w:hAnsi="Times New Roman"/>
                  <w:sz w:val="18"/>
                  <w:szCs w:val="18"/>
                  <w:u w:val="single" w:color="auto"/>
                  <w:color w:val="0000FF"/>
                </w:rPr>
                <w:t>Consolidated Statements of Operations for the Period from January 1, 2019 Through January 31, 2019 and the Year Ended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5">
              <w:r>
                <w:rPr>
                  <w:rFonts w:ascii="Times New Roman" w:cs="Times New Roman" w:eastAsia="Times New Roman" w:hAnsi="Times New Roman"/>
                  <w:sz w:val="18"/>
                  <w:szCs w:val="18"/>
                  <w:color w:val="auto"/>
                  <w:w w:val="99"/>
                </w:rPr>
                <w:t>F-84</w:t>
              </w:r>
            </w:hyperlink>
          </w:p>
        </w:tc>
        <w:tc>
          <w:tcPr>
            <w:tcW w:w="0" w:type="dxa"/>
            <w:vAlign w:val="bottom"/>
          </w:tcPr>
          <w:p>
            <w:pPr>
              <w:spacing w:after="0"/>
              <w:rPr>
                <w:sz w:val="1"/>
                <w:szCs w:val="1"/>
                <w:color w:val="auto"/>
              </w:rPr>
            </w:pPr>
          </w:p>
        </w:tc>
      </w:tr>
      <w:tr>
        <w:trPr>
          <w:trHeight w:val="194"/>
        </w:trPr>
        <w:tc>
          <w:tcPr>
            <w:tcW w:w="10480" w:type="dxa"/>
            <w:vAlign w:val="bottom"/>
            <w:gridSpan w:val="4"/>
          </w:tcPr>
          <w:p>
            <w:pPr>
              <w:spacing w:after="0" w:line="194" w:lineRule="exact"/>
              <w:rPr>
                <w:rFonts w:ascii="Times New Roman" w:cs="Times New Roman" w:eastAsia="Times New Roman" w:hAnsi="Times New Roman"/>
                <w:sz w:val="18"/>
                <w:szCs w:val="18"/>
                <w:color w:val="0000FF"/>
              </w:rPr>
            </w:pPr>
            <w:hyperlink w:anchor="page296">
              <w:r>
                <w:rPr>
                  <w:rFonts w:ascii="Times New Roman" w:cs="Times New Roman" w:eastAsia="Times New Roman" w:hAnsi="Times New Roman"/>
                  <w:sz w:val="18"/>
                  <w:szCs w:val="18"/>
                  <w:color w:val="0000FF"/>
                </w:rPr>
                <w:t>Consolidated Statements of Convertible Preferred Stock and Stockholders’ Equity for the Period from January 1, 2019 Through January 31,</w:t>
              </w:r>
            </w:hyperlink>
          </w:p>
        </w:tc>
        <w:tc>
          <w:tcPr>
            <w:tcW w:w="520" w:type="dxa"/>
            <w:vAlign w:val="bottom"/>
            <w:vMerge w:val="restart"/>
          </w:tcPr>
          <w:p>
            <w:pPr>
              <w:jc w:val="center"/>
              <w:ind w:left="90"/>
              <w:spacing w:after="0"/>
              <w:rPr>
                <w:rFonts w:ascii="Times New Roman" w:cs="Times New Roman" w:eastAsia="Times New Roman" w:hAnsi="Times New Roman"/>
                <w:sz w:val="18"/>
                <w:szCs w:val="18"/>
                <w:color w:val="auto"/>
                <w:w w:val="99"/>
              </w:rPr>
            </w:pPr>
            <w:hyperlink w:anchor="page296">
              <w:r>
                <w:rPr>
                  <w:rFonts w:ascii="Times New Roman" w:cs="Times New Roman" w:eastAsia="Times New Roman" w:hAnsi="Times New Roman"/>
                  <w:sz w:val="18"/>
                  <w:szCs w:val="18"/>
                  <w:color w:val="auto"/>
                  <w:w w:val="99"/>
                </w:rPr>
                <w:t>F-85</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32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296">
              <w:r>
                <w:rPr>
                  <w:rFonts w:ascii="Times New Roman" w:cs="Times New Roman" w:eastAsia="Times New Roman" w:hAnsi="Times New Roman"/>
                  <w:sz w:val="18"/>
                  <w:szCs w:val="18"/>
                  <w:color w:val="0000FF"/>
                  <w:w w:val="99"/>
                </w:rPr>
                <w:t>2019 and the Year Ended December 31, 2018</w:t>
              </w:r>
            </w:hyperlink>
          </w:p>
        </w:tc>
        <w:tc>
          <w:tcPr>
            <w:tcW w:w="66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7">
              <w:r>
                <w:rPr>
                  <w:rFonts w:ascii="Times New Roman" w:cs="Times New Roman" w:eastAsia="Times New Roman" w:hAnsi="Times New Roman"/>
                  <w:sz w:val="18"/>
                  <w:szCs w:val="18"/>
                  <w:u w:val="single" w:color="auto"/>
                  <w:color w:val="0000FF"/>
                </w:rPr>
                <w:t>Consolidated Statements of Cash Flows for the Period from January 1, 2019 through January 31, 2019 and the Year Ended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7">
              <w:r>
                <w:rPr>
                  <w:rFonts w:ascii="Times New Roman" w:cs="Times New Roman" w:eastAsia="Times New Roman" w:hAnsi="Times New Roman"/>
                  <w:sz w:val="18"/>
                  <w:szCs w:val="18"/>
                  <w:color w:val="auto"/>
                  <w:w w:val="99"/>
                </w:rPr>
                <w:t>F-86</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8">
              <w:r>
                <w:rPr>
                  <w:rFonts w:ascii="Times New Roman" w:cs="Times New Roman" w:eastAsia="Times New Roman" w:hAnsi="Times New Roman"/>
                  <w:sz w:val="18"/>
                  <w:szCs w:val="18"/>
                  <w:u w:val="single" w:color="auto"/>
                  <w:color w:val="0000FF"/>
                </w:rPr>
                <w:t>Notes to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8">
              <w:r>
                <w:rPr>
                  <w:rFonts w:ascii="Times New Roman" w:cs="Times New Roman" w:eastAsia="Times New Roman" w:hAnsi="Times New Roman"/>
                  <w:sz w:val="18"/>
                  <w:szCs w:val="18"/>
                  <w:color w:val="auto"/>
                  <w:w w:val="99"/>
                </w:rPr>
                <w:t>F-87</w:t>
              </w:r>
            </w:hyperlink>
          </w:p>
        </w:tc>
        <w:tc>
          <w:tcPr>
            <w:tcW w:w="0" w:type="dxa"/>
            <w:vAlign w:val="bottom"/>
          </w:tcPr>
          <w:p>
            <w:pPr>
              <w:spacing w:after="0"/>
              <w:rPr>
                <w:sz w:val="1"/>
                <w:szCs w:val="1"/>
                <w:color w:val="auto"/>
              </w:rPr>
            </w:pPr>
          </w:p>
        </w:tc>
      </w:tr>
      <w:tr>
        <w:trPr>
          <w:trHeight w:val="891"/>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40" w:type="dxa"/>
            <w:vAlign w:val="bottom"/>
            <w:gridSpan w:val="2"/>
          </w:tcPr>
          <w:p>
            <w:pPr>
              <w:jc w:val="center"/>
              <w:ind w:right="272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40" w:top="1413" w:right="559" w:bottom="1440" w:gutter="0" w:footer="0" w:header="0"/>
        </w:sectPr>
      </w:pPr>
    </w:p>
    <w:bookmarkStart w:id="213" w:name="page214"/>
    <w:bookmarkEnd w:id="21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14, 2019</w:t>
            </w:r>
          </w:p>
        </w:tc>
        <w:tc>
          <w:tcPr>
            <w:tcW w:w="0" w:type="dxa"/>
            <w:vAlign w:val="bottom"/>
          </w:tcPr>
          <w:p>
            <w:pPr>
              <w:spacing w:after="0"/>
              <w:rPr>
                <w:sz w:val="1"/>
                <w:szCs w:val="1"/>
                <w:color w:val="auto"/>
              </w:rPr>
            </w:pPr>
          </w:p>
        </w:tc>
      </w:tr>
      <w:tr>
        <w:trPr>
          <w:trHeight w:val="214"/>
        </w:trPr>
        <w:tc>
          <w:tcPr>
            <w:tcW w:w="8020" w:type="dxa"/>
            <w:vAlign w:val="bottom"/>
            <w:tcBorders>
              <w:top w:val="single" w:sz="8" w:color="CCEEFF"/>
            </w:tcBorders>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 1,000 shares authorized, none issued and outstanding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$0.01 per share, 1,000 shares authorized, 100 issued and outstanding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80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8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Stockholder’s Equity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13" w:right="339" w:bottom="1440" w:gutter="0" w:footer="0" w:header="0"/>
        </w:sectPr>
      </w:pPr>
    </w:p>
    <w:bookmarkStart w:id="216" w:name="page217"/>
    <w:bookmarkEnd w:id="216"/>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DiscoverOrg Holdings,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802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28"/>
        </w:trPr>
        <w:tc>
          <w:tcPr>
            <w:tcW w:w="8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1,561.9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8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30"/>
        </w:trPr>
        <w:tc>
          <w:tcPr>
            <w:tcW w:w="80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Liabilities, Series A Preferred Units, and Members' Deficit</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129"/>
        </w:trPr>
        <w:tc>
          <w:tcPr>
            <w:tcW w:w="8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w:t>
            </w:r>
          </w:p>
        </w:tc>
      </w:tr>
      <w:tr>
        <w:trPr>
          <w:trHeight w:val="128"/>
        </w:trPr>
        <w:tc>
          <w:tcPr>
            <w:tcW w:w="8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49"/>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deficit: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Members' equity (deficit)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equity (deficit)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196"/>
        </w:trPr>
        <w:tc>
          <w:tcPr>
            <w:tcW w:w="80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Series A Preferred Units, and Members' Deficit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1,561.9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40"/>
          </w:cols>
          <w:pgMar w:left="320" w:top="1440" w:right="339" w:bottom="1440" w:gutter="0" w:footer="0" w:header="0"/>
          <w:type w:val="continuous"/>
        </w:sectPr>
      </w:pPr>
    </w:p>
    <w:bookmarkStart w:id="218" w:name="page219"/>
    <w:bookmarkEnd w:id="218"/>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8"/>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3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50"/>
        </w:trPr>
        <w:tc>
          <w:tcPr>
            <w:tcW w:w="340" w:type="dxa"/>
            <w:vAlign w:val="bottom"/>
            <w:shd w:val="clear" w:color="auto" w:fill="CCEEFF"/>
          </w:tcPr>
          <w:p>
            <w:pPr>
              <w:spacing w:after="0"/>
              <w:rPr>
                <w:sz w:val="21"/>
                <w:szCs w:val="21"/>
                <w:color w:val="auto"/>
              </w:rPr>
            </w:pPr>
          </w:p>
        </w:tc>
        <w:tc>
          <w:tcPr>
            <w:tcW w:w="44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0"/>
        </w:trPr>
        <w:tc>
          <w:tcPr>
            <w:tcW w:w="34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00" w:type="dxa"/>
            <w:vAlign w:val="bottom"/>
            <w:gridSpan w:val="2"/>
            <w:vMerge w:val="continue"/>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Amounts include equity-based compensation expense, as follows:</w:t>
            </w: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80" w:type="dxa"/>
            <w:vAlign w:val="bottom"/>
            <w:gridSpan w:val="3"/>
          </w:tcPr>
          <w:p>
            <w:pPr>
              <w:jc w:val="right"/>
              <w:ind w:right="2550"/>
              <w:spacing w:after="0"/>
              <w:rPr>
                <w:sz w:val="20"/>
                <w:szCs w:val="20"/>
                <w:color w:val="auto"/>
              </w:rPr>
            </w:pPr>
            <w:r>
              <w:rPr>
                <w:rFonts w:ascii="Times New Roman" w:cs="Times New Roman" w:eastAsia="Times New Roman" w:hAnsi="Times New Roman"/>
                <w:sz w:val="18"/>
                <w:szCs w:val="18"/>
                <w:color w:val="auto"/>
              </w:rPr>
              <w:t>F-7</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9" w:name="page220"/>
    <w:bookmarkEnd w:id="219"/>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8"/>
        </w:trPr>
        <w:tc>
          <w:tcPr>
            <w:tcW w:w="460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interest rate swaps</w:t>
            </w:r>
          </w:p>
        </w:tc>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600" w:type="dxa"/>
            <w:vAlign w:val="bottom"/>
          </w:tcPr>
          <w:p>
            <w:pPr>
              <w:spacing w:after="0"/>
              <w:rPr>
                <w:sz w:val="24"/>
                <w:szCs w:val="24"/>
                <w:color w:val="auto"/>
              </w:rPr>
            </w:pPr>
          </w:p>
        </w:tc>
        <w:tc>
          <w:tcPr>
            <w:tcW w:w="4420" w:type="dxa"/>
            <w:vAlign w:val="bottom"/>
            <w:gridSpan w:val="2"/>
          </w:tcPr>
          <w:p>
            <w:pPr>
              <w:jc w:val="right"/>
              <w:ind w:right="3199"/>
              <w:spacing w:after="0"/>
              <w:rPr>
                <w:sz w:val="20"/>
                <w:szCs w:val="20"/>
                <w:color w:val="auto"/>
              </w:rPr>
            </w:pPr>
            <w:r>
              <w:rPr>
                <w:rFonts w:ascii="Times New Roman" w:cs="Times New Roman" w:eastAsia="Times New Roman" w:hAnsi="Times New Roman"/>
                <w:sz w:val="18"/>
                <w:szCs w:val="18"/>
                <w:color w:val="auto"/>
              </w:rPr>
              <w:t>F-8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20" w:name="page221"/>
    <w:bookmarkEnd w:id="220"/>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180" w:type="dxa"/>
            <w:vAlign w:val="bottom"/>
          </w:tcPr>
          <w:p>
            <w:pPr>
              <w:spacing w:after="0"/>
              <w:rPr>
                <w:sz w:val="13"/>
                <w:szCs w:val="13"/>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Members’ Deficit</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unit repurchases</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unit repurchases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adoption of new accounting standard (ASC 842)</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80" w:type="dxa"/>
            <w:vAlign w:val="bottom"/>
          </w:tcPr>
          <w:p>
            <w:pPr>
              <w:spacing w:after="0"/>
              <w:rPr>
                <w:sz w:val="24"/>
                <w:szCs w:val="24"/>
                <w:color w:val="auto"/>
              </w:rPr>
            </w:pPr>
          </w:p>
        </w:tc>
        <w:tc>
          <w:tcPr>
            <w:tcW w:w="13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F-9</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1" w:name="page222"/>
    <w:bookmarkEnd w:id="221"/>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Asset impairments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Paid-in-kind (PIK) accrued interest</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 receivable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Related party receivable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Unearned revenue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95"/>
        </w:trPr>
        <w:tc>
          <w:tcPr>
            <w:tcW w:w="8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95"/>
        </w:trPr>
        <w:tc>
          <w:tcPr>
            <w:tcW w:w="80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preferred unit offering, net of transaction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members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1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95"/>
        </w:trPr>
        <w:tc>
          <w:tcPr>
            <w:tcW w:w="80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75"/>
        </w:trPr>
        <w:tc>
          <w:tcPr>
            <w:tcW w:w="80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 in cash:</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108"/>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and variable consideration from acquisition of a business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unit repurchases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240"/>
          </w:cols>
          <w:pgMar w:left="320" w:top="1440" w:right="339" w:bottom="1440" w:gutter="0" w:footer="0" w:header="0"/>
          <w:type w:val="continuous"/>
        </w:sectPr>
      </w:pPr>
    </w:p>
    <w:bookmarkStart w:id="222" w:name="page223"/>
    <w:bookmarkEnd w:id="22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DiscoverOrg Holdings, LLC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millions, except unit counts,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23">
              <w:r>
                <w:rPr>
                  <w:rFonts w:ascii="Times New Roman" w:cs="Times New Roman" w:eastAsia="Times New Roman" w:hAnsi="Times New Roman"/>
                  <w:sz w:val="18"/>
                  <w:szCs w:val="18"/>
                  <w:u w:val="single" w:color="auto"/>
                  <w:color w:val="0000FF"/>
                </w:rPr>
                <w:t>Note 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23">
              <w:r>
                <w:rPr>
                  <w:rFonts w:ascii="Times New Roman" w:cs="Times New Roman" w:eastAsia="Times New Roman" w:hAnsi="Times New Roman"/>
                  <w:sz w:val="18"/>
                  <w:szCs w:val="18"/>
                  <w:u w:val="single" w:color="auto"/>
                  <w:color w:val="0000FF"/>
                </w:rPr>
                <w:t>Organization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23">
              <w:r>
                <w:rPr>
                  <w:rFonts w:ascii="Times New Roman" w:cs="Times New Roman" w:eastAsia="Times New Roman" w:hAnsi="Times New Roman"/>
                  <w:sz w:val="18"/>
                  <w:szCs w:val="18"/>
                  <w:color w:val="auto"/>
                  <w:w w:val="93"/>
                </w:rPr>
                <w:t>F-12</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24">
              <w:r>
                <w:rPr>
                  <w:rFonts w:ascii="Times New Roman" w:cs="Times New Roman" w:eastAsia="Times New Roman" w:hAnsi="Times New Roman"/>
                  <w:sz w:val="18"/>
                  <w:szCs w:val="18"/>
                  <w:u w:val="single" w:color="auto"/>
                  <w:color w:val="0000FF"/>
                </w:rPr>
                <w:t>Note 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24">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24">
              <w:r>
                <w:rPr>
                  <w:rFonts w:ascii="Times New Roman" w:cs="Times New Roman" w:eastAsia="Times New Roman" w:hAnsi="Times New Roman"/>
                  <w:sz w:val="18"/>
                  <w:szCs w:val="18"/>
                  <w:color w:val="auto"/>
                  <w:w w:val="93"/>
                </w:rPr>
                <w:t>F-12</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2">
              <w:r>
                <w:rPr>
                  <w:rFonts w:ascii="Times New Roman" w:cs="Times New Roman" w:eastAsia="Times New Roman" w:hAnsi="Times New Roman"/>
                  <w:sz w:val="18"/>
                  <w:szCs w:val="18"/>
                  <w:u w:val="single" w:color="auto"/>
                  <w:color w:val="0000FF"/>
                </w:rPr>
                <w:t>Note 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2">
              <w:r>
                <w:rPr>
                  <w:rFonts w:ascii="Times New Roman" w:cs="Times New Roman" w:eastAsia="Times New Roman" w:hAnsi="Times New Roman"/>
                  <w:sz w:val="18"/>
                  <w:szCs w:val="18"/>
                  <w:u w:val="single" w:color="auto"/>
                  <w:color w:val="0000FF"/>
                </w:rPr>
                <w:t>Revenue from Contracts with Customers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2">
              <w:r>
                <w:rPr>
                  <w:rFonts w:ascii="Times New Roman" w:cs="Times New Roman" w:eastAsia="Times New Roman" w:hAnsi="Times New Roman"/>
                  <w:sz w:val="18"/>
                  <w:szCs w:val="18"/>
                  <w:color w:val="auto"/>
                  <w:w w:val="93"/>
                </w:rPr>
                <w:t>F-20</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3">
              <w:r>
                <w:rPr>
                  <w:rFonts w:ascii="Times New Roman" w:cs="Times New Roman" w:eastAsia="Times New Roman" w:hAnsi="Times New Roman"/>
                  <w:sz w:val="18"/>
                  <w:szCs w:val="18"/>
                  <w:u w:val="single" w:color="auto"/>
                  <w:color w:val="0000FF"/>
                </w:rPr>
                <w:t>Note 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3">
              <w:r>
                <w:rPr>
                  <w:rFonts w:ascii="Times New Roman" w:cs="Times New Roman" w:eastAsia="Times New Roman" w:hAnsi="Times New Roman"/>
                  <w:sz w:val="18"/>
                  <w:szCs w:val="18"/>
                  <w:u w:val="single" w:color="auto"/>
                  <w:color w:val="0000FF"/>
                </w:rPr>
                <w:t>Business Combinations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3">
              <w:r>
                <w:rPr>
                  <w:rFonts w:ascii="Times New Roman" w:cs="Times New Roman" w:eastAsia="Times New Roman" w:hAnsi="Times New Roman"/>
                  <w:sz w:val="18"/>
                  <w:szCs w:val="18"/>
                  <w:color w:val="auto"/>
                  <w:w w:val="93"/>
                </w:rPr>
                <w:t>F-21</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Note 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Property and Equipment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7">
              <w:r>
                <w:rPr>
                  <w:rFonts w:ascii="Times New Roman" w:cs="Times New Roman" w:eastAsia="Times New Roman" w:hAnsi="Times New Roman"/>
                  <w:sz w:val="18"/>
                  <w:szCs w:val="18"/>
                  <w:color w:val="auto"/>
                  <w:w w:val="93"/>
                </w:rPr>
                <w:t>F-25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Note 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Goodwill and Acquired Intangible Assets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7">
              <w:r>
                <w:rPr>
                  <w:rFonts w:ascii="Times New Roman" w:cs="Times New Roman" w:eastAsia="Times New Roman" w:hAnsi="Times New Roman"/>
                  <w:sz w:val="18"/>
                  <w:szCs w:val="18"/>
                  <w:color w:val="auto"/>
                  <w:w w:val="93"/>
                </w:rPr>
                <w:t>F-26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9">
              <w:r>
                <w:rPr>
                  <w:rFonts w:ascii="Times New Roman" w:cs="Times New Roman" w:eastAsia="Times New Roman" w:hAnsi="Times New Roman"/>
                  <w:sz w:val="18"/>
                  <w:szCs w:val="18"/>
                  <w:u w:val="single" w:color="auto"/>
                  <w:color w:val="0000FF"/>
                </w:rPr>
                <w:t>Note 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9">
              <w:r>
                <w:rPr>
                  <w:rFonts w:ascii="Times New Roman" w:cs="Times New Roman" w:eastAsia="Times New Roman" w:hAnsi="Times New Roman"/>
                  <w:sz w:val="18"/>
                  <w:szCs w:val="18"/>
                  <w:u w:val="single" w:color="auto"/>
                  <w:color w:val="0000FF"/>
                </w:rPr>
                <w:t>Financing Arrangements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9">
              <w:r>
                <w:rPr>
                  <w:rFonts w:ascii="Times New Roman" w:cs="Times New Roman" w:eastAsia="Times New Roman" w:hAnsi="Times New Roman"/>
                  <w:sz w:val="18"/>
                  <w:szCs w:val="18"/>
                  <w:color w:val="auto"/>
                  <w:w w:val="93"/>
                </w:rPr>
                <w:t>F-27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1">
              <w:r>
                <w:rPr>
                  <w:rFonts w:ascii="Times New Roman" w:cs="Times New Roman" w:eastAsia="Times New Roman" w:hAnsi="Times New Roman"/>
                  <w:sz w:val="18"/>
                  <w:szCs w:val="18"/>
                  <w:u w:val="single" w:color="auto"/>
                  <w:color w:val="0000FF"/>
                </w:rPr>
                <w:t>Note 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1">
              <w:r>
                <w:rPr>
                  <w:rFonts w:ascii="Times New Roman" w:cs="Times New Roman" w:eastAsia="Times New Roman" w:hAnsi="Times New Roman"/>
                  <w:sz w:val="18"/>
                  <w:szCs w:val="18"/>
                  <w:u w:val="single" w:color="auto"/>
                  <w:color w:val="0000FF"/>
                </w:rPr>
                <w:t>Derivatives and Hedging Activities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1">
              <w:r>
                <w:rPr>
                  <w:rFonts w:ascii="Times New Roman" w:cs="Times New Roman" w:eastAsia="Times New Roman" w:hAnsi="Times New Roman"/>
                  <w:sz w:val="18"/>
                  <w:szCs w:val="18"/>
                  <w:color w:val="auto"/>
                  <w:w w:val="93"/>
                </w:rPr>
                <w:t>F-29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Note 9</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Fair Value Measurements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2">
              <w:r>
                <w:rPr>
                  <w:rFonts w:ascii="Times New Roman" w:cs="Times New Roman" w:eastAsia="Times New Roman" w:hAnsi="Times New Roman"/>
                  <w:sz w:val="18"/>
                  <w:szCs w:val="18"/>
                  <w:color w:val="auto"/>
                  <w:w w:val="93"/>
                </w:rPr>
                <w:t>F-30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Note 10</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Commitments and Contingencies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4">
              <w:r>
                <w:rPr>
                  <w:rFonts w:ascii="Times New Roman" w:cs="Times New Roman" w:eastAsia="Times New Roman" w:hAnsi="Times New Roman"/>
                  <w:sz w:val="18"/>
                  <w:szCs w:val="18"/>
                  <w:color w:val="auto"/>
                  <w:w w:val="93"/>
                </w:rPr>
                <w:t>F-32</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Note 11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Leases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4">
              <w:r>
                <w:rPr>
                  <w:rFonts w:ascii="Times New Roman" w:cs="Times New Roman" w:eastAsia="Times New Roman" w:hAnsi="Times New Roman"/>
                  <w:sz w:val="18"/>
                  <w:szCs w:val="18"/>
                  <w:color w:val="auto"/>
                  <w:w w:val="93"/>
                </w:rPr>
                <w:t>F-33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6">
              <w:r>
                <w:rPr>
                  <w:rFonts w:ascii="Times New Roman" w:cs="Times New Roman" w:eastAsia="Times New Roman" w:hAnsi="Times New Roman"/>
                  <w:sz w:val="18"/>
                  <w:szCs w:val="18"/>
                  <w:u w:val="single" w:color="auto"/>
                  <w:color w:val="0000FF"/>
                </w:rPr>
                <w:t>Note 12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6">
              <w:r>
                <w:rPr>
                  <w:rFonts w:ascii="Times New Roman" w:cs="Times New Roman" w:eastAsia="Times New Roman" w:hAnsi="Times New Roman"/>
                  <w:sz w:val="18"/>
                  <w:szCs w:val="18"/>
                  <w:u w:val="single" w:color="auto"/>
                  <w:color w:val="0000FF"/>
                </w:rPr>
                <w:t>Members’ Deficit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6">
              <w:r>
                <w:rPr>
                  <w:rFonts w:ascii="Times New Roman" w:cs="Times New Roman" w:eastAsia="Times New Roman" w:hAnsi="Times New Roman"/>
                  <w:sz w:val="18"/>
                  <w:szCs w:val="18"/>
                  <w:color w:val="auto"/>
                  <w:w w:val="93"/>
                </w:rPr>
                <w:t>F-34</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7">
              <w:r>
                <w:rPr>
                  <w:rFonts w:ascii="Times New Roman" w:cs="Times New Roman" w:eastAsia="Times New Roman" w:hAnsi="Times New Roman"/>
                  <w:sz w:val="18"/>
                  <w:szCs w:val="18"/>
                  <w:u w:val="single" w:color="auto"/>
                  <w:color w:val="0000FF"/>
                </w:rPr>
                <w:t>Note 13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7">
              <w:r>
                <w:rPr>
                  <w:rFonts w:ascii="Times New Roman" w:cs="Times New Roman" w:eastAsia="Times New Roman" w:hAnsi="Times New Roman"/>
                  <w:sz w:val="18"/>
                  <w:szCs w:val="18"/>
                  <w:u w:val="single" w:color="auto"/>
                  <w:color w:val="0000FF"/>
                </w:rPr>
                <w:t>Redeemable Series A Preferred Units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7">
              <w:r>
                <w:rPr>
                  <w:rFonts w:ascii="Times New Roman" w:cs="Times New Roman" w:eastAsia="Times New Roman" w:hAnsi="Times New Roman"/>
                  <w:sz w:val="18"/>
                  <w:szCs w:val="18"/>
                  <w:color w:val="auto"/>
                  <w:w w:val="93"/>
                </w:rPr>
                <w:t>F-35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8">
              <w:r>
                <w:rPr>
                  <w:rFonts w:ascii="Times New Roman" w:cs="Times New Roman" w:eastAsia="Times New Roman" w:hAnsi="Times New Roman"/>
                  <w:sz w:val="18"/>
                  <w:szCs w:val="18"/>
                  <w:u w:val="single" w:color="auto"/>
                  <w:color w:val="0000FF"/>
                </w:rPr>
                <w:t>Note 14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8">
              <w:r>
                <w:rPr>
                  <w:rFonts w:ascii="Times New Roman" w:cs="Times New Roman" w:eastAsia="Times New Roman" w:hAnsi="Times New Roman"/>
                  <w:sz w:val="18"/>
                  <w:szCs w:val="18"/>
                  <w:u w:val="single" w:color="auto"/>
                  <w:color w:val="0000FF"/>
                </w:rPr>
                <w:t>Employee Retirement Benefits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8">
              <w:r>
                <w:rPr>
                  <w:rFonts w:ascii="Times New Roman" w:cs="Times New Roman" w:eastAsia="Times New Roman" w:hAnsi="Times New Roman"/>
                  <w:sz w:val="18"/>
                  <w:szCs w:val="18"/>
                  <w:color w:val="auto"/>
                  <w:w w:val="93"/>
                </w:rPr>
                <w:t>F-36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8">
              <w:r>
                <w:rPr>
                  <w:rFonts w:ascii="Times New Roman" w:cs="Times New Roman" w:eastAsia="Times New Roman" w:hAnsi="Times New Roman"/>
                  <w:sz w:val="18"/>
                  <w:szCs w:val="18"/>
                  <w:u w:val="single" w:color="auto"/>
                  <w:color w:val="0000FF"/>
                </w:rPr>
                <w:t>Note 15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8">
              <w:r>
                <w:rPr>
                  <w:rFonts w:ascii="Times New Roman" w:cs="Times New Roman" w:eastAsia="Times New Roman" w:hAnsi="Times New Roman"/>
                  <w:sz w:val="18"/>
                  <w:szCs w:val="18"/>
                  <w:u w:val="single" w:color="auto"/>
                  <w:color w:val="0000FF"/>
                </w:rPr>
                <w:t>Equity-Based Compensation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8">
              <w:r>
                <w:rPr>
                  <w:rFonts w:ascii="Times New Roman" w:cs="Times New Roman" w:eastAsia="Times New Roman" w:hAnsi="Times New Roman"/>
                  <w:sz w:val="18"/>
                  <w:szCs w:val="18"/>
                  <w:color w:val="auto"/>
                  <w:w w:val="93"/>
                </w:rPr>
                <w:t>F-36</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0">
              <w:r>
                <w:rPr>
                  <w:rFonts w:ascii="Times New Roman" w:cs="Times New Roman" w:eastAsia="Times New Roman" w:hAnsi="Times New Roman"/>
                  <w:sz w:val="18"/>
                  <w:szCs w:val="18"/>
                  <w:u w:val="single" w:color="auto"/>
                  <w:color w:val="0000FF"/>
                </w:rPr>
                <w:t>Note 16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0">
              <w:r>
                <w:rPr>
                  <w:rFonts w:ascii="Times New Roman" w:cs="Times New Roman" w:eastAsia="Times New Roman" w:hAnsi="Times New Roman"/>
                  <w:sz w:val="18"/>
                  <w:szCs w:val="18"/>
                  <w:u w:val="single" w:color="auto"/>
                  <w:color w:val="0000FF"/>
                </w:rPr>
                <w:t>Segment and Geographic Data</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0">
              <w:r>
                <w:rPr>
                  <w:rFonts w:ascii="Times New Roman" w:cs="Times New Roman" w:eastAsia="Times New Roman" w:hAnsi="Times New Roman"/>
                  <w:sz w:val="18"/>
                  <w:szCs w:val="18"/>
                  <w:color w:val="auto"/>
                  <w:w w:val="93"/>
                </w:rPr>
                <w:t>F-38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0">
              <w:r>
                <w:rPr>
                  <w:rFonts w:ascii="Times New Roman" w:cs="Times New Roman" w:eastAsia="Times New Roman" w:hAnsi="Times New Roman"/>
                  <w:sz w:val="18"/>
                  <w:szCs w:val="18"/>
                  <w:u w:val="single" w:color="auto"/>
                  <w:color w:val="0000FF"/>
                </w:rPr>
                <w:t>Note 17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0">
              <w:r>
                <w:rPr>
                  <w:rFonts w:ascii="Times New Roman" w:cs="Times New Roman" w:eastAsia="Times New Roman" w:hAnsi="Times New Roman"/>
                  <w:sz w:val="18"/>
                  <w:szCs w:val="18"/>
                  <w:u w:val="single" w:color="auto"/>
                  <w:color w:val="0000FF"/>
                </w:rPr>
                <w:t>Income Tax Provision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0">
              <w:r>
                <w:rPr>
                  <w:rFonts w:ascii="Times New Roman" w:cs="Times New Roman" w:eastAsia="Times New Roman" w:hAnsi="Times New Roman"/>
                  <w:sz w:val="18"/>
                  <w:szCs w:val="18"/>
                  <w:color w:val="auto"/>
                  <w:w w:val="93"/>
                </w:rPr>
                <w:t>F-39</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2">
              <w:r>
                <w:rPr>
                  <w:rFonts w:ascii="Times New Roman" w:cs="Times New Roman" w:eastAsia="Times New Roman" w:hAnsi="Times New Roman"/>
                  <w:sz w:val="18"/>
                  <w:szCs w:val="18"/>
                  <w:u w:val="single" w:color="auto"/>
                  <w:color w:val="0000FF"/>
                </w:rPr>
                <w:t>Note 18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2">
              <w:r>
                <w:rPr>
                  <w:rFonts w:ascii="Times New Roman" w:cs="Times New Roman" w:eastAsia="Times New Roman" w:hAnsi="Times New Roman"/>
                  <w:sz w:val="18"/>
                  <w:szCs w:val="18"/>
                  <w:u w:val="single" w:color="auto"/>
                  <w:color w:val="0000FF"/>
                </w:rPr>
                <w:t>Subsequent Events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2">
              <w:r>
                <w:rPr>
                  <w:rFonts w:ascii="Times New Roman" w:cs="Times New Roman" w:eastAsia="Times New Roman" w:hAnsi="Times New Roman"/>
                  <w:sz w:val="18"/>
                  <w:szCs w:val="18"/>
                  <w:color w:val="auto"/>
                  <w:w w:val="93"/>
                </w:rPr>
                <w:t>F-41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0"/>
          </w:cols>
          <w:pgMar w:left="340" w:top="1413" w:right="5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in Vancouver, Washington, with operations in seven offices throughout the United States (“U.S.”) and one office in Israel.</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2" w:lineRule="exact"/>
        <w:rPr>
          <w:sz w:val="20"/>
          <w:szCs w:val="20"/>
          <w:color w:val="auto"/>
        </w:rPr>
      </w:pPr>
    </w:p>
    <w:p>
      <w:pPr>
        <w:ind w:right="52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(“Topic 606”), effective January 1, 2018, using the full retrospective method of adoption as if the adoption occurred on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2017. As such, the consolidated financial statements present revenue in accordance with Topic 606 for all the periods presented.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identify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13"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ind w:left="640" w:hanging="308"/>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of highly liquid investments with maturities of three months or less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846"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2019 and 2018, revenue by geographic area, based on billing addresses of the customers, was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6"/>
                <w:szCs w:val="16"/>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single foreign country and no single customer represented more than 10% of the Company’s revenues in any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Contract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846"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commissions are not capitalized as they do not represent incremental costs of obtaining a contract. Such commissions are expensed as incurred.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in accordance with ASC 720-35, </w:t>
      </w:r>
      <w:r>
        <w:rPr>
          <w:rFonts w:ascii="Times New Roman" w:cs="Times New Roman" w:eastAsia="Times New Roman" w:hAnsi="Times New Roman"/>
          <w:sz w:val="18"/>
          <w:szCs w:val="18"/>
          <w:i w:val="1"/>
          <w:iCs w:val="1"/>
          <w:color w:val="auto"/>
        </w:rPr>
        <w:t>Other Expenses - Advertising Cost</w:t>
      </w:r>
      <w:r>
        <w:rPr>
          <w:rFonts w:ascii="Times New Roman" w:cs="Times New Roman" w:eastAsia="Times New Roman" w:hAnsi="Times New Roman"/>
          <w:sz w:val="18"/>
          <w:szCs w:val="18"/>
          <w:color w:val="auto"/>
        </w:rPr>
        <w:t>. Advertising expenses of $9.8 million and $2.5 million for the years ended December 31, 2019 and 2018, respectively, are included in sales and marketing on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research and development costs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 Related Expenses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846"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Acquired technology, customer lists, trade names or brand portfolios, and other intangible assets are related to previous acquisitions (see </w:t>
      </w:r>
      <w:r>
        <w:rPr>
          <w:rFonts w:ascii="Times New Roman" w:cs="Times New Roman" w:eastAsia="Times New Roman" w:hAnsi="Times New Roman"/>
          <w:sz w:val="18"/>
          <w:szCs w:val="18"/>
          <w:b w:val="1"/>
          <w:bCs w:val="1"/>
          <w:color w:val="auto"/>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Goodwill and Acquired Intangible Assets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Pre-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846"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Acquisition ZI acquisition (refer to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No impairment charges were recorded during the year ended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2019 and 2018, include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Accrued salaries, wages, and benefits</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 million of deferred consideration relating to the ZoomInfo acquisition.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to identify, evaluate and measure all uncertain tax positions taken or to be taken on tax returns and to record liabilities for the amount of these positions that may not be sustained, or may only partially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846"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incentive units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Times New Roman" w:cs="Times New Roman" w:eastAsia="Times New Roman" w:hAnsi="Times New Roman"/>
          <w:sz w:val="18"/>
          <w:szCs w:val="18"/>
          <w:i w:val="1"/>
          <w:iCs w:val="1"/>
          <w:color w:val="auto"/>
        </w:rPr>
        <w:t>Compensation - Stock Compensation (Topic 718) - Improvements to Nonemployee Share-Based Payment Accounting,</w:t>
      </w:r>
      <w:r>
        <w:rPr>
          <w:rFonts w:ascii="Times New Roman" w:cs="Times New Roman" w:eastAsia="Times New Roman" w:hAnsi="Times New Roman"/>
          <w:sz w:val="18"/>
          <w:szCs w:val="18"/>
          <w:color w:val="auto"/>
        </w:rPr>
        <w:t xml:space="preserve"> on January 1, 2019, the Company measured the fair value of stock-based awards granted to non-employees in accordance with ASC 505-50-25, </w:t>
      </w:r>
      <w:r>
        <w:rPr>
          <w:rFonts w:ascii="Times New Roman" w:cs="Times New Roman" w:eastAsia="Times New Roman" w:hAnsi="Times New Roman"/>
          <w:sz w:val="18"/>
          <w:szCs w:val="18"/>
          <w:i w:val="1"/>
          <w:iCs w:val="1"/>
          <w:color w:val="auto"/>
        </w:rPr>
        <w:t>Equity Based Payments to Non-Employees</w:t>
      </w:r>
      <w:r>
        <w:rPr>
          <w:rFonts w:ascii="Times New Roman" w:cs="Times New Roman" w:eastAsia="Times New Roman" w:hAnsi="Times New Roman"/>
          <w:sz w:val="18"/>
          <w:szCs w:val="18"/>
          <w:color w:val="auto"/>
        </w:rPr>
        <w:t>, which required the measurement and recognition of compensation expense for all equity-based payment awards made to non-employees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No. 2017-12, </w:t>
      </w:r>
      <w:r>
        <w:rPr>
          <w:rFonts w:ascii="Times New Roman" w:cs="Times New Roman" w:eastAsia="Times New Roman" w:hAnsi="Times New Roman"/>
          <w:sz w:val="18"/>
          <w:szCs w:val="18"/>
          <w:i w:val="1"/>
          <w:iCs w:val="1"/>
          <w:color w:val="auto"/>
        </w:rPr>
        <w:t>Derivatives and Hedging (Topic 815), Targeted Improvements to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Activities </w:t>
      </w:r>
      <w:r>
        <w:rPr>
          <w:rFonts w:ascii="Times New Roman" w:cs="Times New Roman" w:eastAsia="Times New Roman" w:hAnsi="Times New Roman"/>
          <w:sz w:val="18"/>
          <w:szCs w:val="18"/>
          <w:color w:val="auto"/>
        </w:rPr>
        <w:t>(ASU 2017-12) on a prospective basis. The new guidance eliminates the requirement to separately measure and report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ineffectiveness and, for qualifying hedges, requires the entire change in the fair value of the hedging instrument to be presented in the same income statement line as the hedged item. The Company’s hedges, consisting of our interest rate swaps and interest rate cap,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846"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are fully effective. Therefore, adoption of ASU 2017-12 did not have any impact on the Company’s financial statements. See </w:t>
      </w:r>
      <w:r>
        <w:rPr>
          <w:rFonts w:ascii="Times New Roman" w:cs="Times New Roman" w:eastAsia="Times New Roman" w:hAnsi="Times New Roman"/>
          <w:sz w:val="18"/>
          <w:szCs w:val="18"/>
          <w:b w:val="1"/>
          <w:bCs w:val="1"/>
          <w:color w:val="auto"/>
        </w:rPr>
        <w:t>Note 8 -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Hedging Activities </w:t>
      </w:r>
      <w:r>
        <w:rPr>
          <w:rFonts w:ascii="Times New Roman" w:cs="Times New Roman" w:eastAsia="Times New Roman" w:hAnsi="Times New Roman"/>
          <w:sz w:val="18"/>
          <w:szCs w:val="18"/>
          <w:color w:val="auto"/>
        </w:rPr>
        <w:t>for the disclosures required by ASU 2017-12.</w:t>
      </w:r>
    </w:p>
    <w:p>
      <w:pPr>
        <w:spacing w:after="0" w:line="1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This update expands the scope of Topic 718, “Compensation - Stock Compensation,” to include equity-based awards granted to 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(“ASU 2018-15”) which aligns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the measurement and recognition of expected credit losses for financial assets held at amortized cost. It also eliminates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2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846"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disclosures. ASU No. 2018-13 is effective for fiscal years beginning after December 15, 2019 and interim periods within those fiscal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the adoption of ASU No. 2018-13 to have a significant impact on its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comprised the following service offerings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intelligence tools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Email verification service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846"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36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2018</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2019</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266.6</w:t>
            </w:r>
          </w:p>
        </w:tc>
        <w:tc>
          <w:tcPr>
            <w:tcW w:w="100" w:type="dxa"/>
            <w:vAlign w:val="bottom"/>
          </w:tcPr>
          <w:p>
            <w:pPr>
              <w:spacing w:after="0"/>
              <w:rPr>
                <w:sz w:val="20"/>
                <w:szCs w:val="20"/>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74.1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2.4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2.2</w:t>
            </w:r>
          </w:p>
        </w:tc>
      </w:tr>
      <w:tr>
        <w:trPr>
          <w:trHeight w:val="230"/>
        </w:trPr>
        <w:tc>
          <w:tcPr>
            <w:tcW w:w="9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6.3</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8.5</w:t>
            </w:r>
          </w:p>
        </w:tc>
      </w:tr>
      <w:tr>
        <w:trPr>
          <w:trHeight w:val="230"/>
        </w:trPr>
        <w:tc>
          <w:tcPr>
            <w:tcW w:w="9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846"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8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5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5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4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5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5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23"/>
        </w:trPr>
        <w:tc>
          <w:tcPr>
            <w:tcW w:w="4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consideration</w:t>
            </w:r>
          </w:p>
        </w:tc>
        <w:tc>
          <w:tcPr>
            <w:tcW w:w="5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4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acquired</w:t>
            </w:r>
          </w:p>
        </w:tc>
        <w:tc>
          <w:tcPr>
            <w:tcW w:w="5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52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4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4"/>
        </w:trPr>
        <w:tc>
          <w:tcPr>
            <w:tcW w:w="4440" w:type="dxa"/>
            <w:vAlign w:val="bottom"/>
          </w:tcPr>
          <w:p>
            <w:pPr>
              <w:spacing w:after="0"/>
              <w:rPr>
                <w:sz w:val="24"/>
                <w:szCs w:val="24"/>
                <w:color w:val="auto"/>
              </w:rPr>
            </w:pPr>
          </w:p>
        </w:tc>
        <w:tc>
          <w:tcPr>
            <w:tcW w:w="5840" w:type="dxa"/>
            <w:vAlign w:val="bottom"/>
            <w:gridSpan w:val="2"/>
          </w:tcPr>
          <w:p>
            <w:pPr>
              <w:jc w:val="right"/>
              <w:ind w:right="4390"/>
              <w:spacing w:after="0"/>
              <w:rPr>
                <w:sz w:val="20"/>
                <w:szCs w:val="20"/>
                <w:color w:val="auto"/>
              </w:rPr>
            </w:pPr>
            <w:r>
              <w:rPr>
                <w:rFonts w:ascii="Times New Roman" w:cs="Times New Roman" w:eastAsia="Times New Roman" w:hAnsi="Times New Roman"/>
                <w:sz w:val="18"/>
                <w:szCs w:val="18"/>
                <w:color w:val="auto"/>
              </w:rPr>
              <w:t>F-22</w:t>
            </w:r>
          </w:p>
        </w:tc>
        <w:tc>
          <w:tcPr>
            <w:tcW w:w="960" w:type="dxa"/>
            <w:vAlign w:val="bottom"/>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846"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revenue and earnings of the combined entity had the acquisition date been January 1, 2018,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Loss Before Income</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Taxes</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2019 to December 31, 2019</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2018 to December 31, 2018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205.6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NeverBounce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much as $2.0 million. As of December 31, 2019, contingent consideration of $0.4 million had been paid and remaining payments may be up to $1.6 million if all performance criteria are met.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640" w:type="dxa"/>
            <w:vAlign w:val="bottom"/>
          </w:tcPr>
          <w:p>
            <w:pPr>
              <w:spacing w:after="0"/>
              <w:rPr>
                <w:sz w:val="19"/>
                <w:szCs w:val="19"/>
                <w:color w:val="auto"/>
              </w:rPr>
            </w:pP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2.3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Pr>
          <w:p>
            <w:pPr>
              <w:spacing w:after="0"/>
              <w:rPr>
                <w:sz w:val="19"/>
                <w:szCs w:val="19"/>
                <w:color w:val="auto"/>
              </w:rPr>
            </w:pP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&amp; unearned revenue</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3.6</w:t>
            </w:r>
          </w:p>
        </w:tc>
      </w:tr>
      <w:tr>
        <w:trPr>
          <w:trHeight w:val="230"/>
        </w:trPr>
        <w:tc>
          <w:tcPr>
            <w:tcW w:w="9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6.0</w:t>
            </w: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9.6</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846"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are based on management’s estimates and assumptions. The following table sets forth the components of identifiable intangible assets acquired and the estimated useful lives as of the date of acquisition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fixed assets consist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80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$6.1 million and $2.6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846"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2019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was $42.6 million for the year ended December 31, 2019.</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incur cost to renew or extend the term of acquired intangible assets during the years ending December 31, 2019 and 2018.</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2019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 Amortization</w:t>
            </w:r>
          </w:p>
        </w:tc>
      </w:tr>
      <w:tr>
        <w:trPr>
          <w:trHeight w:val="189"/>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9680" w:type="dxa"/>
            <w:vAlign w:val="bottom"/>
          </w:tcPr>
          <w:p>
            <w:pPr>
              <w:jc w:val="right"/>
              <w:ind w:right="909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9680" w:type="dxa"/>
            <w:vAlign w:val="bottom"/>
            <w:shd w:val="clear" w:color="auto" w:fill="CCEEFF"/>
          </w:tcPr>
          <w:p>
            <w:pPr>
              <w:jc w:val="right"/>
              <w:ind w:right="90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9680" w:type="dxa"/>
            <w:vAlign w:val="bottom"/>
          </w:tcPr>
          <w:p>
            <w:pPr>
              <w:jc w:val="right"/>
              <w:ind w:right="90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9680" w:type="dxa"/>
            <w:vAlign w:val="bottom"/>
            <w:shd w:val="clear" w:color="auto" w:fill="CCEEFF"/>
          </w:tcPr>
          <w:p>
            <w:pPr>
              <w:jc w:val="right"/>
              <w:ind w:right="90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4"/>
        </w:trPr>
        <w:tc>
          <w:tcPr>
            <w:tcW w:w="9680" w:type="dxa"/>
            <w:vAlign w:val="bottom"/>
          </w:tcPr>
          <w:p>
            <w:pPr>
              <w:jc w:val="right"/>
              <w:ind w:right="90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92"/>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summarizes changes to the Company’s goodwill (in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29"/>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NeverBounce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30"/>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ZoomInfo</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30"/>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Komiko</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2018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$14.7 million for the year ended December 31, 2018. A summary of estimated future amortization expense is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6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2980" w:type="dxa"/>
            <w:vAlign w:val="bottom"/>
          </w:tcPr>
          <w:p>
            <w:pPr>
              <w:spacing w:after="0"/>
              <w:rPr>
                <w:sz w:val="19"/>
                <w:szCs w:val="19"/>
                <w:color w:val="auto"/>
              </w:rPr>
            </w:pPr>
          </w:p>
        </w:tc>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2980" w:type="dxa"/>
            <w:vAlign w:val="bottom"/>
            <w:shd w:val="clear" w:color="auto" w:fill="CCEEFF"/>
          </w:tcPr>
          <w:p>
            <w:pPr>
              <w:spacing w:after="0"/>
              <w:rPr>
                <w:sz w:val="19"/>
                <w:szCs w:val="19"/>
                <w:color w:val="auto"/>
              </w:rPr>
            </w:pPr>
          </w:p>
        </w:tc>
        <w:tc>
          <w:tcPr>
            <w:tcW w:w="6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980" w:type="dxa"/>
            <w:vAlign w:val="bottom"/>
          </w:tcPr>
          <w:p>
            <w:pPr>
              <w:spacing w:after="0"/>
              <w:rPr>
                <w:sz w:val="19"/>
                <w:szCs w:val="19"/>
                <w:color w:val="auto"/>
              </w:rPr>
            </w:pPr>
          </w:p>
        </w:tc>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2980" w:type="dxa"/>
            <w:vAlign w:val="bottom"/>
            <w:shd w:val="clear" w:color="auto" w:fill="CCEEFF"/>
          </w:tcPr>
          <w:p>
            <w:pPr>
              <w:spacing w:after="0"/>
              <w:rPr>
                <w:sz w:val="19"/>
                <w:szCs w:val="19"/>
                <w:color w:val="auto"/>
              </w:rPr>
            </w:pPr>
          </w:p>
        </w:tc>
        <w:tc>
          <w:tcPr>
            <w:tcW w:w="6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298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8"/>
        </w:trPr>
        <w:tc>
          <w:tcPr>
            <w:tcW w:w="29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years ended December 31, 2019 and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w:t>
      </w:r>
      <w:r>
        <w:rPr>
          <w:rFonts w:ascii="Times New Roman" w:cs="Times New Roman" w:eastAsia="Times New Roman" w:hAnsi="Times New Roman"/>
          <w:sz w:val="18"/>
          <w:szCs w:val="18"/>
          <w:b w:val="1"/>
          <w:bCs w:val="1"/>
          <w:color w:val="auto"/>
        </w:rPr>
        <w:t>Note 18 -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regarding a repricing of the first lien debt that occurred subsequent to year end.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second lien debt has a variable interest rate whereby the Company can elect to use a Base Rate or LIBOR plus an applicable rate. The applicable rate is 7.5% for Base Rate loans or 8.5% for LIBOR Based Loans.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846"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8"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2019 and 2018, the carrying values of the Company’s borrowings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Elected Interest Rate</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120" w:type="dxa"/>
            <w:vAlign w:val="bottom"/>
          </w:tcPr>
          <w:p>
            <w:pPr>
              <w:spacing w:after="0"/>
              <w:rPr>
                <w:sz w:val="13"/>
                <w:szCs w:val="13"/>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189"/>
        </w:trPr>
        <w:tc>
          <w:tcPr>
            <w:tcW w:w="308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+ 4.5%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2019</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2024</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2019</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2027</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LIBOR + 8.5%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Antares First Lien Term Loan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2017</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2023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LIBOR + 4.5%</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Goldman Second Lien Term Loan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2016</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2024</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LIBOR + 8.5%</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Term Loan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2017</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2024</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LIBOR + 12.5%</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F-28</w:t>
            </w: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2019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3"/>
                <w:szCs w:val="13"/>
                <w:color w:val="auto"/>
              </w:rPr>
            </w:pPr>
          </w:p>
        </w:tc>
        <w:tc>
          <w:tcPr>
            <w:tcW w:w="13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4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3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19"/>
                <w:szCs w:val="19"/>
                <w:color w:val="auto"/>
              </w:rPr>
            </w:pPr>
          </w:p>
        </w:tc>
        <w:tc>
          <w:tcPr>
            <w:tcW w:w="3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3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3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Antares First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Second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Loan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primarily relating to changes in interest rates as a result of the term loans, which have variable interest rates. Consequently, from time to time, the Company may use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846"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 (continued)</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swaps or other financial instruments to manage the exposure to interest rate movements. The Company does not enter into derivative transactions for speculative or trading purposes.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December 31, 2019, the Company had the following outstanding interest rate derivatives that were designated as cash flow hedges of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2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2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April 30, 2024</w:t>
            </w:r>
          </w:p>
        </w:tc>
        <w:tc>
          <w:tcPr>
            <w:tcW w:w="0" w:type="dxa"/>
            <w:vAlign w:val="bottom"/>
          </w:tcPr>
          <w:p>
            <w:pPr>
              <w:spacing w:after="0"/>
              <w:rPr>
                <w:sz w:val="1"/>
                <w:szCs w:val="1"/>
                <w:color w:val="auto"/>
              </w:rPr>
            </w:pPr>
          </w:p>
        </w:tc>
      </w:tr>
      <w:tr>
        <w:trPr>
          <w:trHeight w:val="23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Two</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2.301 %</w:t>
            </w:r>
          </w:p>
        </w:tc>
        <w:tc>
          <w:tcPr>
            <w:tcW w:w="100" w:type="dxa"/>
            <w:vAlign w:val="bottom"/>
          </w:tcPr>
          <w:p>
            <w:pPr>
              <w:spacing w:after="0"/>
              <w:rPr>
                <w:sz w:val="20"/>
                <w:szCs w:val="20"/>
                <w:color w:val="auto"/>
              </w:rPr>
            </w:pPr>
          </w:p>
        </w:tc>
        <w:tc>
          <w:tcPr>
            <w:tcW w:w="1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consolidated balance sheets for derivatives as of December 31, 2019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r>
      <w:tr>
        <w:trPr>
          <w:trHeight w:val="135"/>
        </w:trPr>
        <w:tc>
          <w:tcPr>
            <w:tcW w:w="9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Recognized in Other</w:t>
            </w:r>
          </w:p>
        </w:tc>
      </w:tr>
      <w:tr>
        <w:trPr>
          <w:trHeight w:val="189"/>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83"/>
        </w:trPr>
        <w:tc>
          <w:tcPr>
            <w:tcW w:w="9440" w:type="dxa"/>
            <w:vAlign w:val="bottom"/>
            <w:gridSpan w:val="2"/>
          </w:tcPr>
          <w:p>
            <w:pPr>
              <w:ind w:left="432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0" w:type="dxa"/>
            <w:vAlign w:val="bottom"/>
          </w:tcPr>
          <w:p>
            <w:pPr>
              <w:spacing w:after="0"/>
              <w:rPr>
                <w:sz w:val="15"/>
                <w:szCs w:val="15"/>
                <w:color w:val="auto"/>
              </w:rPr>
            </w:pPr>
          </w:p>
        </w:tc>
        <w:tc>
          <w:tcPr>
            <w:tcW w:w="17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9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846"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(continued)</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measuring fair value on either a recurring or nonrecurring basis whereby inputs, used in valuation techniques, are assigned a hierarchical level. The following are the hierarchical levels of inputs to measure fair value: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inputs or methodology used for valuing financial assets and liabilities are not necessarily an indication of the risk associated with investing in them.</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disclosures related to our assets and (liabilities) that are measured at fair value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0"/>
                <w:szCs w:val="20"/>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2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2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41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right-of-use assets</w:t>
            </w:r>
          </w:p>
        </w:tc>
        <w:tc>
          <w:tcPr>
            <w:tcW w:w="2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891"/>
        </w:trPr>
        <w:tc>
          <w:tcPr>
            <w:tcW w:w="4120" w:type="dxa"/>
            <w:vAlign w:val="bottom"/>
          </w:tcPr>
          <w:p>
            <w:pPr>
              <w:spacing w:after="0"/>
              <w:rPr>
                <w:sz w:val="24"/>
                <w:szCs w:val="24"/>
                <w:color w:val="auto"/>
              </w:rPr>
            </w:pPr>
          </w:p>
        </w:tc>
        <w:tc>
          <w:tcPr>
            <w:tcW w:w="25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F-31</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(continued)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08"/>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2018</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6680" w:type="dxa"/>
            <w:vAlign w:val="bottom"/>
            <w:gridSpan w:val="3"/>
          </w:tcPr>
          <w:p>
            <w:pPr>
              <w:ind w:left="6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2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680" w:type="dxa"/>
            <w:vAlign w:val="bottom"/>
            <w:gridSpan w:val="3"/>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bl>
    <w:p>
      <w:pPr>
        <w:spacing w:after="0" w:line="14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xml:space="preserve"> for details regarding the Company’s business combination accounted for initially at fair value. See </w:t>
      </w:r>
      <w:r>
        <w:rPr>
          <w:rFonts w:ascii="Times New Roman" w:cs="Times New Roman" w:eastAsia="Times New Roman" w:hAnsi="Times New Roman"/>
          <w:sz w:val="18"/>
          <w:szCs w:val="18"/>
          <w:b w:val="1"/>
          <w:b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Derivatives and Hedging Activities </w:t>
      </w:r>
      <w:r>
        <w:rPr>
          <w:rFonts w:ascii="Times New Roman" w:cs="Times New Roman" w:eastAsia="Times New Roman" w:hAnsi="Times New Roman"/>
          <w:sz w:val="18"/>
          <w:szCs w:val="18"/>
          <w:color w:val="auto"/>
        </w:rPr>
        <w:t>for details regarding the Company’s derivative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use tax </w:t>
      </w:r>
      <w:r>
        <w:rPr>
          <w:rFonts w:ascii="Times New Roman" w:cs="Times New Roman" w:eastAsia="Times New Roman" w:hAnsi="Times New Roman"/>
          <w:sz w:val="18"/>
          <w:szCs w:val="18"/>
          <w:color w:val="auto"/>
        </w:rPr>
        <w:t>- The Company has conducted an assessment of sales and use tax exposure in states where the Company has established nexus.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Contingent earnout payments </w:t>
      </w:r>
      <w:r>
        <w:rPr>
          <w:rFonts w:ascii="Times New Roman" w:cs="Times New Roman" w:eastAsia="Times New Roman" w:hAnsi="Times New Roman"/>
          <w:sz w:val="18"/>
          <w:szCs w:val="18"/>
          <w:color w:val="auto"/>
        </w:rPr>
        <w:t>- The Company is contingently committed to making additional payments of up to $1.6 million and $4.0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the acquisition of NeverBounce and Komiko, respectively. Refer to Note 4 - Business Combinations.</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acquisition related payments - </w:t>
      </w:r>
      <w:r>
        <w:rPr>
          <w:rFonts w:ascii="Times New Roman" w:cs="Times New Roman" w:eastAsia="Times New Roman" w:hAnsi="Times New Roman"/>
          <w:sz w:val="18"/>
          <w:szCs w:val="18"/>
          <w:color w:val="auto"/>
        </w:rPr>
        <w:t>In accordance with the purchase agreement, the Company will pay deferred consideration of $25.0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$10.0 million on the first and second anniversary of the Pre-Acquisition ZI acquisition, respectively. Refer to Note 4 - Business Combinations.</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Series A Preferred Units </w:t>
      </w:r>
      <w:r>
        <w:rPr>
          <w:rFonts w:ascii="Times New Roman" w:cs="Times New Roman" w:eastAsia="Times New Roman" w:hAnsi="Times New Roman"/>
          <w:sz w:val="18"/>
          <w:szCs w:val="18"/>
          <w:color w:val="auto"/>
        </w:rPr>
        <w:t>- The Company has issued Series A Preferred Units which accrue cumulative liquidation preferences. Refer to</w:t>
      </w:r>
      <w:r>
        <w:rPr>
          <w:rFonts w:ascii="Times New Roman" w:cs="Times New Roman" w:eastAsia="Times New Roman" w:hAnsi="Times New Roman"/>
          <w:sz w:val="18"/>
          <w:szCs w:val="18"/>
          <w:b w:val="1"/>
          <w:bCs w:val="1"/>
          <w:color w:val="auto"/>
        </w:rPr>
        <w:t xml:space="preserve"> Note 13 - Redeemable Series A Preferred Units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846"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5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89"/>
        </w:trPr>
        <w:tc>
          <w:tcPr>
            <w:tcW w:w="7140" w:type="dxa"/>
            <w:vAlign w:val="bottom"/>
            <w:gridSpan w:val="2"/>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373"/>
        </w:trPr>
        <w:tc>
          <w:tcPr>
            <w:tcW w:w="96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Rent expense was $6.5 million and $1.9 million for the years ended December 31, 2019, and 2018, respectively.</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 (in millions)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auto"/>
            </w:tcBorders>
            <w:gridSpan w:val="2"/>
            <w:vMerge w:val="continue"/>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6"/>
        </w:trPr>
        <w:tc>
          <w:tcPr>
            <w:tcW w:w="7140" w:type="dxa"/>
            <w:vAlign w:val="bottom"/>
            <w:gridSpan w:val="2"/>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r>
              <w:rPr>
                <w:rFonts w:ascii="Times New Roman" w:cs="Times New Roman" w:eastAsia="Times New Roman" w:hAnsi="Times New Roman"/>
                <w:sz w:val="23"/>
                <w:szCs w:val="23"/>
                <w:b w:val="1"/>
                <w:bCs w:val="1"/>
                <w:color w:val="auto"/>
                <w:vertAlign w:val="superscript"/>
              </w:rPr>
              <w:t>(1)</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From Zoom Information, Inc. acquisition</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39"/>
        </w:trPr>
        <w:tc>
          <w:tcPr>
            <w:tcW w:w="70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Excludes lease liabilities arising from the adoption of Topic 842. Refer to Note 2.</w:t>
            </w: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8"/>
        </w:trPr>
        <w:tc>
          <w:tcPr>
            <w:tcW w:w="71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F-33</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9"/>
        </w:trPr>
        <w:tc>
          <w:tcPr>
            <w:tcW w:w="9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3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Future minimum rental payments under the Company’s non-cancellable operating leases as of December 31, 2018, were as follows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Payments</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Expected Sub-Lease</w:t>
            </w:r>
          </w:p>
        </w:tc>
        <w:tc>
          <w:tcPr>
            <w:tcW w:w="220" w:type="dxa"/>
            <w:vAlign w:val="bottom"/>
          </w:tcPr>
          <w:p>
            <w:pPr>
              <w:spacing w:after="0"/>
              <w:rPr>
                <w:sz w:val="13"/>
                <w:szCs w:val="13"/>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Expected</w:t>
            </w:r>
          </w:p>
        </w:tc>
      </w:tr>
      <w:tr>
        <w:trPr>
          <w:trHeight w:val="189"/>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20" w:type="dxa"/>
            <w:vAlign w:val="bottom"/>
          </w:tcPr>
          <w:p>
            <w:pPr>
              <w:spacing w:after="0"/>
              <w:rPr>
                <w:sz w:val="16"/>
                <w:szCs w:val="16"/>
                <w:color w:val="auto"/>
              </w:rPr>
            </w:pP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-95885</wp:posOffset>
            </wp:positionV>
            <wp:extent cx="31032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320" w:hanging="312"/>
        <w:spacing w:after="0"/>
        <w:tabs>
          <w:tab w:leader="none" w:pos="3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are based on ASC 840,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that were superseded upon the Company’s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on January 1, 2019</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Members’ Deficit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846"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Note 12 - Members' Deficit (continued)</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Class P units were subsequently granted to employees and directors directly in DiscoverOrg Holdings, LLC and through DiscoverOrg Management Holdings, LLC, which was granted units and subsequently granted units to employees. See </w:t>
      </w:r>
      <w:r>
        <w:rPr>
          <w:rFonts w:ascii="Times New Roman" w:cs="Times New Roman" w:eastAsia="Times New Roman" w:hAnsi="Times New Roman"/>
          <w:sz w:val="18"/>
          <w:szCs w:val="18"/>
          <w:b w:val="1"/>
          <w:bCs w:val="1"/>
          <w:color w:val="auto"/>
        </w:rPr>
        <w:t>Note 15 - Equity-Based Compensation</w:t>
      </w:r>
      <w:r>
        <w:rPr>
          <w:rFonts w:ascii="Times New Roman" w:cs="Times New Roman" w:eastAsia="Times New Roman" w:hAnsi="Times New Roman"/>
          <w:sz w:val="18"/>
          <w:szCs w:val="18"/>
          <w:color w:val="auto"/>
        </w:rPr>
        <w:t xml:space="preserve"> for additional detail with respect to granted units.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6" w:lineRule="exact"/>
        <w:rPr>
          <w:sz w:val="20"/>
          <w:szCs w:val="20"/>
          <w:color w:val="auto"/>
        </w:rPr>
      </w:pPr>
    </w:p>
    <w:p>
      <w:pPr>
        <w:ind w:right="1440" w:firstLine="324"/>
        <w:spacing w:after="0" w:line="435" w:lineRule="auto"/>
        <w:rPr>
          <w:sz w:val="20"/>
          <w:szCs w:val="20"/>
          <w:color w:val="auto"/>
        </w:rPr>
      </w:pPr>
      <w:r>
        <w:rPr>
          <w:rFonts w:ascii="Times New Roman" w:cs="Times New Roman" w:eastAsia="Times New Roman" w:hAnsi="Times New Roman"/>
          <w:sz w:val="18"/>
          <w:szCs w:val="18"/>
          <w:color w:val="auto"/>
        </w:rPr>
        <w:t xml:space="preserve">The Company has an outstanding payable as of December 31, 2019 of $0.7 million to a predecessor entity that is a current member. </w:t>
      </w:r>
      <w:r>
        <w:rPr>
          <w:rFonts w:ascii="Times New Roman" w:cs="Times New Roman" w:eastAsia="Times New Roman" w:hAnsi="Times New Roman"/>
          <w:sz w:val="18"/>
          <w:szCs w:val="18"/>
          <w:b w:val="1"/>
          <w:bCs w:val="1"/>
          <w:color w:val="auto"/>
        </w:rPr>
        <w:t>Note 13 - Redeemable Series A Preferred Units</w:t>
      </w:r>
    </w:p>
    <w:p>
      <w:pPr>
        <w:spacing w:after="0" w:line="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February 1, 2019, and in connection with the ZoomInfo acquisition (see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the Company issued 51.8 million Series A Preferred Units in exchange for $200.2 million, net of $0.6 million in issuance costs. As of December 31, 2019, 51.8 million units remained outstanding.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at its option, redeem the Series A Preferred Units in whole, or in part, at a price based on the redemption date as compared to January 31, 2021 (the “First Call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Applicable Period</w:t>
            </w: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0" w:type="dxa"/>
            <w:vAlign w:val="bottom"/>
          </w:tcPr>
          <w:p>
            <w:pPr>
              <w:spacing w:after="0"/>
              <w:rPr>
                <w:sz w:val="1"/>
                <w:szCs w:val="1"/>
                <w:color w:val="auto"/>
              </w:rPr>
            </w:pPr>
          </w:p>
        </w:tc>
      </w:tr>
      <w:tr>
        <w:trPr>
          <w:trHeight w:val="174"/>
        </w:trPr>
        <w:tc>
          <w:tcPr>
            <w:tcW w:w="62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Prior to the First Call Date</w:t>
            </w:r>
          </w:p>
        </w:tc>
        <w:tc>
          <w:tcPr>
            <w:tcW w:w="80" w:type="dxa"/>
            <w:vAlign w:val="bottom"/>
            <w:tcBorders>
              <w:top w:val="single" w:sz="8" w:color="CCEEFF"/>
            </w:tcBorders>
            <w:shd w:val="clear" w:color="auto" w:fill="CCEEFF"/>
          </w:tcPr>
          <w:p>
            <w:pPr>
              <w:spacing w:after="0"/>
              <w:rPr>
                <w:sz w:val="15"/>
                <w:szCs w:val="15"/>
                <w:color w:val="auto"/>
              </w:rPr>
            </w:pPr>
          </w:p>
        </w:tc>
        <w:tc>
          <w:tcPr>
            <w:tcW w:w="49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Present value as of the redemption date of liquidation value as of</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Call Date multiplied by 104%</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or after the First Call Date and prior to the first anniversary of the First Call Date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Liquidation value as of the redemption date multiplied by 104%</w:t>
            </w:r>
          </w:p>
        </w:tc>
        <w:tc>
          <w:tcPr>
            <w:tcW w:w="0" w:type="dxa"/>
            <w:vAlign w:val="bottom"/>
          </w:tcPr>
          <w:p>
            <w:pPr>
              <w:spacing w:after="0"/>
              <w:rPr>
                <w:sz w:val="1"/>
                <w:szCs w:val="1"/>
                <w:color w:val="auto"/>
              </w:rPr>
            </w:pPr>
          </w:p>
        </w:tc>
      </w:tr>
      <w:tr>
        <w:trPr>
          <w:trHeight w:val="175"/>
        </w:trPr>
        <w:tc>
          <w:tcPr>
            <w:tcW w:w="6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 or after the first anniversary of the First Call Date and prior to the second</w:t>
            </w:r>
          </w:p>
        </w:tc>
        <w:tc>
          <w:tcPr>
            <w:tcW w:w="4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Liquidation value as of the redemption date multiplied by 102%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anniversary of the First Call Date</w:t>
            </w:r>
          </w:p>
        </w:tc>
        <w:tc>
          <w:tcPr>
            <w:tcW w:w="4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or after the second anniversary of the First Call Date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Liquidation value as of the redemption date</w:t>
            </w:r>
          </w:p>
        </w:tc>
        <w:tc>
          <w:tcPr>
            <w:tcW w:w="0" w:type="dxa"/>
            <w:vAlign w:val="bottom"/>
          </w:tcPr>
          <w:p>
            <w:pPr>
              <w:spacing w:after="0"/>
              <w:rPr>
                <w:sz w:val="1"/>
                <w:szCs w:val="1"/>
                <w:color w:val="auto"/>
              </w:rPr>
            </w:pPr>
          </w:p>
        </w:tc>
      </w:tr>
      <w:tr>
        <w:trPr>
          <w:trHeight w:val="886"/>
        </w:trPr>
        <w:tc>
          <w:tcPr>
            <w:tcW w:w="62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color w:val="auto"/>
        </w:rPr>
        <w:t>Note 13 - Redeemable Series A Preferred Units (continued)</w:t>
      </w:r>
    </w:p>
    <w:p>
      <w:pPr>
        <w:spacing w:after="0" w:line="364" w:lineRule="exact"/>
        <w:rPr>
          <w:sz w:val="20"/>
          <w:szCs w:val="20"/>
          <w:color w:val="auto"/>
        </w:rPr>
      </w:pPr>
    </w:p>
    <w:p>
      <w:pPr>
        <w:ind w:right="28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2019, the total minimum committed cumulative liquidation preference due upon an immediate redemption was $282.5 million. </w:t>
      </w:r>
      <w:r>
        <w:rPr>
          <w:rFonts w:ascii="Times New Roman" w:cs="Times New Roman" w:eastAsia="Times New Roman" w:hAnsi="Times New Roman"/>
          <w:sz w:val="18"/>
          <w:szCs w:val="18"/>
          <w:b w:val="1"/>
          <w:bCs w:val="1"/>
          <w:color w:val="auto"/>
        </w:rPr>
        <w:t>Note 14 - Employee Retirement Benefits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Class P Incentive Units </w:t>
      </w:r>
      <w:r>
        <w:rPr>
          <w:rFonts w:ascii="Times New Roman" w:cs="Times New Roman" w:eastAsia="Times New Roman" w:hAnsi="Times New Roman"/>
          <w:sz w:val="18"/>
          <w:szCs w:val="18"/>
          <w:color w:val="auto"/>
        </w:rPr>
        <w:t>- Class P units under the Company’s current LLC Agreement and the Class C units under the Company’s Prior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 - 2.49%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- 2.82%</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of the underlying assets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38.4% - 41.9%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- 41.2%</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4 years</w:t>
            </w:r>
          </w:p>
        </w:tc>
        <w:tc>
          <w:tcPr>
            <w:tcW w:w="1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Marketability discount</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6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common unit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 $14.36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$5.20</w:t>
            </w:r>
          </w:p>
        </w:tc>
      </w:tr>
      <w:tr>
        <w:trPr>
          <w:trHeight w:val="155"/>
        </w:trPr>
        <w:tc>
          <w:tcPr>
            <w:tcW w:w="78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jc w:val="both"/>
        <w:ind w:left="340" w:hanging="332"/>
        <w:spacing w:after="0" w:line="249" w:lineRule="auto"/>
        <w:tabs>
          <w:tab w:leader="none" w:pos="337"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846"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36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DOH Phantom Units </w:t>
      </w:r>
      <w:r>
        <w:rPr>
          <w:rFonts w:ascii="Times New Roman" w:cs="Times New Roman" w:eastAsia="Times New Roman" w:hAnsi="Times New Roman"/>
          <w:sz w:val="18"/>
          <w:szCs w:val="18"/>
          <w:color w:val="auto"/>
        </w:rPr>
        <w:t>- In June 2019, the Company adopted the ZoomInfo OpCo 2019 Phantom Unit Plan which is authorized to issue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zero DOH Phantom Units had been granted under the plan.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HSKB Incentive Units </w:t>
      </w:r>
      <w:r>
        <w:rPr>
          <w:rFonts w:ascii="Times New Roman" w:cs="Times New Roman" w:eastAsia="Times New Roman" w:hAnsi="Times New Roman"/>
          <w:sz w:val="18"/>
          <w:szCs w:val="18"/>
          <w:color w:val="auto"/>
        </w:rPr>
        <w:t>- The founders of the Company previously contributed membership units into an upper tier entity, HSKB Funds,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(“HSKB”), 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HSKB Phantom Units </w:t>
      </w:r>
      <w:r>
        <w:rPr>
          <w:rFonts w:ascii="Times New Roman" w:cs="Times New Roman" w:eastAsia="Times New Roman" w:hAnsi="Times New Roman"/>
          <w:sz w:val="18"/>
          <w:szCs w:val="18"/>
          <w:color w:val="auto"/>
        </w:rPr>
        <w:t>- In December 2019, HSKB adopted the HSKB Funds, LLC 2019 Phantom Unit Plan wherein HSKB may grant Phantom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846"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and weighted-average grant date fair value for Common Units and Class P Incentive Units for key activities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3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13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Avg Grant</w:t>
            </w:r>
          </w:p>
        </w:tc>
        <w:tc>
          <w:tcPr>
            <w:tcW w:w="100" w:type="dxa"/>
            <w:vAlign w:val="bottom"/>
          </w:tcPr>
          <w:p>
            <w:pPr>
              <w:spacing w:after="0"/>
              <w:rPr>
                <w:sz w:val="11"/>
                <w:szCs w:val="11"/>
                <w:color w:val="auto"/>
              </w:rPr>
            </w:pPr>
          </w:p>
        </w:tc>
        <w:tc>
          <w:tcPr>
            <w:tcW w:w="13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13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Avg Grant</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Value/Unit</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Value/Unit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13,310,663</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(280,563)</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(93,995)</w:t>
            </w:r>
          </w:p>
        </w:tc>
        <w:tc>
          <w:tcPr>
            <w:tcW w:w="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(1,852,964)</w:t>
            </w:r>
          </w:p>
        </w:tc>
        <w:tc>
          <w:tcPr>
            <w:tcW w:w="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Non-vested units at December 31, 2019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3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equity-based compensation expense related to all employee incentive unit awards including Class P Incentive Units, DOH Phantom Units, HSKB Grants, and HSKB Phantom Units (in millions):</w:t>
      </w:r>
    </w:p>
    <w:p>
      <w:pPr>
        <w:spacing w:after="0" w:line="13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and Operating expenses include equity-based compensation expenses as follows: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Data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As of December 31, 2019 and 2018, no significant long-lived assets were held by entities outside of the U.S.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7"/>
        </w:trPr>
        <w:tc>
          <w:tcPr>
            <w:tcW w:w="322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48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32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3220" w:type="dxa"/>
            <w:vAlign w:val="bottom"/>
          </w:tcPr>
          <w:p>
            <w:pPr>
              <w:spacing w:after="0"/>
              <w:rPr>
                <w:sz w:val="24"/>
                <w:szCs w:val="24"/>
                <w:color w:val="auto"/>
              </w:rPr>
            </w:pPr>
          </w:p>
        </w:tc>
        <w:tc>
          <w:tcPr>
            <w:tcW w:w="5800" w:type="dxa"/>
            <w:vAlign w:val="bottom"/>
            <w:gridSpan w:val="2"/>
          </w:tcPr>
          <w:p>
            <w:pPr>
              <w:jc w:val="right"/>
              <w:ind w:right="3139"/>
              <w:spacing w:after="0"/>
              <w:rPr>
                <w:sz w:val="20"/>
                <w:szCs w:val="20"/>
                <w:color w:val="auto"/>
              </w:rPr>
            </w:pPr>
            <w:r>
              <w:rPr>
                <w:rFonts w:ascii="Times New Roman" w:cs="Times New Roman" w:eastAsia="Times New Roman" w:hAnsi="Times New Roman"/>
                <w:sz w:val="18"/>
                <w:szCs w:val="18"/>
                <w:color w:val="auto"/>
              </w:rPr>
              <w:t>F-38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color w:val="auto"/>
        </w:rPr>
        <w:t>Note 17 - Income Tax Provision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from income taxes for the years ended December 31, 2019 and 2018 consists of the following (in millions):</w:t>
      </w:r>
    </w:p>
    <w:p>
      <w:pPr>
        <w:spacing w:after="0" w:line="19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02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80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Expense (benefit) from income taxes</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nontaxable partnerships and two C corporation subsidiaries. RKSI Acquisition Corporation, a C corporation, was subject to income tax as of December 31, 2019 and 2018.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federal statutory rate was 21% for the years ended December 31, 2019 and 2018. Differences between the statutory rate and the effective tax rate arise as a result of the nondeductible expenses.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2019 and 2018, the effective income tax rate differs from the federal statutory income tax rate as explained below:</w:t>
      </w:r>
    </w:p>
    <w:p>
      <w:pPr>
        <w:spacing w:after="0" w:line="197"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partnerships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0"/>
        </w:trPr>
        <w:tc>
          <w:tcPr>
            <w:tcW w:w="7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color w:val="auto"/>
        </w:rPr>
        <w:t>Note 17 - Income Tax Provision (continued)</w:t>
      </w:r>
    </w:p>
    <w:p>
      <w:pPr>
        <w:spacing w:after="0" w:line="36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Borders>
              <w:top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0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DiscoverOrg Data LLC</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80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to the extent management believes, based on available evidence, that it is more likely than not that they will be realized. Certain acquired state net operating losses and credits are unlikely to be realized and require a valuation allowance at December 31, 2019.</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846"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26, 2020, which is the date the consolidated financial statements were available to be issued.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26"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w:t>
      </w:r>
      <w:hyperlink w:anchor="page239">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anchor="page283">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anchor="page247">
        <w:r>
          <w:rPr>
            <w:rFonts w:ascii="Times New Roman" w:cs="Times New Roman" w:eastAsia="Times New Roman" w:hAnsi="Times New Roman"/>
            <w:sz w:val="18"/>
            <w:szCs w:val="18"/>
            <w:u w:val="single" w:color="auto"/>
            <w:color w:val="0000FF"/>
          </w:rPr>
          <w:t>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anchor="page248">
        <w:r>
          <w:rPr>
            <w:rFonts w:ascii="Times New Roman" w:cs="Times New Roman" w:eastAsia="Times New Roman" w:hAnsi="Times New Roman"/>
            <w:sz w:val="18"/>
            <w:szCs w:val="18"/>
            <w:u w:val="single" w:color="auto"/>
            <w:color w:val="0000FF"/>
          </w:rPr>
          <w:t xml:space="preserve">15 </w:t>
        </w:r>
      </w:hyperlink>
      <w:r>
        <w:rPr>
          <w:rFonts w:ascii="Times New Roman" w:cs="Times New Roman" w:eastAsia="Times New Roman" w:hAnsi="Times New Roman"/>
          <w:sz w:val="18"/>
          <w:szCs w:val="18"/>
          <w:color w:val="000000"/>
        </w:rPr>
        <w:t>have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been retroactively adjusted to give effect to the reverse unit split.</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3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413" w:right="339" w:bottom="1440" w:gutter="0" w:footer="0" w:header="0"/>
        </w:sectPr>
      </w:pPr>
    </w:p>
    <w:bookmarkStart w:id="253" w:name="page254"/>
    <w:bookmarkEnd w:id="253"/>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540" w:type="dxa"/>
            <w:vAlign w:val="bottom"/>
            <w:gridSpan w:val="2"/>
          </w:tcPr>
          <w:p>
            <w:pPr>
              <w:jc w:val="right"/>
              <w:ind w:right="159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data)</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88"/>
        </w:trPr>
        <w:tc>
          <w:tcPr>
            <w:tcW w:w="4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4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6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75"/>
        </w:trPr>
        <w:tc>
          <w:tcPr>
            <w:tcW w:w="4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95"/>
        </w:trPr>
        <w:tc>
          <w:tcPr>
            <w:tcW w:w="468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3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6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Temporary, and Permanent Equity (Deficit)</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46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75"/>
        </w:trPr>
        <w:tc>
          <w:tcPr>
            <w:tcW w:w="4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r>
      <w:tr>
        <w:trPr>
          <w:trHeight w:val="75"/>
        </w:trPr>
        <w:tc>
          <w:tcPr>
            <w:tcW w:w="4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95"/>
        </w:trPr>
        <w:tc>
          <w:tcPr>
            <w:tcW w:w="468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Equity (Deficit)</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Members' equity (deficit)</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 par value $0.01</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 common stock, par value $0.01</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equity (deficit)</w:t>
            </w:r>
          </w:p>
        </w:tc>
        <w:tc>
          <w:tcPr>
            <w:tcW w:w="3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74"/>
        </w:trPr>
        <w:tc>
          <w:tcPr>
            <w:tcW w:w="4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49"/>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Total liabilities, temporary, and permanent equity (deficit)</w:t>
            </w:r>
          </w:p>
        </w:tc>
        <w:tc>
          <w:tcPr>
            <w:tcW w:w="3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769"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440" w:right="339" w:bottom="769" w:gutter="0" w:footer="0" w:header="0"/>
          <w:type w:val="continuous"/>
        </w:sectPr>
      </w:pPr>
    </w:p>
    <w:bookmarkStart w:id="254" w:name="page255"/>
    <w:bookmarkEnd w:id="254"/>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gridSpan w:val="5"/>
          </w:tcPr>
          <w:p>
            <w:pPr>
              <w:ind w:left="410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 unaudited)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(loss) attributable to ZoomInfo OpCo prior to</w:t>
            </w:r>
          </w:p>
        </w:tc>
        <w:tc>
          <w:tcPr>
            <w:tcW w:w="980" w:type="dxa"/>
            <w:vAlign w:val="bottom"/>
          </w:tcPr>
          <w:p>
            <w:pPr>
              <w:spacing w:after="0"/>
              <w:rPr>
                <w:sz w:val="13"/>
                <w:szCs w:val="13"/>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Reorganization Transactions</w:t>
            </w:r>
          </w:p>
        </w:tc>
        <w:tc>
          <w:tcPr>
            <w:tcW w:w="9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7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w:t>
            </w:r>
          </w:p>
        </w:tc>
        <w:tc>
          <w:tcPr>
            <w:tcW w:w="980" w:type="dxa"/>
            <w:vAlign w:val="bottom"/>
            <w:vMerge w:val="restart"/>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3"/>
                <w:szCs w:val="13"/>
                <w:color w:val="auto"/>
              </w:rPr>
            </w:pPr>
          </w:p>
        </w:tc>
        <w:tc>
          <w:tcPr>
            <w:tcW w:w="1060" w:type="dxa"/>
            <w:vAlign w:val="bottom"/>
            <w:vMerge w:val="restart"/>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Inc.</w:t>
            </w:r>
          </w:p>
        </w:tc>
        <w:tc>
          <w:tcPr>
            <w:tcW w:w="9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 Class A and Class C common</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jc w:val="both"/>
        <w:ind w:left="340" w:hanging="332"/>
        <w:spacing w:after="0" w:line="241" w:lineRule="auto"/>
        <w:tabs>
          <w:tab w:leader="none" w:pos="33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of Class A and Class C common stock is applicable only for the period from June 4, 2020 through September 30, 2020, which is the period following the initial public offering ("IPO") and related Reorganization Transactions (as defined in Note 1 to the Unaudited Consolidated Financial Statements). See Note 13 for the number of shares used in the computation of net income (loss) per share of Class A and Class C common stock and the basis for the computation of net income (loss) per share.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1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2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3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27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loss (gain) on settlement of cash flow hedges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w:t>
            </w: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ZoomInfo OpCo prior to the</w:t>
            </w:r>
          </w:p>
        </w:tc>
        <w:tc>
          <w:tcPr>
            <w:tcW w:w="82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8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 Inc.</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6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F-44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1"/>
          <w:szCs w:val="11"/>
          <w:b w:val="1"/>
          <w:bCs w:val="1"/>
          <w:color w:val="auto"/>
        </w:rPr>
        <w:t>ZoomInfo</w:t>
      </w:r>
    </w:p>
    <w:p>
      <w:pPr>
        <w:jc w:val="center"/>
        <w:ind w:left="2060"/>
        <w:spacing w:after="0" w:line="204" w:lineRule="auto"/>
        <w:rPr>
          <w:sz w:val="20"/>
          <w:szCs w:val="20"/>
          <w:color w:val="auto"/>
        </w:rPr>
      </w:pPr>
      <w:r>
        <w:rPr>
          <w:rFonts w:ascii="Times New Roman" w:cs="Times New Roman" w:eastAsia="Times New Roman" w:hAnsi="Times New Roman"/>
          <w:sz w:val="11"/>
          <w:szCs w:val="11"/>
          <w:b w:val="1"/>
          <w:bCs w:val="1"/>
          <w:color w:val="auto"/>
        </w:rPr>
        <w:t>Holdings LLC</w:t>
      </w:r>
    </w:p>
    <w:p>
      <w:pPr>
        <w:jc w:val="center"/>
        <w:ind w:left="2060"/>
        <w:spacing w:after="0" w:line="205" w:lineRule="auto"/>
        <w:rPr>
          <w:sz w:val="20"/>
          <w:szCs w:val="20"/>
          <w:color w:val="auto"/>
        </w:rPr>
      </w:pPr>
      <w:r>
        <w:rPr>
          <w:rFonts w:ascii="Times New Roman" w:cs="Times New Roman" w:eastAsia="Times New Roman" w:hAnsi="Times New Roman"/>
          <w:sz w:val="11"/>
          <w:szCs w:val="11"/>
          <w:b w:val="1"/>
          <w:bCs w:val="1"/>
          <w:color w:val="auto"/>
        </w:rPr>
        <w:t>(Prior to</w:t>
      </w:r>
    </w:p>
    <w:p>
      <w:pPr>
        <w:jc w:val="center"/>
        <w:ind w:left="2060"/>
        <w:spacing w:after="0" w:line="226" w:lineRule="auto"/>
        <w:rPr>
          <w:sz w:val="20"/>
          <w:szCs w:val="20"/>
          <w:color w:val="auto"/>
        </w:rPr>
      </w:pPr>
      <w:r>
        <w:rPr>
          <w:rFonts w:ascii="Times New Roman" w:cs="Times New Roman" w:eastAsia="Times New Roman" w:hAnsi="Times New Roman"/>
          <w:sz w:val="10"/>
          <w:szCs w:val="10"/>
          <w:b w:val="1"/>
          <w:bCs w:val="1"/>
          <w:color w:val="auto"/>
        </w:rPr>
        <w:t>Reorganization</w:t>
      </w:r>
    </w:p>
    <w:p>
      <w:pPr>
        <w:jc w:val="center"/>
        <w:ind w:left="2060"/>
        <w:spacing w:after="0"/>
        <w:rPr>
          <w:sz w:val="20"/>
          <w:szCs w:val="20"/>
          <w:color w:val="auto"/>
        </w:rPr>
      </w:pPr>
      <w:r>
        <w:rPr>
          <w:rFonts w:ascii="Times New Roman" w:cs="Times New Roman" w:eastAsia="Times New Roman" w:hAnsi="Times New Roman"/>
          <w:sz w:val="11"/>
          <w:szCs w:val="11"/>
          <w:b w:val="1"/>
          <w:bCs w:val="1"/>
          <w:color w:val="auto"/>
        </w:rPr>
        <w:t>Transactions)</w:t>
      </w:r>
    </w:p>
    <w:p>
      <w:pPr>
        <w:spacing w:after="0" w:line="139"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1"/>
          <w:szCs w:val="11"/>
          <w:b w:val="1"/>
          <w:bCs w:val="1"/>
          <w:color w:val="auto"/>
        </w:rPr>
        <w:t>Members'</w:t>
      </w:r>
    </w:p>
    <w:p>
      <w:pPr>
        <w:jc w:val="center"/>
        <w:ind w:left="2060"/>
        <w:spacing w:after="0"/>
        <w:rPr>
          <w:sz w:val="20"/>
          <w:szCs w:val="20"/>
          <w:color w:val="auto"/>
        </w:rPr>
      </w:pPr>
      <w:r>
        <w:rPr>
          <w:rFonts w:ascii="Times New Roman" w:cs="Times New Roman" w:eastAsia="Times New Roman" w:hAnsi="Times New Roman"/>
          <w:sz w:val="11"/>
          <w:szCs w:val="11"/>
          <w:b w:val="1"/>
          <w:bCs w:val="1"/>
          <w:color w:val="auto"/>
        </w:rPr>
        <w:t>Deficit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left="520" w:right="2980"/>
        <w:spacing w:after="0" w:line="268" w:lineRule="auto"/>
        <w:rPr>
          <w:sz w:val="20"/>
          <w:szCs w:val="20"/>
          <w:color w:val="auto"/>
        </w:rPr>
      </w:pPr>
      <w:r>
        <w:rPr>
          <w:rFonts w:ascii="Times New Roman" w:cs="Times New Roman" w:eastAsia="Times New Roman" w:hAnsi="Times New Roman"/>
          <w:sz w:val="18"/>
          <w:szCs w:val="18"/>
          <w:b w:val="1"/>
          <w:bCs w:val="1"/>
          <w:color w:val="auto"/>
        </w:rPr>
        <w:t>ZoomInfo Technologies Inc. Consolidated Statements of Changes in Equity (Deficit) (in millions, except share data; 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ZoomInfo Technologies Inc. Stockholders' Equity</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4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4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8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720" w:type="dxa"/>
            <w:vAlign w:val="bottom"/>
          </w:tcPr>
          <w:p>
            <w:pPr>
              <w:jc w:val="center"/>
              <w:ind w:right="6"/>
              <w:spacing w:after="0" w:line="10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74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760" w:type="dxa"/>
            <w:vAlign w:val="bottom"/>
            <w:vMerge w:val="continue"/>
          </w:tcPr>
          <w:p>
            <w:pPr>
              <w:spacing w:after="0"/>
              <w:rPr>
                <w:sz w:val="9"/>
                <w:szCs w:val="9"/>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AOCI</w:t>
            </w:r>
          </w:p>
        </w:tc>
        <w:tc>
          <w:tcPr>
            <w:tcW w:w="780" w:type="dxa"/>
            <w:vAlign w:val="bottom"/>
            <w:vMerge w:val="continue"/>
          </w:tcPr>
          <w:p>
            <w:pPr>
              <w:spacing w:after="0"/>
              <w:rPr>
                <w:sz w:val="9"/>
                <w:szCs w:val="9"/>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42"/>
        </w:trPr>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8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740" w:type="dxa"/>
            <w:vAlign w:val="bottom"/>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-235585</wp:posOffset>
            </wp:positionV>
            <wp:extent cx="7132320" cy="4389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80" w:space="180"/>
            <w:col w:w="8260"/>
          </w:cols>
          <w:pgMar w:left="340" w:top="1440"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December 31, 2019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Member distributions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Equity-based compensation</w:t>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Balance at March 31, 2020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 (loss) prior to</w:t>
      </w:r>
    </w:p>
    <w:p>
      <w:pPr>
        <w:spacing w:after="0"/>
        <w:rPr>
          <w:sz w:val="20"/>
          <w:szCs w:val="20"/>
          <w:color w:val="auto"/>
        </w:rPr>
      </w:pPr>
      <w:r>
        <w:rPr>
          <w:rFonts w:ascii="Times New Roman" w:cs="Times New Roman" w:eastAsia="Times New Roman" w:hAnsi="Times New Roman"/>
          <w:sz w:val="13"/>
          <w:szCs w:val="13"/>
          <w:color w:val="auto"/>
        </w:rPr>
        <w:t>Reorganization Transactions</w:t>
      </w:r>
    </w:p>
    <w:p>
      <w:pPr>
        <w:spacing w:after="0" w:line="1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Other comprehensive loss prior to Reorganization Transactions and IPO</w:t>
      </w:r>
    </w:p>
    <w:p>
      <w:pPr>
        <w:spacing w:after="0" w:line="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2"/>
          <w:szCs w:val="12"/>
          <w:color w:val="auto"/>
        </w:rPr>
        <w:t>Member distributions prior to Reorganization Transactions</w:t>
      </w:r>
    </w:p>
    <w:p>
      <w:pPr>
        <w:spacing w:after="0" w:line="3"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3"/>
          <w:szCs w:val="13"/>
          <w:color w:val="auto"/>
        </w:rPr>
        <w:t>Equity-based compensation prior to Reorganization Transactions</w:t>
      </w:r>
    </w:p>
    <w:p>
      <w:pPr>
        <w:spacing w:after="0" w:line="10"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Impacts of Reorganization Transactions and IPO</w:t>
      </w:r>
    </w:p>
    <w:p>
      <w:pPr>
        <w:ind w:right="280"/>
        <w:spacing w:after="0" w:line="217" w:lineRule="auto"/>
        <w:rPr>
          <w:sz w:val="20"/>
          <w:szCs w:val="20"/>
          <w:color w:val="auto"/>
        </w:rPr>
      </w:pPr>
      <w:r>
        <w:rPr>
          <w:rFonts w:ascii="Times New Roman" w:cs="Times New Roman" w:eastAsia="Times New Roman" w:hAnsi="Times New Roman"/>
          <w:sz w:val="13"/>
          <w:szCs w:val="13"/>
          <w:color w:val="auto"/>
        </w:rPr>
        <w:t>Initial effect of the Reorganization Transactions and IPO on noncontrolling interests</w:t>
      </w:r>
    </w:p>
    <w:p>
      <w:pPr>
        <w:spacing w:after="0" w:line="13"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3"/>
          <w:szCs w:val="13"/>
          <w:color w:val="auto"/>
        </w:rPr>
        <w:t>Issuance of Class A common stock in IPO, net of costs</w:t>
      </w:r>
    </w:p>
    <w:p>
      <w:pPr>
        <w:spacing w:after="0" w:line="12"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3"/>
          <w:szCs w:val="13"/>
          <w:color w:val="auto"/>
        </w:rPr>
        <w:t>Purchases of ZoomInfo OpCo units in connection with IPO</w:t>
      </w:r>
    </w:p>
    <w:p>
      <w:pPr>
        <w:spacing w:after="0" w:line="12" w:lineRule="exact"/>
        <w:rPr>
          <w:sz w:val="20"/>
          <w:szCs w:val="20"/>
          <w:color w:val="auto"/>
        </w:rPr>
      </w:pPr>
    </w:p>
    <w:p>
      <w:pPr>
        <w:ind w:right="540"/>
        <w:spacing w:after="0" w:line="229" w:lineRule="auto"/>
        <w:rPr>
          <w:sz w:val="20"/>
          <w:szCs w:val="20"/>
          <w:color w:val="auto"/>
        </w:rPr>
      </w:pPr>
      <w:r>
        <w:rPr>
          <w:rFonts w:ascii="Times New Roman" w:cs="Times New Roman" w:eastAsia="Times New Roman" w:hAnsi="Times New Roman"/>
          <w:sz w:val="13"/>
          <w:szCs w:val="13"/>
          <w:color w:val="auto"/>
        </w:rPr>
        <w:t>Purchases of Class C units in connection with IPO</w:t>
      </w:r>
    </w:p>
    <w:p>
      <w:pPr>
        <w:spacing w:after="0" w:line="12"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3"/>
          <w:szCs w:val="13"/>
          <w:color w:val="auto"/>
        </w:rPr>
        <w:t>Opco Units exchanged into Class A shares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Forfeitures / cancellations</w:t>
      </w:r>
    </w:p>
    <w:p>
      <w:pPr>
        <w:spacing w:after="0" w:line="26"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3"/>
          <w:szCs w:val="13"/>
          <w:color w:val="auto"/>
        </w:rPr>
        <w:t>Series A Preferred Unit redemption accretion</w:t>
      </w:r>
    </w:p>
    <w:p>
      <w:pPr>
        <w:spacing w:after="0" w:line="1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3"/>
          <w:szCs w:val="13"/>
          <w:color w:val="auto"/>
        </w:rPr>
        <w:t>Increase in deferred tax asset from step-up in tax basis under TRA related to unit exchanges</w:t>
      </w:r>
    </w:p>
    <w:p>
      <w:pPr>
        <w:spacing w:after="0" w:line="1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12"/>
          <w:szCs w:val="12"/>
          <w:color w:val="auto"/>
        </w:rPr>
        <w:t>Net income subsequent to Reorganization Transactions</w:t>
      </w:r>
    </w:p>
    <w:p>
      <w:pPr>
        <w:spacing w:after="0" w:line="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Other comprehensive loss subsequent to Reorganization Transactions and IPO</w:t>
      </w:r>
    </w:p>
    <w:p>
      <w:pPr>
        <w:spacing w:after="0" w:line="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Equity-based compensation subsequent to Reorganization Transactions</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Balance at June 30, 2020</w:t>
      </w:r>
    </w:p>
    <w:p>
      <w:pPr>
        <w:spacing w:after="0" w:line="20" w:lineRule="exact"/>
        <w:rPr>
          <w:sz w:val="20"/>
          <w:szCs w:val="20"/>
          <w:color w:val="auto"/>
        </w:rPr>
      </w:pPr>
      <w:r>
        <w:rPr>
          <w:sz w:val="20"/>
          <w:szCs w:val="20"/>
          <w:color w:val="auto"/>
        </w:rPr>
        <w:br w:type="column"/>
      </w:r>
    </w:p>
    <w:p>
      <w:pPr>
        <w:ind w:left="342" w:hanging="342"/>
        <w:spacing w:after="0"/>
        <w:tabs>
          <w:tab w:leader="none" w:pos="342"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(207.8)</w:t>
      </w:r>
    </w:p>
    <w:p>
      <w:pPr>
        <w:spacing w:after="0" w:line="37" w:lineRule="exact"/>
        <w:rPr>
          <w:rFonts w:ascii="Times New Roman" w:cs="Times New Roman" w:eastAsia="Times New Roman" w:hAnsi="Times New Roman"/>
          <w:sz w:val="12"/>
          <w:szCs w:val="12"/>
          <w:color w:val="auto"/>
        </w:rPr>
      </w:pPr>
    </w:p>
    <w:p>
      <w:pPr>
        <w:ind w:left="46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(5.9)</w:t>
      </w:r>
    </w:p>
    <w:p>
      <w:pPr>
        <w:spacing w:after="0" w:line="37" w:lineRule="exact"/>
        <w:rPr>
          <w:rFonts w:ascii="Times New Roman" w:cs="Times New Roman" w:eastAsia="Times New Roman" w:hAnsi="Times New Roman"/>
          <w:sz w:val="12"/>
          <w:szCs w:val="12"/>
          <w:color w:val="auto"/>
        </w:rPr>
      </w:pPr>
    </w:p>
    <w:p>
      <w:pPr>
        <w:ind w:left="46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w:t>
      </w:r>
    </w:p>
    <w:p>
      <w:pPr>
        <w:spacing w:after="0" w:line="37" w:lineRule="exact"/>
        <w:rPr>
          <w:rFonts w:ascii="Times New Roman" w:cs="Times New Roman" w:eastAsia="Times New Roman" w:hAnsi="Times New Roman"/>
          <w:sz w:val="12"/>
          <w:szCs w:val="12"/>
          <w:color w:val="auto"/>
        </w:rPr>
      </w:pPr>
    </w:p>
    <w:p>
      <w:pPr>
        <w:ind w:left="56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t>
      </w:r>
    </w:p>
    <w:p>
      <w:pPr>
        <w:spacing w:after="0" w:line="26" w:lineRule="exact"/>
        <w:rPr>
          <w:rFonts w:ascii="Times New Roman" w:cs="Times New Roman" w:eastAsia="Times New Roman" w:hAnsi="Times New Roman"/>
          <w:sz w:val="12"/>
          <w:szCs w:val="12"/>
          <w:color w:val="auto"/>
        </w:rPr>
      </w:pPr>
    </w:p>
    <w:p>
      <w:pPr>
        <w:ind w:left="46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11.3</w:t>
      </w:r>
    </w:p>
    <w:p>
      <w:pPr>
        <w:spacing w:after="0" w:line="4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2"/>
          <w:szCs w:val="12"/>
          <w:color w:val="auto"/>
        </w:rPr>
        <w:t>(207.4)</w:t>
      </w:r>
    </w:p>
    <w:p>
      <w:pPr>
        <w:spacing w:after="0" w:line="159"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3"/>
          <w:szCs w:val="13"/>
          <w:color w:val="auto"/>
        </w:rPr>
        <w:t>0.8</w:t>
      </w:r>
    </w:p>
    <w:p>
      <w:pPr>
        <w:spacing w:after="0" w:line="1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2"/>
          <w:szCs w:val="12"/>
          <w:color w:val="auto"/>
        </w:rPr>
        <w:t>(1.8)</w:t>
      </w:r>
    </w:p>
    <w:p>
      <w:pPr>
        <w:spacing w:after="0" w:line="159"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3"/>
          <w:szCs w:val="13"/>
          <w:color w:val="auto"/>
        </w:rPr>
        <w:t>4.5</w:t>
      </w:r>
    </w:p>
    <w:p>
      <w:pPr>
        <w:spacing w:after="0" w:line="200" w:lineRule="exact"/>
        <w:rPr>
          <w:sz w:val="20"/>
          <w:szCs w:val="20"/>
          <w:color w:val="auto"/>
        </w:rPr>
      </w:pPr>
    </w:p>
    <w:p>
      <w:pPr>
        <w:spacing w:after="0" w:line="366"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3"/>
          <w:szCs w:val="13"/>
          <w:color w:val="auto"/>
        </w:rPr>
        <w:t>203.9</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9"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5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(213.8)</w:t>
            </w:r>
          </w:p>
        </w:tc>
      </w:tr>
      <w:tr>
        <w:trPr>
          <w:trHeight w:val="171"/>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5"/>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85"/>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4"/>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w:t>
            </w:r>
          </w:p>
        </w:tc>
      </w:tr>
      <w:tr>
        <w:trPr>
          <w:trHeight w:val="292"/>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71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242,414,027</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98,381,656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7"/>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48,528,783</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1,016.6</w:t>
            </w:r>
          </w:p>
        </w:tc>
      </w:tr>
      <w:tr>
        <w:trPr>
          <w:trHeight w:val="297"/>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2,370,948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(2,370,948)</w:t>
            </w:r>
          </w:p>
        </w:tc>
        <w:tc>
          <w:tcPr>
            <w:tcW w:w="100" w:type="dxa"/>
            <w:vAlign w:val="bottom"/>
          </w:tcPr>
          <w:p>
            <w:pPr>
              <w:spacing w:after="0"/>
              <w:rPr>
                <w:sz w:val="24"/>
                <w:szCs w:val="24"/>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297"/>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275,269</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97"/>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878,984</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(878,984)</w:t>
            </w:r>
          </w:p>
        </w:tc>
        <w:tc>
          <w:tcPr>
            <w:tcW w:w="100" w:type="dxa"/>
            <w:vAlign w:val="bottom"/>
          </w:tcPr>
          <w:p>
            <w:pPr>
              <w:spacing w:after="0"/>
              <w:rPr>
                <w:sz w:val="24"/>
                <w:szCs w:val="24"/>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(59,693)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(10,882)</w:t>
            </w:r>
          </w:p>
        </w:tc>
        <w:tc>
          <w:tcPr>
            <w:tcW w:w="10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419"/>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5"/>
              </w:rPr>
              <w:t>(34.4)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29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307"/>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70"/>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51,994,291</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239,153,213</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98,106,387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5"/>
              </w:rPr>
              <w:t>(34.4)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783.3</w:t>
            </w:r>
          </w:p>
        </w:tc>
      </w:tr>
    </w:tbl>
    <w:p>
      <w:pPr>
        <w:spacing w:after="0" w:line="200" w:lineRule="exact"/>
        <w:rPr>
          <w:sz w:val="20"/>
          <w:szCs w:val="20"/>
          <w:color w:val="auto"/>
        </w:rPr>
      </w:pPr>
    </w:p>
    <w:p>
      <w:pPr>
        <w:sectPr>
          <w:pgSz w:w="11900" w:h="16838" w:orient="portrait"/>
          <w:cols w:equalWidth="0" w:num="3">
            <w:col w:w="2020" w:space="38"/>
            <w:col w:w="702" w:space="200"/>
            <w:col w:w="826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1220"/>
          </w:cols>
          <w:pgMar w:left="340" w:top="1440" w:right="339" w:bottom="144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Exchanges</w:t>
      </w:r>
    </w:p>
    <w:p>
      <w:pPr>
        <w:spacing w:after="0" w:line="26" w:lineRule="exact"/>
        <w:rPr>
          <w:sz w:val="20"/>
          <w:szCs w:val="20"/>
          <w:color w:val="auto"/>
        </w:rPr>
      </w:pPr>
    </w:p>
    <w:p>
      <w:pPr>
        <w:ind w:right="620"/>
        <w:spacing w:after="0" w:line="305" w:lineRule="auto"/>
        <w:rPr>
          <w:sz w:val="20"/>
          <w:szCs w:val="20"/>
          <w:color w:val="auto"/>
        </w:rPr>
      </w:pPr>
      <w:r>
        <w:rPr>
          <w:rFonts w:ascii="Times New Roman" w:cs="Times New Roman" w:eastAsia="Times New Roman" w:hAnsi="Times New Roman"/>
          <w:sz w:val="12"/>
          <w:szCs w:val="12"/>
          <w:color w:val="auto"/>
        </w:rPr>
        <w:t>Forfeitures / cancellations Net income (loss)</w:t>
      </w:r>
    </w:p>
    <w:p>
      <w:pPr>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Paid and accrued tax distributions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Equity-based compensation</w:t>
      </w:r>
    </w:p>
    <w:p>
      <w:pPr>
        <w:spacing w:after="0" w:line="26" w:lineRule="exact"/>
        <w:rPr>
          <w:sz w:val="20"/>
          <w:szCs w:val="20"/>
          <w:color w:val="auto"/>
        </w:rPr>
      </w:pPr>
    </w:p>
    <w:p>
      <w:pPr>
        <w:spacing w:after="0" w:line="421" w:lineRule="auto"/>
        <w:rPr>
          <w:sz w:val="20"/>
          <w:szCs w:val="20"/>
          <w:color w:val="auto"/>
        </w:rPr>
      </w:pPr>
      <w:r>
        <w:rPr>
          <w:rFonts w:ascii="Times New Roman" w:cs="Times New Roman" w:eastAsia="Times New Roman" w:hAnsi="Times New Roman"/>
          <w:sz w:val="12"/>
          <w:szCs w:val="12"/>
          <w:color w:val="auto"/>
        </w:rPr>
        <w:t xml:space="preserve">Tax receivable agreement adjustments </w:t>
      </w:r>
      <w:r>
        <w:rPr>
          <w:rFonts w:ascii="Times New Roman" w:cs="Times New Roman" w:eastAsia="Times New Roman" w:hAnsi="Times New Roman"/>
          <w:sz w:val="12"/>
          <w:szCs w:val="12"/>
          <w:b w:val="1"/>
          <w:bCs w:val="1"/>
          <w:color w:val="auto"/>
        </w:rPr>
        <w:t>Balance 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1"/>
        <w:spacing w:after="0" w:line="239" w:lineRule="auto"/>
        <w:rPr>
          <w:sz w:val="20"/>
          <w:szCs w:val="20"/>
          <w:color w:val="auto"/>
        </w:rPr>
      </w:pPr>
      <w:r>
        <w:rPr>
          <w:rFonts w:ascii="Times New Roman" w:cs="Times New Roman" w:eastAsia="Times New Roman" w:hAnsi="Times New Roman"/>
          <w:sz w:val="10"/>
          <w:szCs w:val="10"/>
          <w:b w:val="1"/>
          <w:bCs w:val="1"/>
          <w:color w:val="auto"/>
        </w:rPr>
        <w:t>ZoomInfo Holdings LLC (Prior to Reorganization Transactions)</w:t>
      </w:r>
    </w:p>
    <w:p>
      <w:pPr>
        <w:spacing w:after="0" w:line="138" w:lineRule="exact"/>
        <w:rPr>
          <w:sz w:val="20"/>
          <w:szCs w:val="20"/>
          <w:color w:val="auto"/>
        </w:rPr>
      </w:pPr>
    </w:p>
    <w:p>
      <w:pPr>
        <w:jc w:val="center"/>
        <w:ind w:left="-1"/>
        <w:spacing w:after="0"/>
        <w:rPr>
          <w:sz w:val="20"/>
          <w:szCs w:val="20"/>
          <w:color w:val="auto"/>
        </w:rPr>
      </w:pPr>
      <w:r>
        <w:rPr>
          <w:rFonts w:ascii="Times New Roman" w:cs="Times New Roman" w:eastAsia="Times New Roman" w:hAnsi="Times New Roman"/>
          <w:sz w:val="11"/>
          <w:szCs w:val="11"/>
          <w:b w:val="1"/>
          <w:bCs w:val="1"/>
          <w:color w:val="auto"/>
        </w:rPr>
        <w:t>Members'</w:t>
      </w:r>
    </w:p>
    <w:p>
      <w:pPr>
        <w:jc w:val="center"/>
        <w:ind w:left="-1"/>
        <w:spacing w:after="0"/>
        <w:rPr>
          <w:sz w:val="20"/>
          <w:szCs w:val="20"/>
          <w:color w:val="auto"/>
        </w:rPr>
      </w:pPr>
      <w:r>
        <w:rPr>
          <w:rFonts w:ascii="Times New Roman" w:cs="Times New Roman" w:eastAsia="Times New Roman" w:hAnsi="Times New Roman"/>
          <w:sz w:val="11"/>
          <w:szCs w:val="11"/>
          <w:b w:val="1"/>
          <w:bCs w:val="1"/>
          <w:color w:val="auto"/>
        </w:rPr>
        <w:t>Deficit</w:t>
      </w:r>
    </w:p>
    <w:p>
      <w:pPr>
        <w:spacing w:after="0" w:line="33"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ind w:left="562" w:hanging="562"/>
        <w:spacing w:after="0"/>
        <w:tabs>
          <w:tab w:leader="none" w:pos="562"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45085</wp:posOffset>
            </wp:positionV>
            <wp:extent cx="4800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 millions, except share data; unaudited)(continued)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4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w w:val="99"/>
              </w:rPr>
              <w:t>ZoomInfo Technologies Inc. Stockholders' Equity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100" w:type="dxa"/>
            <w:vAlign w:val="bottom"/>
          </w:tcPr>
          <w:p>
            <w:pPr>
              <w:spacing w:after="0"/>
              <w:rPr>
                <w:sz w:val="8"/>
                <w:szCs w:val="8"/>
                <w:color w:val="auto"/>
              </w:rPr>
            </w:pPr>
          </w:p>
        </w:tc>
        <w:tc>
          <w:tcPr>
            <w:tcW w:w="66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AOCI</w:t>
            </w:r>
          </w:p>
        </w:tc>
        <w:tc>
          <w:tcPr>
            <w:tcW w:w="820" w:type="dxa"/>
            <w:vAlign w:val="bottom"/>
            <w:gridSpan w:val="2"/>
            <w:vMerge w:val="continue"/>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56"/>
        </w:trPr>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17,179,135</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(10,655,101)</w:t>
            </w: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8"/>
              </w:rPr>
              <w:t>(6,524,034)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(6,511)</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75"/>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5"/>
                <w:szCs w:val="15"/>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85"/>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70"/>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69,173,426</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228,491,601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91,582,353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402.1</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$(29.5)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color w:val="auto"/>
                <w:w w:val="95"/>
              </w:rPr>
              <w:t>$446.9</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color w:val="auto"/>
                <w:w w:val="95"/>
              </w:rPr>
              <w:t>$820.5</w:t>
            </w:r>
          </w:p>
        </w:tc>
        <w:tc>
          <w:tcPr>
            <w:tcW w:w="0" w:type="dxa"/>
            <w:vAlign w:val="bottom"/>
          </w:tcPr>
          <w:p>
            <w:pPr>
              <w:spacing w:after="0"/>
              <w:rPr>
                <w:sz w:val="1"/>
                <w:szCs w:val="1"/>
                <w:color w:val="auto"/>
              </w:rPr>
            </w:pPr>
          </w:p>
        </w:tc>
      </w:tr>
      <w:tr>
        <w:trPr>
          <w:trHeight w:val="26"/>
        </w:trPr>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-1191260</wp:posOffset>
            </wp:positionV>
            <wp:extent cx="7132320" cy="1174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7411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3">
            <w:col w:w="1940" w:space="118"/>
            <w:col w:w="722" w:space="180"/>
            <w:col w:w="8260"/>
          </w:cols>
          <w:pgMar w:left="340" w:top="1440"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220"/>
          </w:cols>
          <w:pgMar w:left="340" w:top="1440" w:right="339" w:bottom="1440" w:gutter="0" w:footer="0" w:header="0"/>
          <w:type w:val="continuous"/>
        </w:sectPr>
      </w:pPr>
    </w:p>
    <w:bookmarkStart w:id="258" w:name="page259"/>
    <w:bookmarkEnd w:id="25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 in millions; unaudited)</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7"/>
                <w:szCs w:val="17"/>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7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distributions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new accounting standard (ASC 842)</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7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distributions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outstanding equity / member units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7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distributions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outstanding equity / member units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60" w:type="dxa"/>
            <w:vAlign w:val="bottom"/>
          </w:tcPr>
          <w:p>
            <w:pPr>
              <w:spacing w:after="0"/>
              <w:rPr>
                <w:sz w:val="24"/>
                <w:szCs w:val="24"/>
                <w:color w:val="auto"/>
              </w:rPr>
            </w:pPr>
          </w:p>
        </w:tc>
        <w:tc>
          <w:tcPr>
            <w:tcW w:w="19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F-47</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9" w:name="page260"/>
    <w:bookmarkEnd w:id="259"/>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80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9"/>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 receivable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Unearned revenue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0"/>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185"/>
        </w:trPr>
        <w:tc>
          <w:tcPr>
            <w:tcW w:w="8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07"/>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(724.2)</w:t>
            </w:r>
          </w:p>
        </w:tc>
      </w:tr>
      <w:tr>
        <w:trPr>
          <w:trHeight w:val="185"/>
        </w:trPr>
        <w:tc>
          <w:tcPr>
            <w:tcW w:w="8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IPO issuance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distributions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w:t>
            </w:r>
          </w:p>
        </w:tc>
      </w:tr>
      <w:tr>
        <w:trPr>
          <w:trHeight w:val="185"/>
        </w:trPr>
        <w:tc>
          <w:tcPr>
            <w:tcW w:w="8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paid in cash</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taxes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variable consideration from acquisition of a business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1240"/>
          </w:cols>
          <w:pgMar w:left="320" w:top="1440" w:right="339" w:bottom="1440" w:gutter="0" w:footer="0" w:header="0"/>
          <w:type w:val="continuous"/>
        </w:sectPr>
      </w:pPr>
    </w:p>
    <w:bookmarkStart w:id="260" w:name="page261"/>
    <w:bookmarkEnd w:id="26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61">
              <w:r>
                <w:rPr>
                  <w:rFonts w:ascii="Times New Roman" w:cs="Times New Roman" w:eastAsia="Times New Roman" w:hAnsi="Times New Roman"/>
                  <w:sz w:val="18"/>
                  <w:szCs w:val="18"/>
                  <w:u w:val="single" w:color="auto"/>
                  <w:color w:val="0000FF"/>
                </w:rPr>
                <w:t>Note 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61">
              <w:r>
                <w:rPr>
                  <w:rFonts w:ascii="Times New Roman" w:cs="Times New Roman" w:eastAsia="Times New Roman" w:hAnsi="Times New Roman"/>
                  <w:sz w:val="18"/>
                  <w:szCs w:val="18"/>
                  <w:u w:val="single" w:color="auto"/>
                  <w:color w:val="0000FF"/>
                </w:rPr>
                <w:t>Organization and Background</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61">
              <w:r>
                <w:rPr>
                  <w:rFonts w:ascii="Times New Roman" w:cs="Times New Roman" w:eastAsia="Times New Roman" w:hAnsi="Times New Roman"/>
                  <w:sz w:val="18"/>
                  <w:szCs w:val="18"/>
                  <w:color w:val="auto"/>
                  <w:w w:val="93"/>
                </w:rPr>
                <w:t>F-50</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63">
              <w:r>
                <w:rPr>
                  <w:rFonts w:ascii="Times New Roman" w:cs="Times New Roman" w:eastAsia="Times New Roman" w:hAnsi="Times New Roman"/>
                  <w:sz w:val="18"/>
                  <w:szCs w:val="18"/>
                  <w:u w:val="single" w:color="auto"/>
                  <w:color w:val="0000FF"/>
                </w:rPr>
                <w:t>Note 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63">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63">
              <w:r>
                <w:rPr>
                  <w:rFonts w:ascii="Times New Roman" w:cs="Times New Roman" w:eastAsia="Times New Roman" w:hAnsi="Times New Roman"/>
                  <w:sz w:val="18"/>
                  <w:szCs w:val="18"/>
                  <w:color w:val="auto"/>
                  <w:w w:val="93"/>
                </w:rPr>
                <w:t>F-51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1">
              <w:r>
                <w:rPr>
                  <w:rFonts w:ascii="Times New Roman" w:cs="Times New Roman" w:eastAsia="Times New Roman" w:hAnsi="Times New Roman"/>
                  <w:sz w:val="18"/>
                  <w:szCs w:val="18"/>
                  <w:u w:val="single" w:color="auto"/>
                  <w:color w:val="0000FF"/>
                </w:rPr>
                <w:t>Note 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1">
              <w:r>
                <w:rPr>
                  <w:rFonts w:ascii="Times New Roman" w:cs="Times New Roman" w:eastAsia="Times New Roman" w:hAnsi="Times New Roman"/>
                  <w:sz w:val="18"/>
                  <w:szCs w:val="18"/>
                  <w:u w:val="single" w:color="auto"/>
                  <w:color w:val="0000FF"/>
                </w:rPr>
                <w:t>Revenue from Contracts with Customers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1">
              <w:r>
                <w:rPr>
                  <w:rFonts w:ascii="Times New Roman" w:cs="Times New Roman" w:eastAsia="Times New Roman" w:hAnsi="Times New Roman"/>
                  <w:sz w:val="18"/>
                  <w:szCs w:val="18"/>
                  <w:color w:val="auto"/>
                  <w:w w:val="93"/>
                </w:rPr>
                <w:t>F-59</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2">
              <w:r>
                <w:rPr>
                  <w:rFonts w:ascii="Times New Roman" w:cs="Times New Roman" w:eastAsia="Times New Roman" w:hAnsi="Times New Roman"/>
                  <w:sz w:val="18"/>
                  <w:szCs w:val="18"/>
                  <w:u w:val="single" w:color="auto"/>
                  <w:color w:val="0000FF"/>
                </w:rPr>
                <w:t>Note 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2">
              <w:r>
                <w:rPr>
                  <w:rFonts w:ascii="Times New Roman" w:cs="Times New Roman" w:eastAsia="Times New Roman" w:hAnsi="Times New Roman"/>
                  <w:sz w:val="18"/>
                  <w:szCs w:val="18"/>
                  <w:u w:val="single" w:color="auto"/>
                  <w:color w:val="0000FF"/>
                </w:rPr>
                <w:t>Business Combinations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2">
              <w:r>
                <w:rPr>
                  <w:rFonts w:ascii="Times New Roman" w:cs="Times New Roman" w:eastAsia="Times New Roman" w:hAnsi="Times New Roman"/>
                  <w:sz w:val="18"/>
                  <w:szCs w:val="18"/>
                  <w:color w:val="auto"/>
                  <w:w w:val="93"/>
                </w:rPr>
                <w:t>F-60</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5">
              <w:r>
                <w:rPr>
                  <w:rFonts w:ascii="Times New Roman" w:cs="Times New Roman" w:eastAsia="Times New Roman" w:hAnsi="Times New Roman"/>
                  <w:sz w:val="18"/>
                  <w:szCs w:val="18"/>
                  <w:u w:val="single" w:color="auto"/>
                  <w:color w:val="0000FF"/>
                </w:rPr>
                <w:t>Note 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5">
              <w:r>
                <w:rPr>
                  <w:rFonts w:ascii="Times New Roman" w:cs="Times New Roman" w:eastAsia="Times New Roman" w:hAnsi="Times New Roman"/>
                  <w:sz w:val="18"/>
                  <w:szCs w:val="18"/>
                  <w:u w:val="single" w:color="auto"/>
                  <w:color w:val="0000FF"/>
                </w:rPr>
                <w:t>Cash and Cash Equivalents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5">
              <w:r>
                <w:rPr>
                  <w:rFonts w:ascii="Times New Roman" w:cs="Times New Roman" w:eastAsia="Times New Roman" w:hAnsi="Times New Roman"/>
                  <w:sz w:val="18"/>
                  <w:szCs w:val="18"/>
                  <w:color w:val="auto"/>
                  <w:w w:val="93"/>
                </w:rPr>
                <w:t>F-63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5">
              <w:r>
                <w:rPr>
                  <w:rFonts w:ascii="Times New Roman" w:cs="Times New Roman" w:eastAsia="Times New Roman" w:hAnsi="Times New Roman"/>
                  <w:sz w:val="18"/>
                  <w:szCs w:val="18"/>
                  <w:u w:val="single" w:color="auto"/>
                  <w:color w:val="0000FF"/>
                </w:rPr>
                <w:t>Note 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5">
              <w:r>
                <w:rPr>
                  <w:rFonts w:ascii="Times New Roman" w:cs="Times New Roman" w:eastAsia="Times New Roman" w:hAnsi="Times New Roman"/>
                  <w:sz w:val="18"/>
                  <w:szCs w:val="18"/>
                  <w:u w:val="single" w:color="auto"/>
                  <w:color w:val="0000FF"/>
                </w:rPr>
                <w:t>Property and Equipment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5">
              <w:r>
                <w:rPr>
                  <w:rFonts w:ascii="Times New Roman" w:cs="Times New Roman" w:eastAsia="Times New Roman" w:hAnsi="Times New Roman"/>
                  <w:sz w:val="18"/>
                  <w:szCs w:val="18"/>
                  <w:color w:val="auto"/>
                  <w:w w:val="93"/>
                </w:rPr>
                <w:t>F-64</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Note 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Goodwill and Acquired Intangible Assets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6">
              <w:r>
                <w:rPr>
                  <w:rFonts w:ascii="Times New Roman" w:cs="Times New Roman" w:eastAsia="Times New Roman" w:hAnsi="Times New Roman"/>
                  <w:sz w:val="18"/>
                  <w:szCs w:val="18"/>
                  <w:color w:val="auto"/>
                  <w:w w:val="93"/>
                </w:rPr>
                <w:t>F-64</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Note 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Financing Arrangements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6">
              <w:r>
                <w:rPr>
                  <w:rFonts w:ascii="Times New Roman" w:cs="Times New Roman" w:eastAsia="Times New Roman" w:hAnsi="Times New Roman"/>
                  <w:sz w:val="18"/>
                  <w:szCs w:val="18"/>
                  <w:color w:val="auto"/>
                  <w:w w:val="93"/>
                </w:rPr>
                <w:t>F-65</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Note 9</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Derivatives and Hedging Activities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9">
              <w:r>
                <w:rPr>
                  <w:rFonts w:ascii="Times New Roman" w:cs="Times New Roman" w:eastAsia="Times New Roman" w:hAnsi="Times New Roman"/>
                  <w:sz w:val="18"/>
                  <w:szCs w:val="18"/>
                  <w:color w:val="auto"/>
                  <w:w w:val="93"/>
                </w:rPr>
                <w:t>F-67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1">
              <w:r>
                <w:rPr>
                  <w:rFonts w:ascii="Times New Roman" w:cs="Times New Roman" w:eastAsia="Times New Roman" w:hAnsi="Times New Roman"/>
                  <w:sz w:val="18"/>
                  <w:szCs w:val="18"/>
                  <w:u w:val="single" w:color="auto"/>
                  <w:color w:val="0000FF"/>
                </w:rPr>
                <w:t>Note 10</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1">
              <w:r>
                <w:rPr>
                  <w:rFonts w:ascii="Times New Roman" w:cs="Times New Roman" w:eastAsia="Times New Roman" w:hAnsi="Times New Roman"/>
                  <w:sz w:val="18"/>
                  <w:szCs w:val="18"/>
                  <w:u w:val="single" w:color="auto"/>
                  <w:color w:val="0000FF"/>
                </w:rPr>
                <w:t>Fair Value</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1">
              <w:r>
                <w:rPr>
                  <w:rFonts w:ascii="Times New Roman" w:cs="Times New Roman" w:eastAsia="Times New Roman" w:hAnsi="Times New Roman"/>
                  <w:sz w:val="18"/>
                  <w:szCs w:val="18"/>
                  <w:color w:val="auto"/>
                  <w:w w:val="93"/>
                </w:rPr>
                <w:t>F-69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Note 11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Commitments and Contingencies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2">
              <w:r>
                <w:rPr>
                  <w:rFonts w:ascii="Times New Roman" w:cs="Times New Roman" w:eastAsia="Times New Roman" w:hAnsi="Times New Roman"/>
                  <w:sz w:val="18"/>
                  <w:szCs w:val="18"/>
                  <w:color w:val="auto"/>
                  <w:w w:val="93"/>
                </w:rPr>
                <w:t>F-70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Note 12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Noncontrolling Interest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2">
              <w:r>
                <w:rPr>
                  <w:rFonts w:ascii="Times New Roman" w:cs="Times New Roman" w:eastAsia="Times New Roman" w:hAnsi="Times New Roman"/>
                  <w:sz w:val="18"/>
                  <w:szCs w:val="18"/>
                  <w:color w:val="auto"/>
                  <w:w w:val="93"/>
                </w:rPr>
                <w:t>F-71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3">
              <w:r>
                <w:rPr>
                  <w:rFonts w:ascii="Times New Roman" w:cs="Times New Roman" w:eastAsia="Times New Roman" w:hAnsi="Times New Roman"/>
                  <w:sz w:val="18"/>
                  <w:szCs w:val="18"/>
                  <w:u w:val="single" w:color="auto"/>
                  <w:color w:val="0000FF"/>
                </w:rPr>
                <w:t>Note 13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3">
              <w:r>
                <w:rPr>
                  <w:rFonts w:ascii="Times New Roman" w:cs="Times New Roman" w:eastAsia="Times New Roman" w:hAnsi="Times New Roman"/>
                  <w:sz w:val="18"/>
                  <w:szCs w:val="18"/>
                  <w:u w:val="single" w:color="auto"/>
                  <w:color w:val="0000FF"/>
                </w:rPr>
                <w:t>Earnings Per Share</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3">
              <w:r>
                <w:rPr>
                  <w:rFonts w:ascii="Times New Roman" w:cs="Times New Roman" w:eastAsia="Times New Roman" w:hAnsi="Times New Roman"/>
                  <w:sz w:val="18"/>
                  <w:szCs w:val="18"/>
                  <w:color w:val="auto"/>
                  <w:w w:val="93"/>
                </w:rPr>
                <w:t>F-71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Note 14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Leases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5">
              <w:r>
                <w:rPr>
                  <w:rFonts w:ascii="Times New Roman" w:cs="Times New Roman" w:eastAsia="Times New Roman" w:hAnsi="Times New Roman"/>
                  <w:sz w:val="18"/>
                  <w:szCs w:val="18"/>
                  <w:color w:val="auto"/>
                  <w:w w:val="93"/>
                </w:rPr>
                <w:t>F-73</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6">
              <w:r>
                <w:rPr>
                  <w:rFonts w:ascii="Times New Roman" w:cs="Times New Roman" w:eastAsia="Times New Roman" w:hAnsi="Times New Roman"/>
                  <w:sz w:val="18"/>
                  <w:szCs w:val="18"/>
                  <w:u w:val="single" w:color="auto"/>
                  <w:color w:val="0000FF"/>
                </w:rPr>
                <w:t>Note 15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6">
              <w:r>
                <w:rPr>
                  <w:rFonts w:ascii="Times New Roman" w:cs="Times New Roman" w:eastAsia="Times New Roman" w:hAnsi="Times New Roman"/>
                  <w:sz w:val="18"/>
                  <w:szCs w:val="18"/>
                  <w:u w:val="single" w:color="auto"/>
                  <w:color w:val="0000FF"/>
                </w:rPr>
                <w:t>Redeemable Series A Preferred Units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6">
              <w:r>
                <w:rPr>
                  <w:rFonts w:ascii="Times New Roman" w:cs="Times New Roman" w:eastAsia="Times New Roman" w:hAnsi="Times New Roman"/>
                  <w:sz w:val="18"/>
                  <w:szCs w:val="18"/>
                  <w:color w:val="auto"/>
                  <w:w w:val="93"/>
                </w:rPr>
                <w:t>F-74</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7">
              <w:r>
                <w:rPr>
                  <w:rFonts w:ascii="Times New Roman" w:cs="Times New Roman" w:eastAsia="Times New Roman" w:hAnsi="Times New Roman"/>
                  <w:sz w:val="18"/>
                  <w:szCs w:val="18"/>
                  <w:u w:val="single" w:color="auto"/>
                  <w:color w:val="0000FF"/>
                </w:rPr>
                <w:t>Note 16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7">
              <w:r>
                <w:rPr>
                  <w:rFonts w:ascii="Times New Roman" w:cs="Times New Roman" w:eastAsia="Times New Roman" w:hAnsi="Times New Roman"/>
                  <w:sz w:val="18"/>
                  <w:szCs w:val="18"/>
                  <w:u w:val="single" w:color="auto"/>
                  <w:color w:val="0000FF"/>
                </w:rPr>
                <w:t>Equity-Based Compensation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7">
              <w:r>
                <w:rPr>
                  <w:rFonts w:ascii="Times New Roman" w:cs="Times New Roman" w:eastAsia="Times New Roman" w:hAnsi="Times New Roman"/>
                  <w:sz w:val="18"/>
                  <w:szCs w:val="18"/>
                  <w:color w:val="auto"/>
                  <w:w w:val="93"/>
                </w:rPr>
                <w:t>F-75</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92">
              <w:r>
                <w:rPr>
                  <w:rFonts w:ascii="Times New Roman" w:cs="Times New Roman" w:eastAsia="Times New Roman" w:hAnsi="Times New Roman"/>
                  <w:sz w:val="18"/>
                  <w:szCs w:val="18"/>
                  <w:u w:val="single" w:color="auto"/>
                  <w:color w:val="0000FF"/>
                </w:rPr>
                <w:t>Note 17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92">
              <w:r>
                <w:rPr>
                  <w:rFonts w:ascii="Times New Roman" w:cs="Times New Roman" w:eastAsia="Times New Roman" w:hAnsi="Times New Roman"/>
                  <w:sz w:val="18"/>
                  <w:szCs w:val="18"/>
                  <w:u w:val="single" w:color="auto"/>
                  <w:color w:val="0000FF"/>
                </w:rPr>
                <w:t>Income Taxes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92">
              <w:r>
                <w:rPr>
                  <w:rFonts w:ascii="Times New Roman" w:cs="Times New Roman" w:eastAsia="Times New Roman" w:hAnsi="Times New Roman"/>
                  <w:sz w:val="18"/>
                  <w:szCs w:val="18"/>
                  <w:color w:val="auto"/>
                  <w:w w:val="93"/>
                </w:rPr>
                <w:t>F-80</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93">
              <w:r>
                <w:rPr>
                  <w:rFonts w:ascii="Times New Roman" w:cs="Times New Roman" w:eastAsia="Times New Roman" w:hAnsi="Times New Roman"/>
                  <w:sz w:val="18"/>
                  <w:szCs w:val="18"/>
                  <w:u w:val="single" w:color="auto"/>
                  <w:color w:val="0000FF"/>
                </w:rPr>
                <w:t>Note 18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2">
              <w:r>
                <w:rPr>
                  <w:rFonts w:ascii="Times New Roman" w:cs="Times New Roman" w:eastAsia="Times New Roman" w:hAnsi="Times New Roman"/>
                  <w:sz w:val="18"/>
                  <w:szCs w:val="18"/>
                  <w:u w:val="single" w:color="auto"/>
                  <w:color w:val="0000FF"/>
                </w:rPr>
                <w:t>Subsequent Events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93">
              <w:r>
                <w:rPr>
                  <w:rFonts w:ascii="Times New Roman" w:cs="Times New Roman" w:eastAsia="Times New Roman" w:hAnsi="Times New Roman"/>
                  <w:sz w:val="18"/>
                  <w:szCs w:val="18"/>
                  <w:color w:val="auto"/>
                  <w:w w:val="93"/>
                </w:rPr>
                <w:t>F-81</w:t>
              </w:r>
            </w:hyperlink>
          </w:p>
        </w:tc>
      </w:tr>
      <w:tr>
        <w:trPr>
          <w:trHeight w:val="891"/>
        </w:trPr>
        <w:tc>
          <w:tcPr>
            <w:tcW w:w="900" w:type="dxa"/>
            <w:vAlign w:val="bottom"/>
          </w:tcPr>
          <w:p>
            <w:pPr>
              <w:spacing w:after="0"/>
              <w:rPr>
                <w:sz w:val="24"/>
                <w:szCs w:val="24"/>
                <w:color w:val="auto"/>
              </w:rPr>
            </w:pPr>
          </w:p>
        </w:tc>
        <w:tc>
          <w:tcPr>
            <w:tcW w:w="7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F-49</w:t>
            </w:r>
          </w:p>
        </w:tc>
        <w:tc>
          <w:tcPr>
            <w:tcW w:w="2520" w:type="dxa"/>
            <w:vAlign w:val="bottom"/>
          </w:tcPr>
          <w:p>
            <w:pPr>
              <w:spacing w:after="0"/>
              <w:rPr>
                <w:sz w:val="24"/>
                <w:szCs w:val="24"/>
                <w:color w:val="auto"/>
              </w:rPr>
            </w:pPr>
          </w:p>
        </w:tc>
      </w:tr>
    </w:tbl>
    <w:p>
      <w:pPr>
        <w:sectPr>
          <w:pgSz w:w="11900" w:h="16838" w:orient="portrait"/>
          <w:cols w:equalWidth="0" w:num="1">
            <w:col w:w="11020"/>
          </w:cols>
          <w:pgMar w:left="340" w:top="1413" w:right="539" w:bottom="1440" w:gutter="0" w:footer="0" w:header="0"/>
        </w:sectPr>
      </w:pPr>
    </w:p>
    <w:bookmarkStart w:id="261" w:name="page262"/>
    <w:bookmarkEnd w:id="2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29" w:lineRule="exact"/>
        <w:rPr>
          <w:sz w:val="20"/>
          <w:szCs w:val="20"/>
          <w:color w:val="auto"/>
        </w:rPr>
      </w:pPr>
    </w:p>
    <w:p>
      <w:pPr>
        <w:ind w:right="1360" w:firstLine="324"/>
        <w:spacing w:after="0" w:line="438" w:lineRule="auto"/>
        <w:rPr>
          <w:sz w:val="20"/>
          <w:szCs w:val="20"/>
          <w:color w:val="auto"/>
        </w:rPr>
      </w:pPr>
      <w:r>
        <w:rPr>
          <w:rFonts w:ascii="Times New Roman" w:cs="Times New Roman" w:eastAsia="Times New Roman" w:hAnsi="Times New Roman"/>
          <w:sz w:val="18"/>
          <w:szCs w:val="18"/>
          <w:color w:val="auto"/>
        </w:rPr>
        <w:t xml:space="preserve">The Company headquarters are located in Vancouver, WA, and we operate in six offices throughout the U.S. and one office in Israel. </w:t>
      </w:r>
      <w:r>
        <w:rPr>
          <w:rFonts w:ascii="Times New Roman" w:cs="Times New Roman" w:eastAsia="Times New Roman" w:hAnsi="Times New Roman"/>
          <w:sz w:val="18"/>
          <w:szCs w:val="18"/>
          <w:b w:val="1"/>
          <w:bCs w:val="1"/>
          <w:i w:val="1"/>
          <w:iCs w:val="1"/>
          <w:color w:val="auto"/>
        </w:rPr>
        <w:t>Initial Public Offering</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71"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440"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Contributions”) and the redemption of some OpCo Units pursuant to which the holders of such OpCo Units received HoldCo Units; and</w:t>
      </w:r>
    </w:p>
    <w:p>
      <w:pPr>
        <w:spacing w:after="0" w:line="171" w:lineRule="exact"/>
        <w:rPr>
          <w:sz w:val="20"/>
          <w:szCs w:val="20"/>
          <w:color w:val="auto"/>
        </w:rPr>
      </w:pPr>
    </w:p>
    <w:p>
      <w:pPr>
        <w:jc w:val="both"/>
        <w:ind w:left="660" w:hanging="328"/>
        <w:spacing w:after="0" w:line="261"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September 30, 2020, ZoomInfo Technologies Inc. owned 98% of the outstanding HoldCo Units, and ZoomInfo HoldCo owned 42% of the outstanding OpCo Units.</w:t>
      </w:r>
    </w:p>
    <w:p>
      <w:pPr>
        <w:spacing w:after="0" w:line="138" w:lineRule="exact"/>
        <w:rPr>
          <w:sz w:val="20"/>
          <w:szCs w:val="20"/>
          <w:color w:val="auto"/>
        </w:rPr>
      </w:pPr>
    </w:p>
    <w:p>
      <w:pPr>
        <w:ind w:firstLine="324"/>
        <w:spacing w:after="0" w:line="525" w:lineRule="auto"/>
        <w:rPr>
          <w:sz w:val="20"/>
          <w:szCs w:val="20"/>
          <w:color w:val="auto"/>
        </w:rPr>
      </w:pPr>
      <w:r>
        <w:rPr>
          <w:rFonts w:ascii="Times New Roman" w:cs="Times New Roman" w:eastAsia="Times New Roman" w:hAnsi="Times New Roman"/>
          <w:sz w:val="18"/>
          <w:szCs w:val="18"/>
          <w:color w:val="auto"/>
        </w:rPr>
        <w:t xml:space="preserve">In connection with the Reorganization Transactions and the IPO, ZoomInfo Technologies Inc. entered into two tax receivable agreements. See Note 17. </w:t>
      </w: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2020 are not necessarily indicative of the operating results that may be expected for the full fiscal year ending December 31, 2020 or any future period.</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September 30, 2020, and results of operations for the three and nine months ended September 30, 2020 and 2019, and cash flows for the nine months ended September 30, 2020 and 2019. The Condensed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603"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annually, semi-annually, or quarterly in advance of delivery.</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846"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 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later codified as Accounting Standards Codification (“ASC”) Topic 606 (collectively with subsequent amendments, “Topic 606”).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these amounts based on historical experience and reduces revenue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Cash equivalents consist of highly liquid marketable debt securities with remaining maturities of three months or less at the date of purchase. We classify our investments in marketable debt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shall be recognized in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inputs or methodology used for valuing financial assets and liabilities are not necessarily an indication of the risk associated with investing in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846"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expectations. No single customer accounted for 10% or more of our revenue for the three and nine months ended September 30, 2020 and 2019, or accounted for more than 10% of accounts receivable as of September 30, 2020 and December 31, 2019. Net assets located outside of the United States were immaterial as of September 30, 2020 and December 31,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September 30, 2020 and December 31, 2019.</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Times New Roman" w:cs="Times New Roman" w:eastAsia="Times New Roman" w:hAnsi="Times New Roman"/>
          <w:sz w:val="18"/>
          <w:szCs w:val="18"/>
          <w:i w:val="1"/>
          <w:iCs w:val="1"/>
          <w:color w:val="auto"/>
        </w:rPr>
        <w:t>Deferred costs</w:t>
      </w:r>
      <w:r>
        <w:rPr>
          <w:rFonts w:ascii="Times New Roman" w:cs="Times New Roman" w:eastAsia="Times New Roman" w:hAnsi="Times New Roman"/>
          <w:sz w:val="18"/>
          <w:szCs w:val="18"/>
          <w:color w:val="auto"/>
        </w:rPr>
        <w:t xml:space="preserve"> and noncurrent amounts are included in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net of current portion </w:t>
      </w:r>
      <w:r>
        <w:rPr>
          <w:rFonts w:ascii="Times New Roman" w:cs="Times New Roman" w:eastAsia="Times New Roman" w:hAnsi="Times New Roman"/>
          <w:sz w:val="18"/>
          <w:szCs w:val="18"/>
          <w:color w:val="auto"/>
        </w:rPr>
        <w:t>in our Condensed Consolidated Balance Sheets. Deferred sales commissions are amortized on a straight-line basis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Statements of Operations.</w:t>
      </w:r>
    </w:p>
    <w:p>
      <w:pPr>
        <w:spacing w:after="0" w:line="133" w:lineRule="exact"/>
        <w:rPr>
          <w:sz w:val="20"/>
          <w:szCs w:val="20"/>
          <w:color w:val="auto"/>
        </w:rPr>
      </w:pPr>
    </w:p>
    <w:p>
      <w:pPr>
        <w:ind w:right="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Certain commissions are not capitalized as they do not represent incremental costs of obtaining a contract. Such commissions are expensed as incurred. </w:t>
      </w:r>
      <w:r>
        <w:rPr>
          <w:rFonts w:ascii="Times New Roman" w:cs="Times New Roman" w:eastAsia="Times New Roman" w:hAnsi="Times New Roman"/>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costs as incurred in accordance with ASC 720-35, Other Expenses - Advertising Cost. Advertising expenses of $3.4 million and $8.9 million were recorded for the three and nine months ended September 30, 2020. Advertising expenses of $3.5 million and $6.9 million were recorded for the three and nine months ended September 30, 2019. Advertising expenses are included in Sales and marketing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846"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846"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nine month periods ended September 30, 2020 and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846"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incentive units in accordance with ASC 718, Compensation-Stock Compensation (ASC 718). In accordance with ASC 718, compensation expense is measured at estimated fair value of the incentive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846"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and is included as compensation expense over the vesting period during which an employee provides service in exchange for the award.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846"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comprised the following service offerings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services, which is a service whereby customers can verify that emails are valid prior to sending and can be helpful to avoid wasting resources or being flagged as sending spam.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Of the total revenue recognized in the three and nine months ended September 30, 2020, $26.0 million and $142.8 million were included in the unearned revenue balance as of December 31, 2019, respectively. Of the total revenue recognized in the three and nine months ended September 30, 2019, $7.2 million and $46.6 million were included in the unearned revenue balance as of December 31, 2018, respectively. Revenue recognized from performance obligations satisfied (or partially satisfied) in previous periods was not material for the three and nine months ended September 30, 2020 and 2019.</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9% and 9% of our total revenues in the three months ended September 30, 2020 and 2019, respectively. Revenues derived from customers and partners located outside the United States accounted for approximately 9% and 8% of our total revenues in the nine months ended September 30, 2020 and 2019, respectively. We have no Company sales offices located in a foreign country as of September 30, 2020, and we contract exclusively with our customers in the United States Dollar.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846"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new business timing within the quarter. The unearned revenue balance does not represent the total contract value of annual or multi-year, non-cancelable subscription agreements.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2020 and December 31, 2019, the Company had contract assets of $2.1 million and $0.1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in the Company’s Condensed Consolidated Balance Sheets. As of September 30, 2020 and December 31, 2019, the Company had unearned revenue of $176.0 million and $159.1 million, respectively.</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within one</w:t>
            </w:r>
          </w:p>
        </w:tc>
        <w:tc>
          <w:tcPr>
            <w:tcW w:w="280" w:type="dxa"/>
            <w:vAlign w:val="bottom"/>
          </w:tcPr>
          <w:p>
            <w:pPr>
              <w:spacing w:after="0"/>
              <w:rPr>
                <w:sz w:val="13"/>
                <w:szCs w:val="13"/>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60" w:type="dxa"/>
            <w:vAlign w:val="bottom"/>
          </w:tcPr>
          <w:p>
            <w:pPr>
              <w:spacing w:after="0"/>
              <w:rPr>
                <w:sz w:val="13"/>
                <w:szCs w:val="13"/>
                <w:color w:val="auto"/>
              </w:rPr>
            </w:pPr>
          </w:p>
        </w:tc>
        <w:tc>
          <w:tcPr>
            <w:tcW w:w="12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2020</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nine months ended September 30, 2020, the Company adjusted the Komiko contingent payment liability by $(0.4)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846"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2.4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2.2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6.3</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8.5</w:t>
            </w:r>
          </w:p>
        </w:tc>
      </w:tr>
      <w:tr>
        <w:trPr>
          <w:trHeight w:val="230"/>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Times New Roman" w:cs="Times New Roman" w:eastAsia="Times New Roman" w:hAnsi="Times New Roman"/>
          <w:sz w:val="18"/>
          <w:szCs w:val="18"/>
          <w:i w:val="1"/>
          <w:iCs w:val="1"/>
          <w:color w:val="auto"/>
        </w:rPr>
        <w:t>Restructuring and transaction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Consolidated Statements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0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4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4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4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44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4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0"/>
        </w:trPr>
        <w:tc>
          <w:tcPr>
            <w:tcW w:w="5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5"/>
        </w:trPr>
        <w:tc>
          <w:tcPr>
            <w:tcW w:w="5200" w:type="dxa"/>
            <w:vAlign w:val="bottom"/>
          </w:tcPr>
          <w:p>
            <w:pPr>
              <w:spacing w:after="0"/>
              <w:rPr>
                <w:sz w:val="24"/>
                <w:szCs w:val="24"/>
                <w:color w:val="auto"/>
              </w:rPr>
            </w:pPr>
          </w:p>
        </w:tc>
        <w:tc>
          <w:tcPr>
            <w:tcW w:w="5080" w:type="dxa"/>
            <w:vAlign w:val="bottom"/>
            <w:gridSpan w:val="2"/>
          </w:tcPr>
          <w:p>
            <w:pPr>
              <w:jc w:val="right"/>
              <w:ind w:right="4390"/>
              <w:spacing w:after="0"/>
              <w:rPr>
                <w:sz w:val="20"/>
                <w:szCs w:val="20"/>
                <w:color w:val="auto"/>
              </w:rPr>
            </w:pPr>
            <w:r>
              <w:rPr>
                <w:rFonts w:ascii="Times New Roman" w:cs="Times New Roman" w:eastAsia="Times New Roman" w:hAnsi="Times New Roman"/>
                <w:sz w:val="18"/>
                <w:szCs w:val="18"/>
                <w:color w:val="auto"/>
              </w:rPr>
              <w:t>F-61</w:t>
            </w:r>
          </w:p>
        </w:tc>
        <w:tc>
          <w:tcPr>
            <w:tcW w:w="960" w:type="dxa"/>
            <w:vAlign w:val="bottom"/>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purchase agreement, the Company agreed to pay deferred consideration of $25.0 million and $10.0 million on the first and second anniversary of the Pre-Acquisition ZI acquisition, respectively. As of September 30, 2020, $9.9 million was recorded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the Company’s Condensed Consolidated Balance Sheets representing the present value of the $10.0 million deferred consideration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in 2021. The fair value of the deferred consideration payments was determined using a present value calculation. The following table summarizes the fair values of the assets acquired and liabilities assumed, as of the date of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9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23"/>
        </w:trPr>
        <w:tc>
          <w:tcPr>
            <w:tcW w:w="9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9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acquired</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potential value of future payments under the Cash Vesting Payment Program was $5.9 million to be paid to employees through 2022, assuming continued employment for each employee. The Company recognized $1.3 million and $5.3 million of expense under the Cash Vesting Program for the three and nine months ended September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846"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8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68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consisted of the following as of September 30, 2020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20"/>
                <w:szCs w:val="20"/>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0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46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consisted of $41.4 million of cash as of December 31, 2019.</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 10 for further information regarding the fair value of our financial instruments.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immaterial gross unrealized losses related to our available-for-sale securities as of September 30, 2020. The following table summarizes the fair value of our available-for-sale securities that have been in a continuous unrealized loss position as of September 30,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40" w:type="dxa"/>
            <w:vAlign w:val="bottom"/>
            <w:tcBorders>
              <w:top w:val="single" w:sz="8" w:color="auto"/>
            </w:tcBorders>
          </w:tcPr>
          <w:p>
            <w:pPr>
              <w:jc w:val="center"/>
              <w:ind w:right="84"/>
              <w:spacing w:after="0" w:line="134" w:lineRule="exact"/>
              <w:rPr>
                <w:sz w:val="20"/>
                <w:szCs w:val="20"/>
                <w:color w:val="auto"/>
              </w:rPr>
            </w:pPr>
            <w:r>
              <w:rPr>
                <w:rFonts w:ascii="Times New Roman" w:cs="Times New Roman" w:eastAsia="Times New Roman" w:hAnsi="Times New Roman"/>
                <w:sz w:val="14"/>
                <w:szCs w:val="14"/>
                <w:b w:val="1"/>
                <w:bCs w:val="1"/>
                <w:color w:val="auto"/>
              </w:rPr>
              <w:t>Less Than Twelve</w:t>
            </w:r>
          </w:p>
        </w:tc>
        <w:tc>
          <w:tcPr>
            <w:tcW w:w="15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More Than Twelve</w:t>
            </w:r>
          </w:p>
        </w:tc>
        <w:tc>
          <w:tcPr>
            <w:tcW w:w="80" w:type="dxa"/>
            <w:vAlign w:val="bottom"/>
          </w:tcPr>
          <w:p>
            <w:pPr>
              <w:spacing w:after="0"/>
              <w:rPr>
                <w:sz w:val="11"/>
                <w:szCs w:val="11"/>
                <w:color w:val="auto"/>
              </w:rPr>
            </w:pPr>
          </w:p>
        </w:tc>
        <w:tc>
          <w:tcPr>
            <w:tcW w:w="1700" w:type="dxa"/>
            <w:vAlign w:val="bottom"/>
            <w:tcBorders>
              <w:top w:val="single" w:sz="8" w:color="auto"/>
            </w:tcBorders>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Less Than Twelve</w:t>
            </w:r>
          </w:p>
        </w:tc>
        <w:tc>
          <w:tcPr>
            <w:tcW w:w="16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More Than Twelve</w:t>
            </w: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7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3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5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$17.6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five securities in an unrealized loss position for less than twelve months at September 30, 2020. There were no securities in an unrealized loss position for more than twelve months at September 30,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846" w:right="339" w:bottom="1440" w:gutter="0" w:footer="0" w:header="0"/>
        </w:sectPr>
      </w:pPr>
    </w:p>
    <w:bookmarkStart w:id="275" w:name="page276"/>
    <w:bookmarkEnd w:id="2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fixed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82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$2.4 million and $1.8 million for the three months ended September 30, 2020 and 2019, respectively. Depreciation expense was $6.4 million and $4.2 million for the nine months ended September 30, 2020 and 2019,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2020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89"/>
        </w:trPr>
        <w:tc>
          <w:tcPr>
            <w:tcW w:w="4640" w:type="dxa"/>
            <w:vAlign w:val="bottom"/>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$10.1 million and $11.2 million for the three months ended September 30, 2020 and 2019, respectively. Amortization expense was $30.6 million and $32.5 million for the nine months ended September 30, 2020 and 2019,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as of September 30, 2020, was $966.8 million, and there have been no changes since December 31, 2019.</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nine months ended September 30, 2020 or September 30,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440"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and December 31, 2019, the carrying values of the Company’s borrowings were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189"/>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Elected Interest Rate</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2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2026</w:t>
            </w: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+ 3.75%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2024</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LIBOR + 3.50%</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2027</w:t>
            </w: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+ 8.50%</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155"/>
        </w:trPr>
        <w:tc>
          <w:tcPr>
            <w:tcW w:w="21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Carrying Value of</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Term Loan</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September 30, 2020, $756.4 million aggregate principal amount of term loans were outstanding under the First Lien Credit Agreement. The interest related portion of the repayment was recorded within </w:t>
      </w: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 its Consolidated Statements of Operations, and represented use of cash from operating activities in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The quarterly repayment requirement on first lien borrowings has been satisfied for the remainder of the term after the $100.0 million principal payment. The effective interest rate on the first lien debt was 4.3% and 7.5% as of September 30, 2020 and December 31, 2019, respectively.</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 Lien Term Loan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$370 million of second lien debt.</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xml:space="preserve"> on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413" w:right="339" w:bottom="1440" w:gutter="0" w:footer="0" w:header="0"/>
        </w:sectPr>
      </w:pPr>
    </w:p>
    <w:bookmarkStart w:id="277" w:name="page278"/>
    <w:bookmarkEnd w:id="277"/>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comprised of the write-off of unamortized issuance costs and the prepayment penalty incurred on the payoff. The effective interest rate on the second lien debt was 11.9% as of December 31, 2019.</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entered into the First Lien Credit Agreement providing a $100.0 million credit facility.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 xml:space="preserve">Deferred costs, net of current portion </w:t>
      </w:r>
      <w:r>
        <w:rPr>
          <w:rFonts w:ascii="Times New Roman" w:cs="Times New Roman" w:eastAsia="Times New Roman" w:hAnsi="Times New Roman"/>
          <w:sz w:val="18"/>
          <w:szCs w:val="18"/>
          <w:color w:val="auto"/>
        </w:rPr>
        <w:t>on the accompanying Condensed Consolidated Balance Sheets were immaterial as of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08" w:lineRule="exact"/>
        <w:rPr>
          <w:sz w:val="20"/>
          <w:szCs w:val="20"/>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Redeemable Series A Preferred Units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issued 51,750,000 of Series A Preferred Units in exchange for $200.2 million, net of issuance costs. On June 8, 2020,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417" w:right="339" w:bottom="1440" w:gutter="0" w:footer="0" w:header="0"/>
        </w:sectPr>
      </w:pPr>
    </w:p>
    <w:bookmarkStart w:id="278" w:name="page279"/>
    <w:bookmarkEnd w:id="278"/>
    <w:p>
      <w:pPr>
        <w:jc w:val="both"/>
        <w:spacing w:after="0" w:line="282" w:lineRule="auto"/>
        <w:rPr>
          <w:sz w:val="20"/>
          <w:szCs w:val="20"/>
          <w:color w:val="auto"/>
        </w:rPr>
      </w:pPr>
      <w:r>
        <w:rPr>
          <w:rFonts w:ascii="Times New Roman" w:cs="Times New Roman" w:eastAsia="Times New Roman" w:hAnsi="Times New Roman"/>
          <w:sz w:val="18"/>
          <w:szCs w:val="18"/>
          <w:color w:val="auto"/>
        </w:rPr>
        <w:t>redeemed and cancelled all outstanding Series A Preferred Units of ZoomInfo OpCo. Refer to Note 15 for additional discussion regarding Series A Preferred Units and related redemption.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September 30, 2020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3"/>
                <w:szCs w:val="13"/>
                <w:color w:val="auto"/>
              </w:rPr>
            </w:pPr>
          </w:p>
        </w:tc>
        <w:tc>
          <w:tcPr>
            <w:tcW w:w="13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4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3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3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we began to hedge the variability of forecasted interest payments on our first lien debt using forward-starting swaps. The total notional amount of these forward-starting interest rate swaps is $500.0 million as of September 30, 2020. These forward-starting interest rate swaps will fix the benchmark interest rate and hedge the variability of forecasted interest payments from April 2022 through January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417"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3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2020, the Company reduced its LIBOR based debt to $756.4 million (refer to Note 8), which is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As the forecasted interest payments on $93.7 million not redesignated was probable to not occur, the Company reclassified the existing deferred loss on that portion of the derivative of $3.3 million from AOCI into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dedesignated and redesignated certain hedges contemporaneously with the inception of our forward-starting interest rate swaps to achieve optimal interest rate protections. As of September 30, 2020, $243.6 million of the notional amount of the interest rate cap contract is not designated as an accounting hedge.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the following outstanding interest rate derivatives that were designated as cash flow hedges of interest rate risk ($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3"/>
                <w:szCs w:val="13"/>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2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7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40" w:type="dxa"/>
            <w:vAlign w:val="bottom"/>
            <w:gridSpan w:val="2"/>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 2024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0"/>
              </w:rPr>
              <w:t>Two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0"/>
              </w:rPr>
              <w:t>Two</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30, 2026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the Company’s Condensed Consolidated Balance Sheets for derivatives as of September 30, 2020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Fair Value of Derivative Liabilities</w:t>
            </w:r>
          </w:p>
        </w:tc>
        <w:tc>
          <w:tcPr>
            <w:tcW w:w="0" w:type="dxa"/>
            <w:vAlign w:val="bottom"/>
          </w:tcPr>
          <w:p>
            <w:pPr>
              <w:spacing w:after="0"/>
              <w:rPr>
                <w:sz w:val="1"/>
                <w:szCs w:val="1"/>
                <w:color w:val="auto"/>
              </w:rPr>
            </w:pPr>
          </w:p>
        </w:tc>
      </w:tr>
      <w:tr>
        <w:trPr>
          <w:trHeight w:val="189"/>
        </w:trPr>
        <w:tc>
          <w:tcPr>
            <w:tcW w:w="416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9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6"/>
                <w:szCs w:val="16"/>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Pr>
          <w:p>
            <w:pPr>
              <w:spacing w:after="0"/>
              <w:rPr>
                <w:sz w:val="16"/>
                <w:szCs w:val="16"/>
                <w:color w:val="auto"/>
              </w:rPr>
            </w:pPr>
          </w:p>
        </w:tc>
        <w:tc>
          <w:tcPr>
            <w:tcW w:w="1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4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5"/>
        </w:trPr>
        <w:tc>
          <w:tcPr>
            <w:tcW w:w="41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Interest rate swap contracts</w:t>
            </w:r>
          </w:p>
        </w:tc>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designated derivative liabilities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undesignated derivative liabilities</w:t>
            </w: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change in fair value of any derivative instruments was recorded, net of income tax,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(“AOCI”) on the Company’s Condensed Consolidated Balance Sheets to the extent the agreements were designated as effective hedges. In the period that the hedged item affects earnings, such as when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846"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payments are made on the Company’s variable-rate debt, we reclassify the related gain or loss on the interest rate swap cash flow hedges and any receipts on the cap 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and as operating cash flows in our Consolidated Statements of Cash Flows. Over the next 12 months, we expect to reclassify approximately $5.6 million into interest expense from AOCI.</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 of the Company’s cash equivalents, which consist of corporate debt securities and money market mutual funds, approximate fair value and are based on the closing price of these assets as of the reporting date. We classify our corporate debt securities and money market mutual funds as Level 1. The carrying values of the Company's debt instruments approximate their fair value based on Level 2 inputs since the instruments carry variable interest rates based on LIBOR or other applicable reference rates.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846"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(in millions) of our financial assets and (liabilities) was determined using the following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2020</w:t>
            </w:r>
          </w:p>
        </w:tc>
        <w:tc>
          <w:tcPr>
            <w:tcW w:w="3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2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right-of-use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transfers between fair value measurements levels during the nine months ended September 30, 2020.</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 5 for further information regarding the fair value of our financial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Non-cancelable purchase obligations </w:t>
      </w:r>
      <w:r>
        <w:rPr>
          <w:rFonts w:ascii="Times New Roman" w:cs="Times New Roman" w:eastAsia="Times New Roman" w:hAnsi="Times New Roman"/>
          <w:sz w:val="18"/>
          <w:szCs w:val="18"/>
          <w:color w:val="auto"/>
        </w:rPr>
        <w:t>- As of September 30, 2020, we had additional outstanding non-cancelable purchase obligations with a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months or longer of $10.4 million over the corresponding amount disclosed in our audited financial statements for the year ended December 31, 2019, mainly related to third-party cloud hosting and sales and marketing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use tax </w:t>
      </w:r>
      <w:r>
        <w:rPr>
          <w:rFonts w:ascii="Times New Roman" w:cs="Times New Roman" w:eastAsia="Times New Roman" w:hAnsi="Times New Roman"/>
          <w:sz w:val="18"/>
          <w:szCs w:val="18"/>
          <w:color w:val="auto"/>
        </w:rPr>
        <w:t>- The Company has conducted an assessment of sales and use tax exposure in states where the Company has established nexus.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Based on this assessment, the Company has recorded a liability for taxes owed and related penalties and interest in the amount of $2.1 million and $2.1 million at September 30, 2020 and December 31, 2019, respectively. This liability is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in the Company’s Condensed Consolidated Balance Sheets.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Contingent earn-out payments </w:t>
      </w:r>
      <w:r>
        <w:rPr>
          <w:rFonts w:ascii="Times New Roman" w:cs="Times New Roman" w:eastAsia="Times New Roman" w:hAnsi="Times New Roman"/>
          <w:sz w:val="18"/>
          <w:szCs w:val="18"/>
          <w:color w:val="auto"/>
        </w:rPr>
        <w:t>- As of September 30, 2020, the Company is contingently committed to making an earn-out payment of up to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part of our acquisition of Komiko (refer to Note 4 for additional information).</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acquisition related payments - </w:t>
      </w:r>
      <w:r>
        <w:rPr>
          <w:rFonts w:ascii="Times New Roman" w:cs="Times New Roman" w:eastAsia="Times New Roman" w:hAnsi="Times New Roman"/>
          <w:sz w:val="18"/>
          <w:szCs w:val="18"/>
          <w:color w:val="auto"/>
        </w:rPr>
        <w:t>In accordance with the purchase agreement, the Company will pay deferred consideration of $10.0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2nd anniversary of the </w:t>
      </w:r>
      <w:r>
        <w:rPr>
          <w:rFonts w:ascii="Times New Roman" w:cs="Times New Roman" w:eastAsia="Times New Roman" w:hAnsi="Times New Roman"/>
          <w:sz w:val="18"/>
          <w:szCs w:val="18"/>
          <w:i w:val="1"/>
          <w:iCs w:val="1"/>
          <w:color w:val="auto"/>
        </w:rPr>
        <w:t>Pre-acquisition ZI</w:t>
      </w:r>
      <w:r>
        <w:rPr>
          <w:rFonts w:ascii="Times New Roman" w:cs="Times New Roman" w:eastAsia="Times New Roman" w:hAnsi="Times New Roman"/>
          <w:sz w:val="18"/>
          <w:szCs w:val="18"/>
          <w:color w:val="auto"/>
        </w:rPr>
        <w:t xml:space="preserve"> acquisition. Refer to Note 4.</w:t>
      </w:r>
    </w:p>
    <w:p>
      <w:pPr>
        <w:spacing w:after="0" w:line="10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360" w:right="339" w:bottom="1440" w:gutter="0" w:footer="0" w:header="0"/>
        </w:sectPr>
      </w:pPr>
    </w:p>
    <w:bookmarkStart w:id="282" w:name="page283"/>
    <w:bookmarkEnd w:id="2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and increase or decrease </w:t>
      </w:r>
      <w:r>
        <w:rPr>
          <w:rFonts w:ascii="Times New Roman" w:cs="Times New Roman" w:eastAsia="Times New Roman" w:hAnsi="Times New Roman"/>
          <w:sz w:val="18"/>
          <w:szCs w:val="18"/>
          <w:i w:val="1"/>
          <w:iCs w:val="1"/>
          <w:color w:val="auto"/>
        </w:rPr>
        <w:t xml:space="preserve">Additional paid-in capital </w:t>
      </w:r>
      <w:r>
        <w:rPr>
          <w:rFonts w:ascii="Times New Roman" w:cs="Times New Roman" w:eastAsia="Times New Roman" w:hAnsi="Times New Roman"/>
          <w:sz w:val="18"/>
          <w:szCs w:val="18"/>
          <w:color w:val="auto"/>
        </w:rPr>
        <w:t>in the Company’s Condensed Consolidated Balance Sheets.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ZoomInfo Technologies Inc. held 160,755,779 HoldCo Units, and ZoomInfo HoldCo held 164,963,877 OpCo Units resulting in an ownership interest of 41% in the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nine months ended September 30, 2019.</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earnings (loss) per share of Class A and Class C common stock for the three and nine months ended September 30, 2020. The basic and diluted earnings per share period for the three and nine months ended September 30, 2020, represents only the period from June 4, 2020 to September 30, 2020, which represents the period wherein we had outstanding Class A and Class C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40" w:type="dxa"/>
            <w:vAlign w:val="bottom"/>
            <w:gridSpan w:val="4"/>
          </w:tcPr>
          <w:p>
            <w:pPr>
              <w:jc w:val="right"/>
              <w:ind w:right="17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ZoomInfo OpCo before Reorganization Transactions</w:t>
            </w:r>
          </w:p>
        </w:tc>
        <w:tc>
          <w:tcPr>
            <w:tcW w:w="4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Excess of consideration paid over carrying amount to holders of Series A Preferred</w:t>
            </w:r>
          </w:p>
        </w:tc>
        <w:tc>
          <w:tcPr>
            <w:tcW w:w="480" w:type="dxa"/>
            <w:vAlign w:val="bottom"/>
          </w:tcPr>
          <w:p>
            <w:pPr>
              <w:spacing w:after="0"/>
              <w:rPr>
                <w:sz w:val="15"/>
                <w:szCs w:val="15"/>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attributable to common shares</w:t>
            </w:r>
          </w:p>
        </w:tc>
        <w:tc>
          <w:tcPr>
            <w:tcW w:w="4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4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885"/>
        </w:trPr>
        <w:tc>
          <w:tcPr>
            <w:tcW w:w="68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F-71</w:t>
            </w: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3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of Class A and Class C common stock (in millions, except share amounts, and per share amounts,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40" w:type="dxa"/>
            <w:vAlign w:val="bottom"/>
          </w:tcPr>
          <w:p>
            <w:pPr>
              <w:spacing w:after="0"/>
              <w:rPr>
                <w:sz w:val="16"/>
                <w:szCs w:val="16"/>
                <w:color w:val="auto"/>
              </w:rPr>
            </w:pPr>
          </w:p>
        </w:tc>
        <w:tc>
          <w:tcPr>
            <w:tcW w:w="278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218"/>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Allocation of net income (loss) attributable to ZoomInfo</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w:t>
            </w:r>
          </w:p>
        </w:tc>
        <w:tc>
          <w:tcPr>
            <w:tcW w:w="2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 average number of shares of Class A and Class C</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61,153,504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59,075,363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Basic net income (loss) per share attributable to common</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w:t>
            </w: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75"/>
        </w:trPr>
        <w:tc>
          <w:tcPr>
            <w:tcW w:w="48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Increase in earnings attributable to common shareholders upon</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potentially dilutive instruments</w:t>
            </w: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Reallocation of earnings as a result of conversion of potentially</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instruments</w:t>
            </w:r>
          </w:p>
        </w:tc>
        <w:tc>
          <w:tcPr>
            <w:tcW w:w="2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Reallocation of undistributed earnings as a result of conversion</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Class C to Class A shares</w:t>
            </w: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61,153,504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Add: weighted-average effect of dilutive securities exchangeable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Class A common stock:</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OpCo Units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213,965,530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P Units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 Class 1 Units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13,572,783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HSKB II Class 1 Units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II Phantom Units</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HoldCo Units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LTIP Units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8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C common</w:t>
            </w: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stock outstanding used to calculate diluted net income (loss)</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397,320,656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154,495,383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 net income (loss) per share attributable to common</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F-72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726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Units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216,801,480</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12,441,594</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 Class 1 Units</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13,371,074</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II Class 1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1,957,685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1,891,249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II Phantom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369,741</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1,231,368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246,749</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256,256</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2,321,966</w:t>
            </w:r>
          </w:p>
        </w:tc>
        <w:tc>
          <w:tcPr>
            <w:tcW w:w="1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246,634,217</w:t>
            </w:r>
          </w:p>
        </w:tc>
      </w:tr>
      <w:tr>
        <w:trPr>
          <w:trHeight w:val="21"/>
        </w:trPr>
        <w:tc>
          <w:tcPr>
            <w:tcW w:w="7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has a sublease of a former corporate office. The sublease has a remaining lease term of less than one year. Sublease income, which is recorded as a reduction of rent expense and allocated to the appropriate financial statement line item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in the Consolidated Statements of Operations was immaterial for the three and nine months ended September 30, 2020 and 2019.</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additional details related to leases recorded on our balance sheet as of September 30, 2020 and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5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4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9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0"/>
        </w:trPr>
        <w:tc>
          <w:tcPr>
            <w:tcW w:w="458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9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bl>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was $1.8 million and $1.8 million for the three months ended September 30, 2020 and 2019, respectively. Rent expense was $5.5 million and $4.3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846"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 in millions)</w:t>
            </w: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060" w:type="dxa"/>
            <w:vAlign w:val="bottom"/>
            <w:vMerge w:val="restart"/>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Zoom Information, Inc. acquisition</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73"/>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0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on the condensed consolidated balance sheets as of September 30, 2020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nine months ended September 30,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6"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table above does not include any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248" w:hanging="1248"/>
        <w:spacing w:after="0"/>
        <w:tabs>
          <w:tab w:leader="none" w:pos="124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w:t>
      </w:r>
    </w:p>
    <w:p>
      <w:pPr>
        <w:spacing w:after="0" w:line="38" w:lineRule="exact"/>
        <w:rPr>
          <w:rFonts w:ascii="Times New Roman" w:cs="Times New Roman" w:eastAsia="Times New Roman" w:hAnsi="Times New Roman"/>
          <w:sz w:val="17"/>
          <w:szCs w:val="17"/>
          <w:color w:val="auto"/>
        </w:rPr>
      </w:pPr>
    </w:p>
    <w:p>
      <w:pPr>
        <w:ind w:left="11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 w:lineRule="exact"/>
        <w:rPr>
          <w:sz w:val="20"/>
          <w:szCs w:val="20"/>
          <w:color w:val="auto"/>
        </w:rPr>
      </w:pPr>
    </w:p>
    <w:p>
      <w:pPr>
        <w:ind w:left="1168" w:hanging="1168"/>
        <w:spacing w:after="0"/>
        <w:tabs>
          <w:tab w:leader="none" w:pos="116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94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15" w:lineRule="exact"/>
        <w:rPr>
          <w:sz w:val="20"/>
          <w:szCs w:val="20"/>
          <w:color w:val="auto"/>
        </w:rPr>
      </w:pPr>
    </w:p>
    <w:p>
      <w:pPr>
        <w:sectPr>
          <w:pgSz w:w="11900" w:h="16838" w:orient="portrait"/>
          <w:cols w:equalWidth="0" w:num="2">
            <w:col w:w="9040" w:space="652"/>
            <w:col w:w="1548"/>
          </w:cols>
          <w:pgMar w:left="320" w:top="846"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had additional operating leases for office space that have not yet commenced with undiscounted future lease payments of $2.7 million. These operating leases will commence in the fourth quarter of fiscal year 2020. Expense associated with short term leases and variable lease costs were immaterial for the three and nine months ended September 30, 2020. The expense related to short-term leases reasonably reflects our short-term lease commitments.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Redeemable Series A Preferred Units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June 8, 2020, the Company redeemed and cancelled all outstanding Series A Preferred Units of ZoomInfo OpCo for $274.2 million, the total redemption price, resulting in a $74.0 million reduction to </w:t>
      </w:r>
      <w:r>
        <w:rPr>
          <w:rFonts w:ascii="Times New Roman" w:cs="Times New Roman" w:eastAsia="Times New Roman" w:hAnsi="Times New Roman"/>
          <w:sz w:val="18"/>
          <w:szCs w:val="18"/>
          <w:i w:val="1"/>
          <w:iCs w:val="1"/>
          <w:color w:val="auto"/>
        </w:rPr>
        <w:t>Additional paid-in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40"/>
          </w:cols>
          <w:pgMar w:left="320" w:top="846" w:right="339" w:bottom="1440" w:gutter="0" w:footer="0" w:header="0"/>
          <w:type w:val="continuous"/>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color w:val="auto"/>
        </w:rPr>
        <w:t>Note 15 - Redeemable Series A Preferred Units (continued)</w:t>
      </w:r>
    </w:p>
    <w:p>
      <w:pPr>
        <w:spacing w:after="0" w:line="3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The total redemption price paid included the carrying amount of $200.2 million, accreted but unpaid dividends of $45.4 million, and an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due upon early redemption of $28.6 million. Of the $28.6 million excess amount paid, $17.6 million was attributed to noncontrolling interests and $11.0 million to common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27, 2020, the Board of Directors of the Company (the “Board”) adopted the ZoomInfo Technologies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846"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Stock Unit (“RSU”)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7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1"/>
                <w:szCs w:val="11"/>
                <w:color w:val="auto"/>
              </w:rPr>
            </w:pPr>
          </w:p>
        </w:tc>
        <w:tc>
          <w:tcPr>
            <w:tcW w:w="17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829,348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3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799,607</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Options</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6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Unvested Options activity was as follows during the periods indicated: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660" w:type="dxa"/>
            <w:vAlign w:val="bottom"/>
          </w:tcPr>
          <w:p>
            <w:pPr>
              <w:spacing w:after="0"/>
              <w:rPr>
                <w:sz w:val="24"/>
                <w:szCs w:val="24"/>
                <w:color w:val="auto"/>
              </w:rPr>
            </w:pPr>
          </w:p>
        </w:tc>
        <w:tc>
          <w:tcPr>
            <w:tcW w:w="30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74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1"/>
                <w:szCs w:val="11"/>
                <w:color w:val="auto"/>
              </w:rPr>
            </w:pPr>
          </w:p>
        </w:tc>
        <w:tc>
          <w:tcPr>
            <w:tcW w:w="1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576,708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566,588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and weighted average remaining contractual terms of Options outstanding and Options exercisable were as follows as of September 30,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1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(in millions)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Options outstanding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 Options exercisable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 Options outstanding</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years</w:t>
            </w:r>
          </w:p>
        </w:tc>
      </w:tr>
      <w:tr>
        <w:trPr>
          <w:trHeight w:val="234"/>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Options exercisable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Options outstanding were issued at the time of the IPO. No additional options have been issued to date. The fair value of Class A stock options granted at the time of the IPO was determined using the Black-Scholes option pricing model with the following assumption ranges and fair value per unit: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39.0% to 39.3%</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 to 5.9 years</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82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846"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Unvested HoldCo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20" w:type="dxa"/>
            <w:vAlign w:val="bottom"/>
          </w:tcPr>
          <w:p>
            <w:pPr>
              <w:spacing w:after="0"/>
              <w:rPr>
                <w:sz w:val="11"/>
                <w:szCs w:val="11"/>
                <w:color w:val="auto"/>
              </w:rPr>
            </w:pPr>
          </w:p>
        </w:tc>
        <w:tc>
          <w:tcPr>
            <w:tcW w:w="17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1,250,879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8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OpCo Unit activity was as follows during the periods indicated:</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4"/>
                <w:szCs w:val="24"/>
                <w:color w:val="auto"/>
              </w:rPr>
            </w:pPr>
          </w:p>
        </w:tc>
        <w:tc>
          <w:tcPr>
            <w:tcW w:w="3580" w:type="dxa"/>
            <w:vAlign w:val="bottom"/>
            <w:gridSpan w:val="4"/>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35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17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441,681</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(93,995)</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Class P Units were issued under both the prior and current LLC agreement of ZoomInfo OpCo. Class P Unit activity was as follows during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580" w:type="dxa"/>
            <w:vAlign w:val="bottom"/>
            <w:gridSpan w:val="4"/>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35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7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10,831,275</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(5,078,777)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(1,571,151)</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14,976,591</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846"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5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76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 to 41.2%</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6.5 to 6.8 years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to 2.5%</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$5.20 to $9.04</w:t>
            </w:r>
          </w:p>
        </w:tc>
      </w:tr>
    </w:tbl>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LTIP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7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right"/>
              <w:ind w:right="217"/>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846"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Company will begin to recognize compensation cost under these awards on a straight-line basis in the same manner as if the Company had paid cash in lieu of awarding the HSKB Grants, per the requirements of ASC 718.</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nine months ended September 30, 2020, HSKB paid $11.3 million from allocated funds and has $12.2 million remaining that it has allocated to be paid through 2023.</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HSKB Phantom Units </w:t>
      </w:r>
      <w:r>
        <w:rPr>
          <w:rFonts w:ascii="Times New Roman" w:cs="Times New Roman" w:eastAsia="Times New Roman" w:hAnsi="Times New Roman"/>
          <w:sz w:val="18"/>
          <w:szCs w:val="18"/>
          <w:color w:val="auto"/>
        </w:rPr>
        <w:t>- In December 2019, HSKB I adopted the HSKB Funds, LLC 2019 Phantom Unit Plan wherein HSKB may grant Phantom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5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8"/>
                <w:szCs w:val="18"/>
                <w:color w:val="auto"/>
              </w:rPr>
            </w:pPr>
          </w:p>
        </w:tc>
      </w:tr>
      <w:tr>
        <w:trPr>
          <w:trHeight w:val="181"/>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Cost of service and Operating expenses include equity-based</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 as follows: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85"/>
        </w:trPr>
        <w:tc>
          <w:tcPr>
            <w:tcW w:w="514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F-79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unamortized equity-based compensation costs related to each equity-based incentive award described above is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6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Service Period</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Incentive Units</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$1.4 million of income tax expense and $1.0 million of income tax benefit for the three months ended September 30, 2020 and 2019, respectively, and $9.8 million of income tax expense and $5.7 million of income tax benefit for the nine months ended September 30, 2020 and 2019, respectively. The Company’s estimated effective tax rate for the nine months ended September 30, 2020 was (15.5)%. The Company’s estimated annual effective tax rate differs from the statutory rate of 21.0% primarily due to certain compensation expenses that will not have a corresponding deduction for tax, and because the Company is not liable for income taxes on the portion of earnings that are attributable to non-controlling interest.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IPO, the Company recorded a change in the net deferred tax asset position, net of valuation allowance, of $224.4 million, which primarily consisted of the Company’s outside basis differences in its partnership subsidiaries.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Secondary Offering, the Company recorded an additional deferred tax asset, net of valuation allowance, of $92.9 million, which primarily consists of the Company’s outside basis differences in its partnership subsidiaries.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including the deferred tax assets recorded as a result of the IPO, Secondary Offering,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$207.4 million related to the indefinite outside basis in the corporate stock of its wholly owned subsidiary.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nine months ended September 30, 2020.</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believe it has any significant uncertain tax positions and therefore has no unrecognized tax benefits as of September 30, 2020,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846"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color w:val="auto"/>
        </w:rPr>
        <w:t>Note 17 - Income Taxes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2020, the Company had a liability of $182.6 million related to its projected obligations under the Tax Receivable Agreements. Tax Receivable Agreements related liabilities are classified as current or noncurrent based on the expected date of payment and are included in the Company’s Condensed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liability, net of current portion</w:t>
      </w:r>
      <w:r>
        <w:rPr>
          <w:rFonts w:ascii="Times New Roman" w:cs="Times New Roman" w:eastAsia="Times New Roman" w:hAnsi="Times New Roman"/>
          <w:sz w:val="18"/>
          <w:szCs w:val="18"/>
          <w:color w:val="auto"/>
        </w:rPr>
        <w:t>,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846" w:right="339" w:bottom="1440" w:gutter="0" w:footer="0" w:header="0"/>
        </w:sectPr>
      </w:pPr>
    </w:p>
    <w:bookmarkStart w:id="293" w:name="page294"/>
    <w:bookmarkEnd w:id="293"/>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 Information, Inc.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Financial Statements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3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w:t>
      </w:r>
    </w:p>
    <w:p>
      <w:pPr>
        <w:spacing w:after="0" w:line="31"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00"/>
          </w:cols>
          <w:pgMar w:left="320" w:top="1440" w:right="37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2019 and December 31,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9,691,793</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21,614,693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28,204,910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1,017,936</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6,986,862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commissions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42,243,226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45,901,501</w:t>
            </w:r>
          </w:p>
        </w:tc>
        <w:tc>
          <w:tcPr>
            <w:tcW w:w="0" w:type="dxa"/>
            <w:vAlign w:val="bottom"/>
          </w:tcPr>
          <w:p>
            <w:pPr>
              <w:spacing w:after="0"/>
              <w:rPr>
                <w:sz w:val="1"/>
                <w:szCs w:val="1"/>
                <w:color w:val="auto"/>
              </w:rPr>
            </w:pPr>
          </w:p>
        </w:tc>
      </w:tr>
      <w:tr>
        <w:trPr>
          <w:trHeight w:val="108"/>
        </w:trPr>
        <w:tc>
          <w:tcPr>
            <w:tcW w:w="8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168,916,468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168,916,468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1,408,765</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273,482,490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273,175,627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2,250,947</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6,975,959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65,782,029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64,832,159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75,490,065</w:t>
            </w:r>
          </w:p>
        </w:tc>
        <w:tc>
          <w:tcPr>
            <w:tcW w:w="0" w:type="dxa"/>
            <w:vAlign w:val="bottom"/>
          </w:tcPr>
          <w:p>
            <w:pPr>
              <w:spacing w:after="0"/>
              <w:rPr>
                <w:sz w:val="1"/>
                <w:szCs w:val="1"/>
                <w:color w:val="auto"/>
              </w:rPr>
            </w:pPr>
          </w:p>
        </w:tc>
      </w:tr>
      <w:tr>
        <w:trPr>
          <w:trHeight w:val="108"/>
        </w:trPr>
        <w:tc>
          <w:tcPr>
            <w:tcW w:w="8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2,702,845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8,921,988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132,389,234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132,323,669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216,822,692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219,438,567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1 convertible preferred stock: $0.02 par value; 80,000,000 shares designated; 53,944,487 shares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issued and outstanding at January 31, 2019 and December 31, 2018, respectively (liquidation value of</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1,078,890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1,078,890</w:t>
            </w:r>
          </w:p>
        </w:tc>
        <w:tc>
          <w:tcPr>
            <w:tcW w:w="0" w:type="dxa"/>
            <w:vAlign w:val="bottom"/>
          </w:tcPr>
          <w:p>
            <w:pPr>
              <w:spacing w:after="0"/>
              <w:rPr>
                <w:sz w:val="1"/>
                <w:szCs w:val="1"/>
                <w:color w:val="auto"/>
              </w:rPr>
            </w:pPr>
          </w:p>
        </w:tc>
      </w:tr>
      <w:tr>
        <w:trPr>
          <w:trHeight w:val="229"/>
        </w:trPr>
        <w:tc>
          <w:tcPr>
            <w:tcW w:w="8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$90,074,418 as of January 31, 2019)</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A: $0.02 par value; 37,763,000 shares designated; 7,319,897 shares issued and outstanding at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January 31, 2019 and December 31, 2018, respectively</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B: $0.01 par value; 54,959,650 shares designated; 175,840 and 162,240 issued and outstanding at</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30"/>
        </w:trPr>
        <w:tc>
          <w:tcPr>
            <w:tcW w:w="8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January 31, 2019 and December 31, 2018, respectively</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78,907,423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78,854,320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(23,474,671)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(26,344,170)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56,659,798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53,737,060</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273,482,490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273,175,627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413"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January 1, 2019 through January 31, 2019 and the Year Ended December 31,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72,467,948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9,076,689</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40,259,914</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13,093,595</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16,307,450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2,660,523</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share redemption obligation</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14,087,015</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72,943</w:t>
            </w: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8,042,952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95,558,129</w:t>
            </w: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(23,090,181)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54,066</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(9,348,733)</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(32,384,848)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(4,912,625)</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(27,472,223)</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40"/>
          </w:cols>
          <w:pgMar w:left="320" w:top="1413" w:right="339" w:bottom="1440" w:gutter="0" w:footer="0" w:header="0"/>
        </w:sectPr>
      </w:pPr>
    </w:p>
    <w:bookmarkStart w:id="296" w:name="page297"/>
    <w:bookmarkEnd w:id="2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32320" cy="2125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98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Series 1</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0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00" w:type="dxa"/>
            <w:vAlign w:val="bottom"/>
          </w:tcPr>
          <w:p>
            <w:pPr>
              <w:jc w:val="right"/>
              <w:ind w:right="101"/>
              <w:spacing w:after="0" w:line="155" w:lineRule="exact"/>
              <w:rPr>
                <w:sz w:val="20"/>
                <w:szCs w:val="20"/>
                <w:color w:val="auto"/>
              </w:rPr>
            </w:pPr>
            <w:r>
              <w:rPr>
                <w:rFonts w:ascii="Times New Roman" w:cs="Times New Roman" w:eastAsia="Times New Roman" w:hAnsi="Times New Roman"/>
                <w:sz w:val="14"/>
                <w:szCs w:val="14"/>
                <w:b w:val="1"/>
                <w:bCs w:val="1"/>
                <w:color w:val="auto"/>
              </w:rPr>
              <w:t>$0.02 Par</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53,944,487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1,078,890</w:t>
            </w: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53,944,487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1,078,890</w:t>
            </w:r>
          </w:p>
        </w:tc>
        <w:tc>
          <w:tcPr>
            <w:tcW w:w="0" w:type="dxa"/>
            <w:vAlign w:val="bottom"/>
          </w:tcPr>
          <w:p>
            <w:pPr>
              <w:spacing w:after="0"/>
              <w:rPr>
                <w:sz w:val="1"/>
                <w:szCs w:val="1"/>
                <w:color w:val="auto"/>
              </w:rPr>
            </w:pPr>
          </w:p>
        </w:tc>
      </w:tr>
      <w:tr>
        <w:trPr>
          <w:trHeight w:val="168"/>
        </w:trPr>
        <w:tc>
          <w:tcPr>
            <w:tcW w:w="20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Cumulative impact from</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adoption of ASU</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 2014-19 (Note 3)</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31, 2019</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53,944,487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1,078,890</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20" w:type="dxa"/>
            <w:vAlign w:val="bottom"/>
            <w:gridSpan w:val="5"/>
          </w:tcPr>
          <w:p>
            <w:pPr>
              <w:ind w:left="720"/>
              <w:spacing w:after="0" w:line="147"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980" w:type="dxa"/>
            <w:vAlign w:val="bottom"/>
            <w:gridSpan w:val="5"/>
          </w:tcPr>
          <w:p>
            <w:pPr>
              <w:ind w:left="700"/>
              <w:spacing w:after="0" w:line="147"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960" w:type="dxa"/>
            <w:vAlign w:val="bottom"/>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0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line="20" w:lineRule="exact"/>
              <w:rPr>
                <w:sz w:val="1"/>
                <w:szCs w:val="1"/>
                <w:color w:val="auto"/>
              </w:rPr>
            </w:pPr>
          </w:p>
        </w:tc>
        <w:tc>
          <w:tcPr>
            <w:tcW w:w="88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$0.02 Par</w:t>
            </w:r>
          </w:p>
        </w:tc>
        <w:tc>
          <w:tcPr>
            <w:tcW w:w="100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$0.01 Par</w:t>
            </w:r>
          </w:p>
        </w:tc>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4"/>
        </w:trPr>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7,319,897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146,398</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$ 78,193,658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1,128,053</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$ 80,546,999</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94,099</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568,185</w:t>
            </w:r>
          </w:p>
        </w:tc>
        <w:tc>
          <w:tcPr>
            <w:tcW w:w="0" w:type="dxa"/>
            <w:vAlign w:val="bottom"/>
          </w:tcPr>
          <w:p>
            <w:pPr>
              <w:spacing w:after="0"/>
              <w:rPr>
                <w:sz w:val="1"/>
                <w:szCs w:val="1"/>
                <w:color w:val="auto"/>
              </w:rPr>
            </w:pPr>
          </w:p>
        </w:tc>
      </w:tr>
      <w:tr>
        <w:trPr>
          <w:trHeight w:val="219"/>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(27,472,223)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(27,472,223)</w:t>
            </w:r>
          </w:p>
        </w:tc>
        <w:tc>
          <w:tcPr>
            <w:tcW w:w="0" w:type="dxa"/>
            <w:vAlign w:val="bottom"/>
          </w:tcPr>
          <w:p>
            <w:pPr>
              <w:spacing w:after="0"/>
              <w:rPr>
                <w:sz w:val="1"/>
                <w:szCs w:val="1"/>
                <w:color w:val="auto"/>
              </w:rPr>
            </w:pPr>
          </w:p>
        </w:tc>
      </w:tr>
      <w:tr>
        <w:trPr>
          <w:trHeight w:val="207"/>
        </w:trPr>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7,319,897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146,398</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162,240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78,854,320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(26,344,170)</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53,737,060</w:t>
            </w:r>
          </w:p>
        </w:tc>
        <w:tc>
          <w:tcPr>
            <w:tcW w:w="0" w:type="dxa"/>
            <w:vAlign w:val="bottom"/>
          </w:tcPr>
          <w:p>
            <w:pPr>
              <w:spacing w:after="0"/>
              <w:rPr>
                <w:sz w:val="1"/>
                <w:szCs w:val="1"/>
                <w:color w:val="auto"/>
              </w:rPr>
            </w:pPr>
          </w:p>
        </w:tc>
      </w:tr>
      <w:tr>
        <w:trPr>
          <w:trHeight w:val="540"/>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2,088,212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2,088,212</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45,351</w:t>
            </w:r>
          </w:p>
        </w:tc>
        <w:tc>
          <w:tcPr>
            <w:tcW w:w="0" w:type="dxa"/>
            <w:vAlign w:val="bottom"/>
          </w:tcPr>
          <w:p>
            <w:pPr>
              <w:spacing w:after="0"/>
              <w:rPr>
                <w:sz w:val="1"/>
                <w:szCs w:val="1"/>
                <w:color w:val="auto"/>
              </w:rPr>
            </w:pPr>
          </w:p>
        </w:tc>
      </w:tr>
      <w:tr>
        <w:trPr>
          <w:trHeight w:val="219"/>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781,287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781,287</w:t>
            </w:r>
          </w:p>
        </w:tc>
        <w:tc>
          <w:tcPr>
            <w:tcW w:w="0" w:type="dxa"/>
            <w:vAlign w:val="bottom"/>
          </w:tcPr>
          <w:p>
            <w:pPr>
              <w:spacing w:after="0"/>
              <w:rPr>
                <w:sz w:val="1"/>
                <w:szCs w:val="1"/>
                <w:color w:val="auto"/>
              </w:rPr>
            </w:pPr>
          </w:p>
        </w:tc>
      </w:tr>
      <w:tr>
        <w:trPr>
          <w:trHeight w:val="211"/>
        </w:trPr>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7,319,897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146,398</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175,840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1,758</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$ 78,907,423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(23,474,671)</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$ 56,659,798</w:t>
            </w:r>
          </w:p>
        </w:tc>
        <w:tc>
          <w:tcPr>
            <w:tcW w:w="0" w:type="dxa"/>
            <w:vAlign w:val="bottom"/>
          </w:tcPr>
          <w:p>
            <w:pPr>
              <w:spacing w:after="0"/>
              <w:rPr>
                <w:sz w:val="1"/>
                <w:szCs w:val="1"/>
                <w:color w:val="auto"/>
              </w:rPr>
            </w:pPr>
          </w:p>
        </w:tc>
      </w:tr>
      <w:tr>
        <w:trPr>
          <w:trHeight w:val="22"/>
        </w:trPr>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ectPr>
          <w:pgSz w:w="11900" w:h="16838" w:orient="portrait"/>
          <w:cols w:equalWidth="0" w:num="2">
            <w:col w:w="4000" w:space="160"/>
            <w:col w:w="7060"/>
          </w:cols>
          <w:pgMar w:left="340" w:top="141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F-85</w:t>
      </w:r>
    </w:p>
    <w:p>
      <w:pPr>
        <w:sectPr>
          <w:pgSz w:w="11900" w:h="16838" w:orient="portrait"/>
          <w:cols w:equalWidth="0" w:num="1">
            <w:col w:w="11220"/>
          </w:cols>
          <w:pgMar w:left="340" w:top="1413" w:right="339" w:bottom="1440" w:gutter="0" w:footer="0" w:header="0"/>
          <w:type w:val="continuous"/>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January 1, 2019 through January 31, 2019 and the Year Ended December 31,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(27,472,223)</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568,185</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10,116,527</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537,814</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14,087,015</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(72,943)</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(5,329,772)</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(15,771,980)</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(1,017,936)</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(2,946,204)</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Capitalized commissions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(1,211,167)</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228,383</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3,707,293</w:t>
            </w:r>
          </w:p>
        </w:tc>
      </w:tr>
      <w:tr>
        <w:trPr>
          <w:trHeight w:val="229"/>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44,858,243</w:t>
            </w:r>
          </w:p>
        </w:tc>
      </w:tr>
      <w:tr>
        <w:trPr>
          <w:trHeight w:val="223"/>
        </w:trPr>
        <w:tc>
          <w:tcPr>
            <w:tcW w:w="8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6,063,242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20,281,235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(762,615)</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(55,999,015)</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 (Note 4)</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(14,675,796)</w:t>
            </w:r>
          </w:p>
        </w:tc>
      </w:tr>
      <w:tr>
        <w:trPr>
          <w:trHeight w:val="223"/>
        </w:trPr>
        <w:tc>
          <w:tcPr>
            <w:tcW w:w="80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(4,889,877)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(71,307,426)</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63,100,000</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(6,082,750)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(1,576,079)</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94,099</w:t>
            </w:r>
          </w:p>
        </w:tc>
      </w:tr>
      <w:tr>
        <w:trPr>
          <w:trHeight w:val="223"/>
        </w:trPr>
        <w:tc>
          <w:tcPr>
            <w:tcW w:w="8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55,535,270</w:t>
            </w:r>
          </w:p>
        </w:tc>
      </w:tr>
      <w:tr>
        <w:trPr>
          <w:trHeight w:val="223"/>
        </w:trPr>
        <w:tc>
          <w:tcPr>
            <w:tcW w:w="8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1,181,253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4,509,079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9,691,793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5,182,714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10,873,046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9,691,793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8,738,030</w:t>
            </w:r>
          </w:p>
        </w:tc>
      </w:tr>
      <w:tr>
        <w:trPr>
          <w:trHeight w:val="20"/>
        </w:trPr>
        <w:tc>
          <w:tcPr>
            <w:tcW w:w="8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80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2,286,699</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413" w:right="339" w:bottom="1440" w:gutter="0" w:footer="0" w:header="0"/>
        </w:sectPr>
      </w:pPr>
    </w:p>
    <w:bookmarkStart w:id="298" w:name="page299"/>
    <w:bookmarkEnd w:id="29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99">
              <w:r>
                <w:rPr>
                  <w:rFonts w:ascii="Times New Roman" w:cs="Times New Roman" w:eastAsia="Times New Roman" w:hAnsi="Times New Roman"/>
                  <w:sz w:val="18"/>
                  <w:szCs w:val="18"/>
                  <w:u w:val="single" w:color="auto"/>
                  <w:color w:val="0000FF"/>
                </w:rPr>
                <w:t>Note 1</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299">
              <w:r>
                <w:rPr>
                  <w:rFonts w:ascii="Times New Roman" w:cs="Times New Roman" w:eastAsia="Times New Roman" w:hAnsi="Times New Roman"/>
                  <w:sz w:val="18"/>
                  <w:szCs w:val="18"/>
                  <w:u w:val="single" w:color="auto"/>
                  <w:color w:val="0000FF"/>
                </w:rPr>
                <w:t>Description of Business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299">
              <w:r>
                <w:rPr>
                  <w:rFonts w:ascii="Times New Roman" w:cs="Times New Roman" w:eastAsia="Times New Roman" w:hAnsi="Times New Roman"/>
                  <w:sz w:val="18"/>
                  <w:szCs w:val="18"/>
                  <w:color w:val="auto"/>
                  <w:w w:val="99"/>
                </w:rPr>
                <w:t>F-88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0">
              <w:r>
                <w:rPr>
                  <w:rFonts w:ascii="Times New Roman" w:cs="Times New Roman" w:eastAsia="Times New Roman" w:hAnsi="Times New Roman"/>
                  <w:sz w:val="18"/>
                  <w:szCs w:val="18"/>
                  <w:u w:val="single" w:color="auto"/>
                  <w:color w:val="0000FF"/>
                </w:rPr>
                <w:t>Note 2</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0">
              <w:r>
                <w:rPr>
                  <w:rFonts w:ascii="Times New Roman" w:cs="Times New Roman" w:eastAsia="Times New Roman" w:hAnsi="Times New Roman"/>
                  <w:sz w:val="18"/>
                  <w:szCs w:val="18"/>
                  <w:u w:val="single" w:color="auto"/>
                  <w:color w:val="0000FF"/>
                </w:rPr>
                <w:t>Summary of Significant Accounting Principals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0">
              <w:r>
                <w:rPr>
                  <w:rFonts w:ascii="Times New Roman" w:cs="Times New Roman" w:eastAsia="Times New Roman" w:hAnsi="Times New Roman"/>
                  <w:sz w:val="18"/>
                  <w:szCs w:val="18"/>
                  <w:color w:val="auto"/>
                  <w:w w:val="99"/>
                </w:rPr>
                <w:t>F-88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5">
              <w:r>
                <w:rPr>
                  <w:rFonts w:ascii="Times New Roman" w:cs="Times New Roman" w:eastAsia="Times New Roman" w:hAnsi="Times New Roman"/>
                  <w:sz w:val="18"/>
                  <w:szCs w:val="18"/>
                  <w:u w:val="single" w:color="auto"/>
                  <w:color w:val="0000FF"/>
                </w:rPr>
                <w:t>Note 3</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5">
              <w:r>
                <w:rPr>
                  <w:rFonts w:ascii="Times New Roman" w:cs="Times New Roman" w:eastAsia="Times New Roman" w:hAnsi="Times New Roman"/>
                  <w:sz w:val="18"/>
                  <w:szCs w:val="18"/>
                  <w:u w:val="single" w:color="auto"/>
                  <w:color w:val="0000FF"/>
                </w:rPr>
                <w:t>Revenue from Contracts with Customers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271">
              <w:r>
                <w:rPr>
                  <w:rFonts w:ascii="Times New Roman" w:cs="Times New Roman" w:eastAsia="Times New Roman" w:hAnsi="Times New Roman"/>
                  <w:sz w:val="18"/>
                  <w:szCs w:val="18"/>
                  <w:color w:val="auto"/>
                  <w:w w:val="99"/>
                </w:rPr>
                <w:t>F-</w:t>
              </w:r>
            </w:hyperlink>
            <w:hyperlink w:anchor="page305">
              <w:r>
                <w:rPr>
                  <w:rFonts w:ascii="Times New Roman" w:cs="Times New Roman" w:eastAsia="Times New Roman" w:hAnsi="Times New Roman"/>
                  <w:sz w:val="18"/>
                  <w:szCs w:val="18"/>
                  <w:color w:val="auto"/>
                  <w:w w:val="99"/>
                </w:rPr>
                <w:t>93</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5">
              <w:r>
                <w:rPr>
                  <w:rFonts w:ascii="Times New Roman" w:cs="Times New Roman" w:eastAsia="Times New Roman" w:hAnsi="Times New Roman"/>
                  <w:sz w:val="18"/>
                  <w:szCs w:val="18"/>
                  <w:u w:val="single" w:color="auto"/>
                  <w:color w:val="0000FF"/>
                </w:rPr>
                <w:t>Note 4</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5">
              <w:r>
                <w:rPr>
                  <w:rFonts w:ascii="Times New Roman" w:cs="Times New Roman" w:eastAsia="Times New Roman" w:hAnsi="Times New Roman"/>
                  <w:sz w:val="18"/>
                  <w:szCs w:val="18"/>
                  <w:u w:val="single" w:color="auto"/>
                  <w:color w:val="0000FF"/>
                </w:rPr>
                <w:t>Business Combinations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5">
              <w:r>
                <w:rPr>
                  <w:rFonts w:ascii="Times New Roman" w:cs="Times New Roman" w:eastAsia="Times New Roman" w:hAnsi="Times New Roman"/>
                  <w:sz w:val="18"/>
                  <w:szCs w:val="18"/>
                  <w:color w:val="auto"/>
                  <w:w w:val="99"/>
                </w:rPr>
                <w:t>F-93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6">
              <w:r>
                <w:rPr>
                  <w:rFonts w:ascii="Times New Roman" w:cs="Times New Roman" w:eastAsia="Times New Roman" w:hAnsi="Times New Roman"/>
                  <w:sz w:val="18"/>
                  <w:szCs w:val="18"/>
                  <w:u w:val="single" w:color="auto"/>
                  <w:color w:val="0000FF"/>
                </w:rPr>
                <w:t>Note 5</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6">
              <w:r>
                <w:rPr>
                  <w:rFonts w:ascii="Times New Roman" w:cs="Times New Roman" w:eastAsia="Times New Roman" w:hAnsi="Times New Roman"/>
                  <w:sz w:val="18"/>
                  <w:szCs w:val="18"/>
                  <w:u w:val="single" w:color="auto"/>
                  <w:color w:val="0000FF"/>
                </w:rPr>
                <w:t>Property and Equipment</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6">
              <w:r>
                <w:rPr>
                  <w:rFonts w:ascii="Times New Roman" w:cs="Times New Roman" w:eastAsia="Times New Roman" w:hAnsi="Times New Roman"/>
                  <w:sz w:val="18"/>
                  <w:szCs w:val="18"/>
                  <w:color w:val="auto"/>
                  <w:w w:val="99"/>
                </w:rPr>
                <w:t>F-94</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6">
              <w:r>
                <w:rPr>
                  <w:rFonts w:ascii="Times New Roman" w:cs="Times New Roman" w:eastAsia="Times New Roman" w:hAnsi="Times New Roman"/>
                  <w:sz w:val="18"/>
                  <w:szCs w:val="18"/>
                  <w:u w:val="single" w:color="auto"/>
                  <w:color w:val="0000FF"/>
                </w:rPr>
                <w:t>Note 6</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6">
              <w:r>
                <w:rPr>
                  <w:rFonts w:ascii="Times New Roman" w:cs="Times New Roman" w:eastAsia="Times New Roman" w:hAnsi="Times New Roman"/>
                  <w:sz w:val="18"/>
                  <w:szCs w:val="18"/>
                  <w:u w:val="single" w:color="auto"/>
                  <w:color w:val="0000FF"/>
                </w:rPr>
                <w:t>Intangible Assets and Goodwill</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6">
              <w:r>
                <w:rPr>
                  <w:rFonts w:ascii="Times New Roman" w:cs="Times New Roman" w:eastAsia="Times New Roman" w:hAnsi="Times New Roman"/>
                  <w:sz w:val="18"/>
                  <w:szCs w:val="18"/>
                  <w:color w:val="auto"/>
                  <w:w w:val="99"/>
                </w:rPr>
                <w:t>F-95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Note 7</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Long-Term Debt</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8">
              <w:r>
                <w:rPr>
                  <w:rFonts w:ascii="Times New Roman" w:cs="Times New Roman" w:eastAsia="Times New Roman" w:hAnsi="Times New Roman"/>
                  <w:sz w:val="18"/>
                  <w:szCs w:val="18"/>
                  <w:color w:val="auto"/>
                  <w:w w:val="99"/>
                </w:rPr>
                <w:t>F-96</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Note 8</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Related Party Transactions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9">
              <w:r>
                <w:rPr>
                  <w:rFonts w:ascii="Times New Roman" w:cs="Times New Roman" w:eastAsia="Times New Roman" w:hAnsi="Times New Roman"/>
                  <w:sz w:val="18"/>
                  <w:szCs w:val="18"/>
                  <w:color w:val="auto"/>
                  <w:w w:val="99"/>
                </w:rPr>
                <w:t>F-97</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Note 9</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Preferred Stock</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09">
              <w:r>
                <w:rPr>
                  <w:rFonts w:ascii="Times New Roman" w:cs="Times New Roman" w:eastAsia="Times New Roman" w:hAnsi="Times New Roman"/>
                  <w:sz w:val="18"/>
                  <w:szCs w:val="18"/>
                  <w:color w:val="auto"/>
                  <w:w w:val="99"/>
                </w:rPr>
                <w:t>F-97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0">
              <w:r>
                <w:rPr>
                  <w:rFonts w:ascii="Times New Roman" w:cs="Times New Roman" w:eastAsia="Times New Roman" w:hAnsi="Times New Roman"/>
                  <w:sz w:val="18"/>
                  <w:szCs w:val="18"/>
                  <w:u w:val="single" w:color="auto"/>
                  <w:color w:val="0000FF"/>
                </w:rPr>
                <w:t>Note 10</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0">
              <w:r>
                <w:rPr>
                  <w:rFonts w:ascii="Times New Roman" w:cs="Times New Roman" w:eastAsia="Times New Roman" w:hAnsi="Times New Roman"/>
                  <w:sz w:val="18"/>
                  <w:szCs w:val="18"/>
                  <w:u w:val="single" w:color="auto"/>
                  <w:color w:val="0000FF"/>
                </w:rPr>
                <w:t>Common Stock</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10">
              <w:r>
                <w:rPr>
                  <w:rFonts w:ascii="Times New Roman" w:cs="Times New Roman" w:eastAsia="Times New Roman" w:hAnsi="Times New Roman"/>
                  <w:sz w:val="18"/>
                  <w:szCs w:val="18"/>
                  <w:color w:val="auto"/>
                  <w:w w:val="99"/>
                </w:rPr>
                <w:t>F-98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0">
              <w:r>
                <w:rPr>
                  <w:rFonts w:ascii="Times New Roman" w:cs="Times New Roman" w:eastAsia="Times New Roman" w:hAnsi="Times New Roman"/>
                  <w:sz w:val="18"/>
                  <w:szCs w:val="18"/>
                  <w:u w:val="single" w:color="auto"/>
                  <w:color w:val="0000FF"/>
                </w:rPr>
                <w:t>Note 11</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0">
              <w:r>
                <w:rPr>
                  <w:rFonts w:ascii="Times New Roman" w:cs="Times New Roman" w:eastAsia="Times New Roman" w:hAnsi="Times New Roman"/>
                  <w:sz w:val="18"/>
                  <w:szCs w:val="18"/>
                  <w:u w:val="single" w:color="auto"/>
                  <w:color w:val="0000FF"/>
                </w:rPr>
                <w:t>Stock Compensation Plan</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10">
              <w:r>
                <w:rPr>
                  <w:rFonts w:ascii="Times New Roman" w:cs="Times New Roman" w:eastAsia="Times New Roman" w:hAnsi="Times New Roman"/>
                  <w:sz w:val="18"/>
                  <w:szCs w:val="18"/>
                  <w:color w:val="auto"/>
                  <w:w w:val="99"/>
                </w:rPr>
                <w:t>F-98</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1">
              <w:r>
                <w:rPr>
                  <w:rFonts w:ascii="Times New Roman" w:cs="Times New Roman" w:eastAsia="Times New Roman" w:hAnsi="Times New Roman"/>
                  <w:sz w:val="18"/>
                  <w:szCs w:val="18"/>
                  <w:u w:val="single" w:color="auto"/>
                  <w:color w:val="0000FF"/>
                </w:rPr>
                <w:t>Note 12</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1">
              <w:r>
                <w:rPr>
                  <w:rFonts w:ascii="Times New Roman" w:cs="Times New Roman" w:eastAsia="Times New Roman" w:hAnsi="Times New Roman"/>
                  <w:sz w:val="18"/>
                  <w:szCs w:val="18"/>
                  <w:u w:val="single" w:color="auto"/>
                  <w:color w:val="0000FF"/>
                </w:rPr>
                <w:t>Income Taxes</w:t>
              </w:r>
            </w:hyperlink>
          </w:p>
        </w:tc>
        <w:tc>
          <w:tcPr>
            <w:tcW w:w="6080" w:type="dxa"/>
            <w:vAlign w:val="bottom"/>
          </w:tcPr>
          <w:p>
            <w:pPr>
              <w:jc w:val="center"/>
              <w:ind w:left="5530"/>
              <w:spacing w:after="0"/>
              <w:rPr>
                <w:rFonts w:ascii="Times New Roman" w:cs="Times New Roman" w:eastAsia="Times New Roman" w:hAnsi="Times New Roman"/>
                <w:sz w:val="18"/>
                <w:szCs w:val="18"/>
                <w:color w:val="auto"/>
                <w:w w:val="99"/>
              </w:rPr>
            </w:pPr>
            <w:hyperlink w:anchor="page311">
              <w:r>
                <w:rPr>
                  <w:rFonts w:ascii="Times New Roman" w:cs="Times New Roman" w:eastAsia="Times New Roman" w:hAnsi="Times New Roman"/>
                  <w:sz w:val="18"/>
                  <w:szCs w:val="18"/>
                  <w:color w:val="auto"/>
                  <w:w w:val="99"/>
                </w:rPr>
                <w:t>F-99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Note 13</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Employee Benefit Plan</w:t>
              </w:r>
            </w:hyperlink>
          </w:p>
        </w:tc>
        <w:tc>
          <w:tcPr>
            <w:tcW w:w="6080" w:type="dxa"/>
            <w:vAlign w:val="bottom"/>
          </w:tcPr>
          <w:p>
            <w:pPr>
              <w:jc w:val="center"/>
              <w:ind w:left="5550"/>
              <w:spacing w:after="0"/>
              <w:rPr>
                <w:rFonts w:ascii="Times New Roman" w:cs="Times New Roman" w:eastAsia="Times New Roman" w:hAnsi="Times New Roman"/>
                <w:sz w:val="18"/>
                <w:szCs w:val="18"/>
                <w:color w:val="auto"/>
              </w:rPr>
            </w:pPr>
            <w:hyperlink w:anchor="page312">
              <w:r>
                <w:rPr>
                  <w:rFonts w:ascii="Times New Roman" w:cs="Times New Roman" w:eastAsia="Times New Roman" w:hAnsi="Times New Roman"/>
                  <w:sz w:val="18"/>
                  <w:szCs w:val="18"/>
                  <w:color w:val="auto"/>
                </w:rPr>
                <w:t>F-100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Note 14</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Commitments and Contingencies</w:t>
              </w:r>
            </w:hyperlink>
          </w:p>
        </w:tc>
        <w:tc>
          <w:tcPr>
            <w:tcW w:w="6080" w:type="dxa"/>
            <w:vAlign w:val="bottom"/>
          </w:tcPr>
          <w:p>
            <w:pPr>
              <w:jc w:val="center"/>
              <w:ind w:left="5550"/>
              <w:spacing w:after="0"/>
              <w:rPr>
                <w:rFonts w:ascii="Times New Roman" w:cs="Times New Roman" w:eastAsia="Times New Roman" w:hAnsi="Times New Roman"/>
                <w:sz w:val="18"/>
                <w:szCs w:val="18"/>
                <w:color w:val="auto"/>
              </w:rPr>
            </w:pPr>
            <w:hyperlink w:anchor="page312">
              <w:r>
                <w:rPr>
                  <w:rFonts w:ascii="Times New Roman" w:cs="Times New Roman" w:eastAsia="Times New Roman" w:hAnsi="Times New Roman"/>
                  <w:sz w:val="18"/>
                  <w:szCs w:val="18"/>
                  <w:color w:val="auto"/>
                </w:rPr>
                <w:t>F-100</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Note 15</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Subsequent Events</w:t>
              </w:r>
            </w:hyperlink>
          </w:p>
        </w:tc>
        <w:tc>
          <w:tcPr>
            <w:tcW w:w="6080" w:type="dxa"/>
            <w:vAlign w:val="bottom"/>
          </w:tcPr>
          <w:p>
            <w:pPr>
              <w:jc w:val="center"/>
              <w:ind w:left="5550"/>
              <w:spacing w:after="0"/>
              <w:rPr>
                <w:rFonts w:ascii="Times New Roman" w:cs="Times New Roman" w:eastAsia="Times New Roman" w:hAnsi="Times New Roman"/>
                <w:sz w:val="18"/>
                <w:szCs w:val="18"/>
                <w:color w:val="auto"/>
              </w:rPr>
            </w:pPr>
            <w:hyperlink w:anchor="page313">
              <w:r>
                <w:rPr>
                  <w:rFonts w:ascii="Times New Roman" w:cs="Times New Roman" w:eastAsia="Times New Roman" w:hAnsi="Times New Roman"/>
                  <w:sz w:val="18"/>
                  <w:szCs w:val="18"/>
                  <w:color w:val="auto"/>
                </w:rPr>
                <w:t>F-101</w:t>
              </w:r>
            </w:hyperlink>
          </w:p>
        </w:tc>
      </w:tr>
      <w:tr>
        <w:trPr>
          <w:trHeight w:val="823"/>
        </w:trPr>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F-87</w:t>
            </w:r>
          </w:p>
        </w:tc>
      </w:tr>
    </w:tbl>
    <w:p>
      <w:pPr>
        <w:sectPr>
          <w:pgSz w:w="11900" w:h="16838" w:orient="portrait"/>
          <w:cols w:equalWidth="0" w:num="1">
            <w:col w:w="11080"/>
          </w:cols>
          <w:pgMar w:left="340" w:top="1413" w:right="4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financial statements have been prepared in accordance with accounting standards set by the Financial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Zoom Information, Inc. and its wholly-owned subsidiaries, Datanyze, Inc., Datanyze Rus, LLC and Zoom Information Israel Ltd. All significant intercompany accounts and transactions have been eliminated upon consolidation.</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2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Company’s foreign operations include contractual obligations denominated in foreign currencies, as well as financial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denominated in foreign currencies. The Company is subject to exposure should exchange rates fluctuate. The Company’s consolidated financial statements are presented in United States Dollars.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such highly liquid investments with original maturities of three months or less when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cash and cash equivalents.</w:t>
      </w:r>
    </w:p>
    <w:p>
      <w:pPr>
        <w:spacing w:after="0" w:line="10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and significant customers: </w:t>
      </w:r>
      <w:r>
        <w:rPr>
          <w:rFonts w:ascii="Times New Roman" w:cs="Times New Roman" w:eastAsia="Times New Roman" w:hAnsi="Times New Roman"/>
          <w:sz w:val="18"/>
          <w:szCs w:val="18"/>
          <w:color w:val="auto"/>
        </w:rPr>
        <w:t>Bank deposit accounts in the United States are insured by the Federal Deposit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413"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36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The Company accounts for trade receivables at original invoiced amounts less any allowance for doubtful accounts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probability of future collection. The Company provides an allowance for doubtful 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recorded at cost and depreciated using the straight-line method over the estimated useful lives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462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62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The Company accounts for business combinations pursuant to FASB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financing costs: </w:t>
      </w:r>
      <w:r>
        <w:rPr>
          <w:rFonts w:ascii="Times New Roman" w:cs="Times New Roman" w:eastAsia="Times New Roman" w:hAnsi="Times New Roman"/>
          <w:sz w:val="18"/>
          <w:szCs w:val="18"/>
          <w:color w:val="auto"/>
        </w:rPr>
        <w:t>Costs incurred related to the financing of long-term debt are netted against the debt and amortized over the remaining life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debt offering. Costs associated with the terms loan are amortized using the straight-line method. Amortization expense is recorded as a component of interest expense.</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include property and equipment, definite lived intangible assets and capitalized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(FASB ASC 605): </w:t>
      </w:r>
      <w:r>
        <w:rPr>
          <w:rFonts w:ascii="Times New Roman" w:cs="Times New Roman" w:eastAsia="Times New Roman" w:hAnsi="Times New Roman"/>
          <w:sz w:val="18"/>
          <w:szCs w:val="18"/>
          <w:color w:val="auto"/>
        </w:rPr>
        <w:t>The Company derives revenue by providing software as a service (SaaS) to the customer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does not have the rights to the software license itself but can use the hosted software for the contracted term. As a result, the Company recognizes revenue from these arrangements in accordance with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during the year ended December 31, 2018. In accordance with the guidance, the Company accounts for its customer arrangements as service contracts.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only when persuasive evidence of an arrangement exists, the fee is fixed or determinable, the product or service has been delivered, and collectability of the resulting receivable is probable.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846"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agreements with defined terms. The Company’s subscription agreements also generally provide an annual level of 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(FASB ASC 606): </w:t>
      </w:r>
      <w:r>
        <w:rPr>
          <w:rFonts w:ascii="Times New Roman" w:cs="Times New Roman" w:eastAsia="Times New Roman" w:hAnsi="Times New Roman"/>
          <w:sz w:val="18"/>
          <w:szCs w:val="18"/>
          <w:color w:val="auto"/>
        </w:rPr>
        <w:t>During the period from January 1, 2019 through January 31, 2019, the Company adopted ASU 2014-09,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The Company adopted ASC 606 on January 1, 2019 utilizing the modified retrospective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2"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846"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3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Contract costs: </w:t>
      </w:r>
      <w:r>
        <w:rPr>
          <w:rFonts w:ascii="Times New Roman" w:cs="Times New Roman" w:eastAsia="Times New Roman" w:hAnsi="Times New Roman"/>
          <w:sz w:val="18"/>
          <w:szCs w:val="18"/>
          <w:color w:val="auto"/>
        </w:rPr>
        <w:t>During the period from January 1, 2019 through January 31, 2019, the Company adopted FASB ASC 340-40 -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Other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Deferred Costs—Contracts with Customers </w:t>
      </w:r>
      <w:r>
        <w:rPr>
          <w:rFonts w:ascii="Times New Roman" w:cs="Times New Roman" w:eastAsia="Times New Roman" w:hAnsi="Times New Roman"/>
          <w:sz w:val="18"/>
          <w:szCs w:val="18"/>
          <w:color w:val="auto"/>
        </w:rPr>
        <w:t>as part of the ASU 2014-09. Sales commissions paid to sales personnel are considered incremental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recoverable costs of 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applies a practical expedient to expense costs as incurred for costs to obtain a contract when the amortization period is one year or less.</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Costs related to advertising are expensed as incurred. Advertising costs include tradeshows, promotional items,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direct marketing. For the period from January 1, 2019 through January 31, 2019 and the year ended December 31, 2018, total advertising expenses were $164,759 and $2,771,005, respectively.</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and software development costs: </w:t>
      </w:r>
      <w:r>
        <w:rPr>
          <w:rFonts w:ascii="Times New Roman" w:cs="Times New Roman" w:eastAsia="Times New Roman" w:hAnsi="Times New Roman"/>
          <w:sz w:val="18"/>
          <w:szCs w:val="18"/>
          <w:color w:val="auto"/>
        </w:rPr>
        <w:t>Research and development costs are expensed as incurred except for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2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 accounts for equity-based employee compensation arrangements in accordance with ASC 718,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records stock-based compensation expense based on the estimated fair value of the equity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stock: </w:t>
      </w:r>
      <w:r>
        <w:rPr>
          <w:rFonts w:ascii="Times New Roman" w:cs="Times New Roman" w:eastAsia="Times New Roman" w:hAnsi="Times New Roman"/>
          <w:sz w:val="18"/>
          <w:szCs w:val="18"/>
          <w:color w:val="auto"/>
        </w:rPr>
        <w:t>On August 11, 2017, the Company entered into a Securities Purchase Agreement (the Agreement) with GHP Zoom Investor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the Mandatorily Redeemable Equity Securities are recognized as a liability and measured at fair value on the date of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846"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the Company recorded a loss of $14,087,015 upon purchase of Mandatorily Redeemable Equity Securities.</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utilizes the asset and liability method of accounting for income taxes. Under this method, deferred tax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are determined based upon differences between financial reporting and tax basis of assets and liabilities and for net operating loss carryforwards, measured using the enacted tax rates and laws that will be in effect when differences are expected to reverse. Valuation allowances are provided, if based upon the weight of available evidence, it is more likely than not that some or all of the deferred tax assets will not be realized.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2016-09). ASU 2016-09 simplifies several aspects of the accounting for equity-based payment awards, including: (a) the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the new guidance, lessees are required to recognize lease assets and lease liabilities on the balance sheet for all leases with terms longer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846"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3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 with early adoption permitted, and should be applied prospectively from the date of adoption. The Company did not evaluate the impact of adopting the guidance due to the sale of the Company as disclosed within Note 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adopting ASC 606 and ASC 340-40 during the period from January 1, 2019 through January 31, 2019 on the consolidated statement of operations is outlined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Under ASC 605</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Impact of ASC 606</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9,791,329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8,042,952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8,347,737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(304,785)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645,059</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438,274</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206,785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of the Company’s revenue is recognized over time based on the contractual term of the SaaS offering.</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deferred revenue during the period from January 1, 2019 through January 31, 2019 were as follows: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as of January 1, 2019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67,535,004</w:t>
            </w:r>
          </w:p>
        </w:tc>
      </w:tr>
      <w:tr>
        <w:trPr>
          <w:trHeight w:val="230"/>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 606 adjustments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435,912</w:t>
            </w:r>
          </w:p>
        </w:tc>
      </w:tr>
      <w:tr>
        <w:trPr>
          <w:trHeight w:val="230"/>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Billings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9,986,245</w:t>
            </w:r>
          </w:p>
        </w:tc>
      </w:tr>
      <w:tr>
        <w:trPr>
          <w:trHeight w:val="22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Revenue recognized</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(9,693,329)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January 31, 2019</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68,263,832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Yonatan Institute- </w:t>
      </w:r>
      <w:r>
        <w:rPr>
          <w:rFonts w:ascii="Times New Roman" w:cs="Times New Roman" w:eastAsia="Times New Roman" w:hAnsi="Times New Roman"/>
          <w:sz w:val="18"/>
          <w:szCs w:val="18"/>
          <w:color w:val="auto"/>
        </w:rPr>
        <w:t>On August 27, 2018, the Company acquired 100% of Yonatan Institute for Research Ltd. (Yonatan Institute), an affiliate not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846"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summarizes the estimated fair value of assets acquired and liabilities assumed:</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501,311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(416,364)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118,894</w:t>
            </w: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203,841</w:t>
            </w:r>
          </w:p>
        </w:tc>
      </w:tr>
      <w:tr>
        <w:trPr>
          <w:trHeight w:val="20"/>
        </w:trPr>
        <w:tc>
          <w:tcPr>
            <w:tcW w:w="9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Datanyze- </w:t>
      </w:r>
      <w:r>
        <w:rPr>
          <w:rFonts w:ascii="Times New Roman" w:cs="Times New Roman" w:eastAsia="Times New Roman" w:hAnsi="Times New Roman"/>
          <w:sz w:val="18"/>
          <w:szCs w:val="18"/>
          <w:color w:val="auto"/>
        </w:rPr>
        <w:t>On September 18, 2018, the Company entered into a share purchase agreement to acquire all of the issued and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Datanyze, 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with the assistance of external valuation specialists, allocated the purchase price to its identifiable tangible and intangible assets and liabilities, with the remaining amount classified as goodwill.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summarizes the estimated fair value of assets acquired and liabilities assumed: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(650,416)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13,742,562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14,471,955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January 31, 2019 and December 31,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5,725,173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944,516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40"/>
          </w:cols>
          <w:pgMar w:left="320" w:top="846"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color w:val="auto"/>
        </w:rPr>
        <w:t>Note 6 - Intangible Assets and Goodwill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at January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 years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5,617,585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4-7 years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41,422,049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5-9 years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7,954,790</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at December 31, 2018: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3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 years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5,704,657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4-7 years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42,049,852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5-9 years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8,050,966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198,902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current amount of intangible assets subject to amortization, the amortization expense for each of the succeeding years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8,988,782</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9,795,035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9,744,647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9,662,750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9,512,618</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7,483,383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changes in intangible assets subject to amortization were as follows as of December 31, 2018 and January 31, 2019:</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63,482,049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of Datanyze intangible assets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(9,467,672)</w:t>
            </w:r>
          </w:p>
        </w:tc>
        <w:tc>
          <w:tcPr>
            <w:tcW w:w="0" w:type="dxa"/>
            <w:vAlign w:val="bottom"/>
          </w:tcPr>
          <w:p>
            <w:pPr>
              <w:spacing w:after="0"/>
              <w:rPr>
                <w:sz w:val="1"/>
                <w:szCs w:val="1"/>
                <w:color w:val="auto"/>
              </w:rPr>
            </w:pP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(817,162)</w:t>
            </w:r>
          </w:p>
        </w:tc>
        <w:tc>
          <w:tcPr>
            <w:tcW w:w="0" w:type="dxa"/>
            <w:vAlign w:val="bottom"/>
          </w:tcPr>
          <w:p>
            <w:pPr>
              <w:spacing w:after="0"/>
              <w:rPr>
                <w:sz w:val="1"/>
                <w:szCs w:val="1"/>
                <w:color w:val="auto"/>
              </w:rPr>
            </w:pP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3" w:right="3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Intangible Assets and Goodwill (continued)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67"/>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consisted of the following as of December 31, 2018 and January 31, 2019:</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155,173,906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Datanyze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13,742,562</w:t>
            </w:r>
          </w:p>
        </w:tc>
      </w:tr>
      <w:tr>
        <w:trPr>
          <w:trHeight w:val="248"/>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2018 and January 31, 2019</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168,916,468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Times New Roman" w:cs="Times New Roman" w:eastAsia="Times New Roman" w:hAnsi="Times New Roman"/>
          <w:sz w:val="18"/>
          <w:szCs w:val="18"/>
          <w:i w:val="1"/>
          <w:iCs w:val="1"/>
          <w:color w:val="auto"/>
        </w:rPr>
        <w:t>Liabilities/Extinguishment of Liabilities</w:t>
      </w:r>
      <w:r>
        <w:rPr>
          <w:rFonts w:ascii="Times New Roman" w:cs="Times New Roman" w:eastAsia="Times New Roman" w:hAnsi="Times New Roman"/>
          <w:sz w:val="18"/>
          <w:szCs w:val="18"/>
          <w:color w:val="auto"/>
        </w:rPr>
        <w:t xml:space="preserve"> and FASB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As a result of the modification, the Company incurred additional financing costs directly to the lender of $1,085,000 which were recorded as a debt discount.</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Times New Roman" w:cs="Times New Roman" w:eastAsia="Times New Roman" w:hAnsi="Times New Roman"/>
          <w:sz w:val="18"/>
          <w:szCs w:val="18"/>
          <w:i w:val="1"/>
          <w:iCs w:val="1"/>
          <w:color w:val="auto"/>
        </w:rPr>
        <w:t>Liabilities/Extinguishment of Liabilities</w:t>
      </w:r>
      <w:r>
        <w:rPr>
          <w:rFonts w:ascii="Times New Roman" w:cs="Times New Roman" w:eastAsia="Times New Roman" w:hAnsi="Times New Roman"/>
          <w:sz w:val="18"/>
          <w:szCs w:val="18"/>
          <w:color w:val="auto"/>
        </w:rPr>
        <w:t xml:space="preserve"> and FASB ASC 470-50, </w:t>
      </w:r>
      <w:r>
        <w:rPr>
          <w:rFonts w:ascii="Times New Roman" w:cs="Times New Roman" w:eastAsia="Times New Roman" w:hAnsi="Times New Roman"/>
          <w:sz w:val="18"/>
          <w:szCs w:val="18"/>
          <w:i w:val="1"/>
          <w:iCs w:val="1"/>
          <w:color w:val="auto"/>
        </w:rPr>
        <w:t>Debt-Modifications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Extinguishments</w:t>
      </w:r>
      <w:r>
        <w:rPr>
          <w:rFonts w:ascii="Times New Roman" w:cs="Times New Roman" w:eastAsia="Times New Roman" w:hAnsi="Times New Roman"/>
          <w:sz w:val="18"/>
          <w:szCs w:val="18"/>
          <w:color w:val="auto"/>
        </w:rPr>
        <w:t>. As a result of the modification, the Company incurred additional financing costs directly to the lender of $491,923 which were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debt discount.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846"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color w:val="auto"/>
        </w:rPr>
        <w:t>Note 7 - Long-Term Debt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contractual principal payment obligations due per the Company’s credit agreements are as follows as of January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132,324,250</w:t>
            </w:r>
          </w:p>
        </w:tc>
      </w:tr>
      <w:tr>
        <w:trPr>
          <w:trHeight w:val="223"/>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136,617,250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(2,797,016)</w:t>
            </w:r>
          </w:p>
        </w:tc>
      </w:tr>
      <w:tr>
        <w:trPr>
          <w:trHeight w:val="22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132,389,234</w:t>
            </w:r>
          </w:p>
        </w:tc>
      </w:tr>
      <w:tr>
        <w:trPr>
          <w:trHeight w:val="21"/>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Preferred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Rights, preferences and privileges of the Series 1 Preferred, Series C Preferred and the Series A Preferred (collectively, the Preferred Stock) are as follows:</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Preferred Stock are entitled to such number of votes per share as is equal to the number of shares of common stock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each share of such Preferred Stock could be converted.</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Series 1 Preferred Stock accrues dividends at a rate of 8% of the original issue price, plus previously accrued dividends, compounded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Each outstanding share of Preferred Stock will convert into one share of Series V Common Stock concurrently with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Liquidation: </w:t>
      </w:r>
      <w:r>
        <w:rPr>
          <w:rFonts w:ascii="Times New Roman" w:cs="Times New Roman" w:eastAsia="Times New Roman" w:hAnsi="Times New Roman"/>
          <w:sz w:val="18"/>
          <w:szCs w:val="18"/>
          <w:color w:val="auto"/>
        </w:rPr>
        <w:t>Upon the liquidation, dissolution, or winding up of the Company holders of shares of Preferred Stock are entitled on a pari passu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paid out of the assets of the Corporation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846"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color w:val="auto"/>
        </w:rPr>
        <w:t>Note 9 - Preferred Stock (continued)</w:t>
      </w: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Series A Common, Series B Common and Series V Common (collectively the Common Stock) are as follows:</w:t>
      </w:r>
    </w:p>
    <w:p>
      <w:pPr>
        <w:spacing w:after="0" w:line="10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Series A Common and Series V Common are entitled to one vote for each share held. The Series B Common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nonvoting 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Each outstanding share of Series A Common and Series B Common will automatically convert into one share of Series V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each outstanding share of Series A Common is convertible into Series V Common, at the option of the holder, at any time upon notice to the Company.</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Dividends may be declared and paid on the Common Stock if and when determined by the Board of Directors. No such dividends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or paid during the period from January 1, 2019 through January 31, 2019 or the year ended December 31, 2018. Dividends are not cumulative and do not accrue.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Compensation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846"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color w:val="auto"/>
        </w:rPr>
        <w:t>Note 11 - Stock Compensation Plan (continued)</w:t>
      </w:r>
    </w:p>
    <w:p>
      <w:pPr>
        <w:spacing w:after="0" w:line="36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9"/>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2.27-3.05%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5-6.08 years</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39-41%</w:t>
            </w:r>
          </w:p>
        </w:tc>
      </w:tr>
    </w:tbl>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40"/>
          </w:cols>
          <w:pgMar w:left="320" w:top="846"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color w:val="auto"/>
        </w:rPr>
        <w:t>Note 12 - Income Taxes (continued)</w:t>
      </w:r>
    </w:p>
    <w:p>
      <w:pPr>
        <w:spacing w:after="0" w:line="36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federal and state income tax provision (benefit) for the period from January 1, 2019 through January 31, 2019 and the year ended December 31, 2018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257,276</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(2,922,971)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(2,246,930)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(5,169,901)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 at January 31, 2019 and December 31, 2018: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472,081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1,702,844</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0" w:type="dxa"/>
            <w:vAlign w:val="bottom"/>
          </w:tcPr>
          <w:p>
            <w:pPr>
              <w:spacing w:after="0"/>
              <w:rPr>
                <w:sz w:val="1"/>
                <w:szCs w:val="1"/>
                <w:color w:val="auto"/>
              </w:rPr>
            </w:pP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(12,500,882)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(12,690,821)</w:t>
            </w:r>
          </w:p>
        </w:tc>
        <w:tc>
          <w:tcPr>
            <w:tcW w:w="0" w:type="dxa"/>
            <w:vAlign w:val="bottom"/>
          </w:tcPr>
          <w:p>
            <w:pPr>
              <w:spacing w:after="0"/>
              <w:rPr>
                <w:sz w:val="1"/>
                <w:szCs w:val="1"/>
                <w:color w:val="auto"/>
              </w:rPr>
            </w:pP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896,713</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679,264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784,277</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(9,469,299)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(8,921,988)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The Company leases office space under a non-cancelable operating lease for its headquarters in Waltham, Massachusetts.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entered into on August 31, 2017 provides for total monthly payments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40"/>
          </w:cols>
          <w:pgMar w:left="320" w:top="846"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 (continued)</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including operating costs, for the period from January 1, 2019 through January 31, 2019 and the year December 31, 2018 totaled $148,093 and $1,372,168,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due under this non-cancelable lease agreement are as follows as of January 31, 2019:</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1,360,566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3,043,396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22,572,621</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From time to time, the Company may become involved in various legal matters arising in the ordinary course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unaware of any matters requiring accrual or disclosure for related losses in the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 2019, 100% of the outstanding shares of the Company was acquired by DiscoverOrg Holdings,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40"/>
          </w:cols>
          <w:pgMar w:left="320" w:top="846" w:right="339" w:bottom="1440" w:gutter="0" w:footer="0" w:header="0"/>
        </w:sectPr>
      </w:pPr>
    </w:p>
    <w:bookmarkStart w:id="313" w:name="page314"/>
    <w:bookmarkEnd w:id="3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320675</wp:posOffset>
            </wp:positionV>
            <wp:extent cx="7012305" cy="8975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2305" cy="8975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1)"/>
      <w:numFmt w:val="decimal"/>
      <w:start w:val="2"/>
    </w:lvl>
  </w:abstractNum>
  <w:abstractNum w:abstractNumId="14">
    <w:nsid w:val="7FB7E0AA"/>
    <w:multiLevelType w:val="hybridMultilevel"/>
    <w:lvl w:ilvl="0">
      <w:lvlJc w:val="left"/>
      <w:lvlText w:val="(%1)"/>
      <w:numFmt w:val="decimal"/>
      <w:start w:val="1"/>
    </w:lvl>
  </w:abstractNum>
  <w:abstractNum w:abstractNumId="15">
    <w:nsid w:val="6EB5BD4"/>
    <w:multiLevelType w:val="hybridMultilevel"/>
    <w:lvl w:ilvl="0">
      <w:lvlJc w:val="left"/>
      <w:lvlText w:val="(%1)"/>
      <w:numFmt w:val="decimal"/>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lvl w:ilvl="1">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decimal"/>
      <w:start w:val="1"/>
    </w:lvl>
    <w:lvl w:ilvl="1">
      <w:lvlJc w:val="left"/>
      <w:lvlText w:val="(%2)"/>
      <w:numFmt w:val="lowerLetter"/>
      <w:start w:val="1"/>
    </w:lvl>
  </w:abstractNum>
  <w:abstractNum w:abstractNumId="23">
    <w:nsid w:val="3222E7CD"/>
    <w:multiLevelType w:val="hybridMultilevel"/>
    <w:lvl w:ilvl="0">
      <w:lvlJc w:val="left"/>
      <w:lvlText w:val="(%1)"/>
      <w:numFmt w:val="decimal"/>
      <w:start w:val="2"/>
    </w:lvl>
    <w:lvl w:ilvl="1">
      <w:lvlJc w:val="left"/>
      <w:lvlText w:val="%2"/>
      <w:numFmt w:val="lowerLetter"/>
      <w:start w:val="1"/>
    </w:lvl>
  </w:abstractNum>
  <w:abstractNum w:abstractNumId="24">
    <w:nsid w:val="74DE0EE3"/>
    <w:multiLevelType w:val="hybridMultilevel"/>
    <w:lvl w:ilvl="0">
      <w:lvlJc w:val="left"/>
      <w:lvlText w:val="(%1)"/>
      <w:numFmt w:val="decimal"/>
      <w:start w:val="3"/>
    </w:lvl>
  </w:abstractNum>
  <w:abstractNum w:abstractNumId="25">
    <w:nsid w:val="68EBC550"/>
    <w:multiLevelType w:val="hybridMultilevel"/>
    <w:lvl w:ilvl="0">
      <w:lvlJc w:val="left"/>
      <w:lvlText w:val="(%1)"/>
      <w:numFmt w:val="decimal"/>
      <w:start w:val="6"/>
    </w:lvl>
  </w:abstractNum>
  <w:abstractNum w:abstractNumId="26">
    <w:nsid w:val="2DF6D648"/>
    <w:multiLevelType w:val="hybridMultilevel"/>
    <w:lvl w:ilvl="0">
      <w:lvlJc w:val="left"/>
      <w:lvlText w:val="%1"/>
      <w:numFmt w:val="decimal"/>
      <w:start w:val="1"/>
    </w:lvl>
    <w:lvl w:ilvl="1">
      <w:lvlJc w:val="left"/>
      <w:lvlText w:val="(%2)"/>
      <w:numFmt w:val="lowerLetter"/>
      <w:start w:val="1"/>
    </w:lvl>
  </w:abstractNum>
  <w:abstractNum w:abstractNumId="27">
    <w:nsid w:val="46B7D447"/>
    <w:multiLevelType w:val="hybridMultilevel"/>
    <w:lvl w:ilvl="0">
      <w:lvlJc w:val="left"/>
      <w:lvlText w:val="(%1)"/>
      <w:numFmt w:val="decimal"/>
      <w:start w:val="7"/>
    </w:lvl>
    <w:lvl w:ilvl="1">
      <w:lvlJc w:val="left"/>
      <w:lvlText w:val="%2"/>
      <w:numFmt w:val="lowerLetter"/>
      <w:start w:val="1"/>
    </w:lvl>
  </w:abstractNum>
  <w:abstractNum w:abstractNumId="28">
    <w:nsid w:val="4A2AC315"/>
    <w:multiLevelType w:val="hybridMultilevel"/>
    <w:lvl w:ilvl="0">
      <w:lvlJc w:val="left"/>
      <w:lvlText w:val="(%1)"/>
      <w:numFmt w:val="lowerLetter"/>
      <w:start w:val="1"/>
    </w:lvl>
  </w:abstractNum>
  <w:abstractNum w:abstractNumId="29">
    <w:nsid w:val="39EE015C"/>
    <w:multiLevelType w:val="hybridMultilevel"/>
    <w:lvl w:ilvl="0">
      <w:lvlJc w:val="left"/>
      <w:lvlText w:val="(%1)"/>
      <w:numFmt w:val="decimal"/>
      <w:start w:val="8"/>
    </w:lvl>
  </w:abstractNum>
  <w:abstractNum w:abstractNumId="30">
    <w:nsid w:val="57FC4FBB"/>
    <w:multiLevelType w:val="hybridMultilevel"/>
    <w:lvl w:ilvl="0">
      <w:lvlJc w:val="left"/>
      <w:lvlText w:val="(%1)"/>
      <w:numFmt w:val="lowerLetter"/>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1)"/>
      <w:numFmt w:val="lowerRoman"/>
      <w:start w:val="2"/>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1)"/>
      <w:numFmt w:val="decimal"/>
      <w:start w:val="2"/>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1)"/>
      <w:numFmt w:val="lowerLetter"/>
      <w:start w:val="1"/>
    </w:lvl>
  </w:abstractNum>
  <w:abstractNum w:abstractNumId="65">
    <w:nsid w:val="51088277"/>
    <w:multiLevelType w:val="hybridMultilevel"/>
    <w:lvl w:ilvl="0">
      <w:lvlJc w:val="left"/>
      <w:lvlText w:val="(%1)"/>
      <w:numFmt w:val="lowerLetter"/>
      <w:start w:val="3"/>
    </w:lvl>
    <w:lvl w:ilvl="1">
      <w:lvlJc w:val="left"/>
      <w:lvlText w:val="(%2)"/>
      <w:numFmt w:val="decimal"/>
      <w:start w:val="1"/>
    </w:lvl>
  </w:abstractNum>
  <w:abstractNum w:abstractNumId="66">
    <w:nsid w:val="1CA0C5FA"/>
    <w:multiLevelType w:val="hybridMultilevel"/>
    <w:lvl w:ilvl="0">
      <w:lvlJc w:val="left"/>
      <w:lvlText w:val="(%1)"/>
      <w:numFmt w:val="lowerLetter"/>
      <w:start w:val="5"/>
    </w:lvl>
  </w:abstractNum>
  <w:abstractNum w:abstractNumId="67">
    <w:nsid w:val="53584BCB"/>
    <w:multiLevelType w:val="hybridMultilevel"/>
    <w:lvl w:ilvl="0">
      <w:lvlJc w:val="left"/>
      <w:lvlText w:val="(%1)"/>
      <w:numFmt w:val="lowerLetter"/>
      <w:start w:val="6"/>
    </w:lvl>
  </w:abstractNum>
  <w:abstractNum w:abstractNumId="68">
    <w:nsid w:val="415E286C"/>
    <w:multiLevelType w:val="hybridMultilevel"/>
    <w:lvl w:ilvl="0">
      <w:lvlJc w:val="left"/>
      <w:lvlText w:val="(%1)"/>
      <w:numFmt w:val="decimal"/>
      <w:start w:val="2"/>
    </w:lvl>
  </w:abstractNum>
  <w:abstractNum w:abstractNumId="69">
    <w:nsid w:val="7C58FD05"/>
    <w:multiLevelType w:val="hybridMultilevel"/>
    <w:lvl w:ilvl="0">
      <w:lvlJc w:val="left"/>
      <w:lvlText w:val="(%1)"/>
      <w:numFmt w:val="lowerLetter"/>
      <w:start w:val="1"/>
    </w:lvl>
  </w:abstractNum>
  <w:abstractNum w:abstractNumId="70">
    <w:nsid w:val="23D86AAC"/>
    <w:multiLevelType w:val="hybridMultilevel"/>
    <w:lvl w:ilvl="0">
      <w:lvlJc w:val="left"/>
      <w:lvlText w:val="(%1)"/>
      <w:numFmt w:val="lowerLetter"/>
      <w:start w:val="1"/>
    </w:lvl>
  </w:abstractNum>
  <w:abstractNum w:abstractNumId="71">
    <w:nsid w:val="45E6D486"/>
    <w:multiLevelType w:val="hybridMultilevel"/>
    <w:lvl w:ilvl="0">
      <w:lvlJc w:val="left"/>
      <w:lvlText w:val="(%1)"/>
      <w:numFmt w:val="lowerLetter"/>
      <w:start w:val="1"/>
    </w:lvl>
  </w:abstractNum>
  <w:abstractNum w:abstractNumId="72">
    <w:nsid w:val="5C10FE21"/>
    <w:multiLevelType w:val="hybridMultilevel"/>
    <w:lvl w:ilvl="0">
      <w:lvlJc w:val="left"/>
      <w:lvlText w:val="(%1)"/>
      <w:numFmt w:val="lowerRoman"/>
      <w:start w:val="3"/>
    </w:lvl>
  </w:abstractNum>
  <w:abstractNum w:abstractNumId="73">
    <w:nsid w:val="E7FFA2B"/>
    <w:multiLevelType w:val="hybridMultilevel"/>
    <w:lvl w:ilvl="0">
      <w:lvlJc w:val="left"/>
      <w:lvlText w:val="(%1)"/>
      <w:numFmt w:val="lowerRoman"/>
      <w:start w:val="5"/>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1)"/>
      <w:numFmt w:val="lowerLetter"/>
      <w:start w:val="1"/>
    </w:lvl>
  </w:abstractNum>
  <w:abstractNum w:abstractNumId="79">
    <w:nsid w:val="6C80EC70"/>
    <w:multiLevelType w:val="hybridMultilevel"/>
    <w:lvl w:ilvl="0">
      <w:lvlJc w:val="left"/>
      <w:lvlText w:val="(%1)"/>
      <w:numFmt w:val="lowerLetter"/>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1)"/>
      <w:numFmt w:val="lowerLetter"/>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1)"/>
      <w:numFmt w:val="lowerLetter"/>
      <w:start w:val="1"/>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1)"/>
      <w:numFmt w:val="decimal"/>
      <w:start w:val="2"/>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1)"/>
      <w:numFmt w:val="decimal"/>
      <w:start w:val="5"/>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lowerRoman"/>
      <w:start w:val="1"/>
    </w:lvl>
  </w:abstractNum>
  <w:abstractNum w:abstractNumId="118">
    <w:nsid w:val="49D0FEAC"/>
    <w:multiLevelType w:val="hybridMultilevel"/>
    <w:lvl w:ilvl="0">
      <w:lvlJc w:val="left"/>
      <w:lvlText w:val="(%1)"/>
      <w:numFmt w:val="lowerRoman"/>
      <w:start w:val="2"/>
    </w:lvl>
  </w:abstractNum>
  <w:abstractNum w:abstractNumId="119">
    <w:nsid w:val="4BEE5A5B"/>
    <w:multiLevelType w:val="hybridMultilevel"/>
    <w:lvl w:ilvl="0">
      <w:lvlJc w:val="left"/>
      <w:lvlText w:val="(%1)"/>
      <w:numFmt w:val="lowerRoman"/>
      <w:start w:val="3"/>
    </w:lvl>
  </w:abstractNum>
  <w:abstractNum w:abstractNumId="120">
    <w:nsid w:val="5551B9F3"/>
    <w:multiLevelType w:val="hybridMultilevel"/>
    <w:lvl w:ilvl="0">
      <w:lvlJc w:val="left"/>
      <w:lvlText w:val="(%1)"/>
      <w:numFmt w:val="lowerRoman"/>
      <w:start w:val="2"/>
    </w:lvl>
  </w:abstractNum>
  <w:abstractNum w:abstractNumId="121">
    <w:nsid w:val="24F6AB8E"/>
    <w:multiLevelType w:val="hybridMultilevel"/>
    <w:lvl w:ilvl="0">
      <w:lvlJc w:val="left"/>
      <w:lvlText w:val="(%1)"/>
      <w:numFmt w:val="lowerRoman"/>
      <w:start w:val="1"/>
    </w:lvl>
  </w:abstractNum>
  <w:abstractNum w:abstractNumId="122">
    <w:nsid w:val="634C574C"/>
    <w:multiLevelType w:val="hybridMultilevel"/>
    <w:lvl w:ilvl="0">
      <w:lvlJc w:val="left"/>
      <w:lvlText w:val="(%1)"/>
      <w:numFmt w:val="lowerLetter"/>
      <w:start w:val="2"/>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1."/>
      <w:numFmt w:val="decimal"/>
      <w:start w:val="3"/>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6"/>
    </w:lvl>
  </w:abstractNum>
  <w:abstractNum w:abstractNumId="129">
    <w:nsid w:val="2A6DE806"/>
    <w:multiLevelType w:val="hybridMultilevel"/>
    <w:lvl w:ilvl="0">
      <w:lvlJc w:val="left"/>
      <w:lvlText w:val="(%1)"/>
      <w:numFmt w:val="decimal"/>
      <w:start w:val="18"/>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1)"/>
      <w:numFmt w:val="lowerRoman"/>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decimal"/>
      <w:start w:val="2"/>
    </w:lvl>
  </w:abstractNum>
  <w:abstractNum w:abstractNumId="139">
    <w:nsid w:val="631B64D4"/>
    <w:multiLevelType w:val="hybridMultilevel"/>
    <w:lvl w:ilvl="0">
      <w:lvlJc w:val="left"/>
      <w:lvlText w:val="(%1)"/>
      <w:numFmt w:val="decimal"/>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upperLetter"/>
      <w:start w:val="1"/>
    </w:lvl>
  </w:abstractNum>
  <w:abstractNum w:abstractNumId="143">
    <w:nsid w:val="1A0DDE32"/>
    <w:multiLevelType w:val="hybridMultilevel"/>
    <w:lvl w:ilvl="0">
      <w:lvlJc w:val="left"/>
      <w:lvlText w:val="(%1)"/>
      <w:numFmt w:val="decimal"/>
      <w:start w:val="1"/>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2020-11-27T08:29:31Z</dcterms:created>
  <dcterms:modified xsi:type="dcterms:W3CDTF">2020-11-27T08:29:31Z</dcterms:modified>
</cp:coreProperties>
</file>