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11"/>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TA ASSOCIATES, L.P.</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11"/>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ZoomInfo Technologies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ZI</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80" w:type="dxa"/>
            <w:vAlign w:val="bottom"/>
            <w:gridSpan w:val="3"/>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460" w:type="dxa"/>
            <w:vAlign w:val="bottom"/>
            <w:vMerge w:val="restart"/>
          </w:tcPr>
          <w:p>
            <w:pPr>
              <w:ind w:left="160"/>
              <w:spacing w:after="0"/>
              <w:rPr>
                <w:sz w:val="20"/>
                <w:szCs w:val="20"/>
                <w:color w:val="auto"/>
              </w:rPr>
            </w:pPr>
            <w:r>
              <w:rPr>
                <w:rFonts w:ascii="Arial" w:cs="Arial" w:eastAsia="Arial" w:hAnsi="Arial"/>
                <w:sz w:val="17"/>
                <w:szCs w:val="17"/>
                <w:color w:val="0000FF"/>
              </w:rPr>
              <w:t>X</w:t>
            </w:r>
          </w:p>
        </w:tc>
        <w:tc>
          <w:tcPr>
            <w:tcW w:w="1280" w:type="dxa"/>
            <w:vAlign w:val="bottom"/>
            <w:gridSpan w:val="4"/>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12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80" w:type="dxa"/>
            <w:vAlign w:val="bottom"/>
            <w:gridSpan w:val="3"/>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12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460" w:type="dxa"/>
            <w:vAlign w:val="bottom"/>
          </w:tcPr>
          <w:p>
            <w:pPr>
              <w:spacing w:after="0"/>
              <w:rPr>
                <w:sz w:val="7"/>
                <w:szCs w:val="7"/>
                <w:color w:val="auto"/>
              </w:rPr>
            </w:pPr>
          </w:p>
        </w:tc>
        <w:tc>
          <w:tcPr>
            <w:tcW w:w="1280" w:type="dxa"/>
            <w:vAlign w:val="bottom"/>
            <w:gridSpan w:val="4"/>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26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460" w:type="dxa"/>
            <w:vAlign w:val="bottom"/>
          </w:tcPr>
          <w:p>
            <w:pPr>
              <w:spacing w:after="0"/>
              <w:rPr>
                <w:sz w:val="3"/>
                <w:szCs w:val="3"/>
                <w:color w:val="auto"/>
              </w:rPr>
            </w:pPr>
          </w:p>
        </w:tc>
        <w:tc>
          <w:tcPr>
            <w:tcW w:w="12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11"/>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46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200 CLARENDON STREET</w:t>
            </w:r>
          </w:p>
        </w:tc>
        <w:tc>
          <w:tcPr>
            <w:tcW w:w="1340" w:type="dxa"/>
            <w:vAlign w:val="bottom"/>
          </w:tcPr>
          <w:p>
            <w:pPr>
              <w:spacing w:after="0"/>
              <w:rPr>
                <w:sz w:val="19"/>
                <w:szCs w:val="19"/>
                <w:color w:val="auto"/>
              </w:rPr>
            </w:pPr>
          </w:p>
        </w:tc>
        <w:tc>
          <w:tcPr>
            <w:tcW w:w="1080" w:type="dxa"/>
            <w:vAlign w:val="bottom"/>
            <w:gridSpan w:val="8"/>
          </w:tcPr>
          <w:p>
            <w:pPr>
              <w:ind w:left="160"/>
              <w:spacing w:after="0"/>
              <w:rPr>
                <w:sz w:val="20"/>
                <w:szCs w:val="20"/>
                <w:color w:val="auto"/>
              </w:rPr>
            </w:pPr>
            <w:r>
              <w:rPr>
                <w:rFonts w:ascii="Arial" w:cs="Arial" w:eastAsia="Arial" w:hAnsi="Arial"/>
                <w:sz w:val="17"/>
                <w:szCs w:val="17"/>
                <w:color w:val="0000FF"/>
              </w:rPr>
              <w:t>11/05/2021</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56TH FLOOR</w:t>
            </w: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0" w:type="dxa"/>
            <w:vAlign w:val="bottom"/>
            <w:gridSpan w:val="1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5"/>
                <w:szCs w:val="5"/>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12"/>
            <w:vMerge w:val="continue"/>
          </w:tcPr>
          <w:p>
            <w:pPr>
              <w:spacing w:after="0"/>
              <w:rPr>
                <w:sz w:val="13"/>
                <w:szCs w:val="13"/>
                <w:color w:val="auto"/>
              </w:rPr>
            </w:pPr>
          </w:p>
        </w:tc>
        <w:tc>
          <w:tcPr>
            <w:tcW w:w="340" w:type="dxa"/>
            <w:vAlign w:val="bottom"/>
          </w:tcPr>
          <w:p>
            <w:pPr>
              <w:spacing w:after="0"/>
              <w:rPr>
                <w:sz w:val="13"/>
                <w:szCs w:val="13"/>
                <w:color w:val="auto"/>
              </w:rPr>
            </w:pPr>
          </w:p>
        </w:tc>
        <w:tc>
          <w:tcPr>
            <w:tcW w:w="342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gridSpan w:val="3"/>
          </w:tcPr>
          <w:p>
            <w:pPr>
              <w:ind w:left="80"/>
              <w:spacing w:after="0" w:line="120" w:lineRule="exact"/>
              <w:rPr>
                <w:sz w:val="20"/>
                <w:szCs w:val="20"/>
                <w:color w:val="auto"/>
              </w:rPr>
            </w:pPr>
            <w:r>
              <w:rPr>
                <w:rFonts w:ascii="Arial" w:cs="Arial" w:eastAsia="Arial" w:hAnsi="Arial"/>
                <w:sz w:val="13"/>
                <w:szCs w:val="13"/>
                <w:color w:val="auto"/>
              </w:rPr>
              <w:t>Line)</w:t>
            </w:r>
          </w:p>
        </w:tc>
        <w:tc>
          <w:tcPr>
            <w:tcW w:w="300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BOSTON</w:t>
            </w:r>
          </w:p>
        </w:tc>
        <w:tc>
          <w:tcPr>
            <w:tcW w:w="1120" w:type="dxa"/>
            <w:vAlign w:val="bottom"/>
            <w:gridSpan w:val="3"/>
          </w:tcPr>
          <w:p>
            <w:pPr>
              <w:ind w:left="40"/>
              <w:spacing w:after="0"/>
              <w:rPr>
                <w:sz w:val="20"/>
                <w:szCs w:val="20"/>
                <w:color w:val="auto"/>
              </w:rPr>
            </w:pPr>
            <w:r>
              <w:rPr>
                <w:rFonts w:ascii="Arial" w:cs="Arial" w:eastAsia="Arial" w:hAnsi="Arial"/>
                <w:sz w:val="17"/>
                <w:szCs w:val="17"/>
                <w:color w:val="0000FF"/>
              </w:rPr>
              <w:t>MA</w:t>
            </w:r>
          </w:p>
        </w:tc>
        <w:tc>
          <w:tcPr>
            <w:tcW w:w="1340" w:type="dxa"/>
            <w:vAlign w:val="bottom"/>
          </w:tcPr>
          <w:p>
            <w:pPr>
              <w:ind w:left="140"/>
              <w:spacing w:after="0"/>
              <w:rPr>
                <w:sz w:val="20"/>
                <w:szCs w:val="20"/>
                <w:color w:val="auto"/>
              </w:rPr>
            </w:pPr>
            <w:r>
              <w:rPr>
                <w:rFonts w:ascii="Arial" w:cs="Arial" w:eastAsia="Arial" w:hAnsi="Arial"/>
                <w:sz w:val="17"/>
                <w:szCs w:val="17"/>
                <w:color w:val="0000FF"/>
              </w:rPr>
              <w:t>02116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3000" w:type="dxa"/>
            <w:vAlign w:val="bottom"/>
            <w:gridSpan w:val="7"/>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3"/>
                <w:szCs w:val="13"/>
                <w:color w:val="auto"/>
              </w:rPr>
              <w:t>Person</w:t>
            </w: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2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gridSpan w:val="2"/>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132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180" w:type="dxa"/>
            <w:vAlign w:val="bottom"/>
            <w:tcBorders>
              <w:top w:val="single" w:sz="8" w:color="2C2C2C"/>
            </w:tcBorders>
            <w:gridSpan w:val="23"/>
          </w:tcPr>
          <w:p>
            <w:pPr>
              <w:ind w:left="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4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4"/>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40" w:type="dxa"/>
            <w:vAlign w:val="bottom"/>
          </w:tcPr>
          <w:p>
            <w:pPr>
              <w:ind w:left="260"/>
              <w:spacing w:after="0"/>
              <w:rPr>
                <w:sz w:val="20"/>
                <w:szCs w:val="20"/>
                <w:color w:val="auto"/>
              </w:rPr>
            </w:pPr>
            <w:r>
              <w:rPr>
                <w:rFonts w:ascii="Arial" w:cs="Arial" w:eastAsia="Arial" w:hAnsi="Arial"/>
                <w:sz w:val="12"/>
                <w:szCs w:val="12"/>
                <w:b w:val="1"/>
                <w:bCs w:val="1"/>
                <w:color w:val="auto"/>
              </w:rPr>
              <w:t>2. Transaction</w:t>
            </w:r>
          </w:p>
        </w:tc>
        <w:tc>
          <w:tcPr>
            <w:tcW w:w="20" w:type="dxa"/>
            <w:vAlign w:val="bottom"/>
          </w:tcPr>
          <w:p>
            <w:pPr>
              <w:spacing w:after="0"/>
              <w:rPr>
                <w:sz w:val="15"/>
                <w:szCs w:val="15"/>
                <w:color w:val="auto"/>
              </w:rPr>
            </w:pPr>
          </w:p>
        </w:tc>
        <w:tc>
          <w:tcPr>
            <w:tcW w:w="82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1640" w:type="dxa"/>
            <w:vAlign w:val="bottom"/>
            <w:gridSpan w:val="4"/>
          </w:tcPr>
          <w:p>
            <w:pPr>
              <w:ind w:left="20"/>
              <w:spacing w:after="0"/>
              <w:rPr>
                <w:sz w:val="20"/>
                <w:szCs w:val="20"/>
                <w:color w:val="auto"/>
              </w:rPr>
            </w:pPr>
            <w:r>
              <w:rPr>
                <w:rFonts w:ascii="Arial" w:cs="Arial" w:eastAsia="Arial" w:hAnsi="Arial"/>
                <w:sz w:val="12"/>
                <w:szCs w:val="12"/>
                <w:b w:val="1"/>
                <w:bCs w:val="1"/>
                <w:color w:val="auto"/>
                <w:w w:val="99"/>
              </w:rPr>
              <w:t>4. Securities Acquired (A) or</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160" w:type="dxa"/>
            <w:vAlign w:val="bottom"/>
            <w:gridSpan w:val="2"/>
          </w:tcPr>
          <w:p>
            <w:pPr>
              <w:ind w:left="360"/>
              <w:spacing w:after="0"/>
              <w:rPr>
                <w:sz w:val="20"/>
                <w:szCs w:val="20"/>
                <w:color w:val="auto"/>
              </w:rPr>
            </w:pPr>
            <w:r>
              <w:rPr>
                <w:rFonts w:ascii="Arial" w:cs="Arial" w:eastAsia="Arial" w:hAnsi="Arial"/>
                <w:sz w:val="12"/>
                <w:szCs w:val="12"/>
                <w:b w:val="1"/>
                <w:bCs w:val="1"/>
                <w:color w:val="auto"/>
              </w:rPr>
              <w:t>6. Ownership</w:t>
            </w:r>
          </w:p>
        </w:tc>
        <w:tc>
          <w:tcPr>
            <w:tcW w:w="1280" w:type="dxa"/>
            <w:vAlign w:val="bottom"/>
            <w:gridSpan w:val="4"/>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ind w:left="26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1100" w:type="dxa"/>
            <w:vAlign w:val="bottom"/>
            <w:gridSpan w:val="8"/>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6"/>
          </w:tcPr>
          <w:p>
            <w:pPr>
              <w:jc w:val="center"/>
              <w:ind w:right="133"/>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78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2"/>
          </w:tcPr>
          <w:p>
            <w:pPr>
              <w:ind w:left="360"/>
              <w:spacing w:after="0" w:line="131" w:lineRule="exact"/>
              <w:rPr>
                <w:sz w:val="20"/>
                <w:szCs w:val="20"/>
                <w:color w:val="auto"/>
              </w:rPr>
            </w:pPr>
            <w:r>
              <w:rPr>
                <w:rFonts w:ascii="Arial" w:cs="Arial" w:eastAsia="Arial" w:hAnsi="Arial"/>
                <w:sz w:val="12"/>
                <w:szCs w:val="12"/>
                <w:b w:val="1"/>
                <w:bCs w:val="1"/>
                <w:color w:val="auto"/>
              </w:rPr>
              <w:t>Form: Direct</w:t>
            </w:r>
          </w:p>
        </w:tc>
        <w:tc>
          <w:tcPr>
            <w:tcW w:w="56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Indirect</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jc w:val="center"/>
              <w:ind w:left="83"/>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20" w:type="dxa"/>
            <w:vAlign w:val="bottom"/>
          </w:tcPr>
          <w:p>
            <w:pPr>
              <w:spacing w:after="0"/>
              <w:rPr>
                <w:sz w:val="11"/>
                <w:szCs w:val="11"/>
                <w:color w:val="auto"/>
              </w:rPr>
            </w:pPr>
          </w:p>
        </w:tc>
        <w:tc>
          <w:tcPr>
            <w:tcW w:w="8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360"/>
              <w:spacing w:after="0" w:line="133" w:lineRule="exact"/>
              <w:rPr>
                <w:sz w:val="20"/>
                <w:szCs w:val="20"/>
                <w:color w:val="auto"/>
              </w:rPr>
            </w:pPr>
            <w:r>
              <w:rPr>
                <w:rFonts w:ascii="Arial" w:cs="Arial" w:eastAsia="Arial" w:hAnsi="Arial"/>
                <w:sz w:val="12"/>
                <w:szCs w:val="12"/>
                <w:b w:val="1"/>
                <w:bCs w:val="1"/>
                <w:color w:val="auto"/>
                <w:w w:val="99"/>
              </w:rPr>
              <w:t>(D) or</w:t>
            </w:r>
          </w:p>
        </w:tc>
        <w:tc>
          <w:tcPr>
            <w:tcW w:w="460" w:type="dxa"/>
            <w:vAlign w:val="bottom"/>
          </w:tcPr>
          <w:p>
            <w:pPr>
              <w:spacing w:after="0"/>
              <w:rPr>
                <w:sz w:val="11"/>
                <w:szCs w:val="11"/>
                <w:color w:val="auto"/>
              </w:rPr>
            </w:pPr>
          </w:p>
        </w:tc>
        <w:tc>
          <w:tcPr>
            <w:tcW w:w="128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8"/>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116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Indirect (I)</w:t>
            </w:r>
          </w:p>
        </w:tc>
        <w:tc>
          <w:tcPr>
            <w:tcW w:w="128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116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4)</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44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gridSpan w:val="2"/>
          </w:tcPr>
          <w:p>
            <w:pPr>
              <w:ind w:left="40"/>
              <w:spacing w:after="0" w:line="84" w:lineRule="exact"/>
              <w:rPr>
                <w:sz w:val="20"/>
                <w:szCs w:val="20"/>
                <w:color w:val="auto"/>
              </w:rPr>
            </w:pPr>
            <w:r>
              <w:rPr>
                <w:rFonts w:ascii="Arial" w:cs="Arial" w:eastAsia="Arial" w:hAnsi="Arial"/>
                <w:sz w:val="8"/>
                <w:szCs w:val="8"/>
                <w:b w:val="1"/>
                <w:bCs w:val="1"/>
                <w:color w:val="auto"/>
              </w:rPr>
              <w:t>Reported</w:t>
            </w: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8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380" w:type="dxa"/>
            <w:vAlign w:val="bottom"/>
            <w:vMerge w:val="continue"/>
          </w:tcPr>
          <w:p>
            <w:pPr>
              <w:spacing w:after="0"/>
              <w:rPr>
                <w:sz w:val="10"/>
                <w:szCs w:val="10"/>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80" w:type="dxa"/>
            <w:vAlign w:val="bottom"/>
            <w:gridSpan w:val="3"/>
          </w:tcPr>
          <w:p>
            <w:pPr>
              <w:ind w:left="40"/>
              <w:spacing w:after="0" w:line="123" w:lineRule="exact"/>
              <w:rPr>
                <w:sz w:val="20"/>
                <w:szCs w:val="20"/>
                <w:color w:val="auto"/>
              </w:rPr>
            </w:pPr>
            <w:r>
              <w:rPr>
                <w:rFonts w:ascii="Arial" w:cs="Arial" w:eastAsia="Arial" w:hAnsi="Arial"/>
                <w:sz w:val="12"/>
                <w:szCs w:val="12"/>
                <w:b w:val="1"/>
                <w:bCs w:val="1"/>
                <w:color w:val="auto"/>
              </w:rPr>
              <w:t>Transaction(s)</w:t>
            </w:r>
          </w:p>
        </w:tc>
        <w:tc>
          <w:tcPr>
            <w:tcW w:w="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3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44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8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80" w:type="dxa"/>
            <w:vAlign w:val="bottom"/>
            <w:gridSpan w:val="3"/>
            <w:vMerge w:val="continue"/>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vMerge w:val="restart"/>
          </w:tcPr>
          <w:p>
            <w:pPr>
              <w:jc w:val="center"/>
              <w:ind w:left="83"/>
              <w:spacing w:after="0"/>
              <w:rPr>
                <w:sz w:val="20"/>
                <w:szCs w:val="20"/>
                <w:color w:val="auto"/>
              </w:rPr>
            </w:pPr>
            <w:r>
              <w:rPr>
                <w:rFonts w:ascii="Arial" w:cs="Arial" w:eastAsia="Arial" w:hAnsi="Arial"/>
                <w:sz w:val="17"/>
                <w:szCs w:val="17"/>
                <w:color w:val="0000FF"/>
                <w:w w:val="91"/>
              </w:rPr>
              <w:t>11/05/2021</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vMerge w:val="restart"/>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60" w:type="dxa"/>
            <w:vAlign w:val="bottom"/>
          </w:tcPr>
          <w:p>
            <w:pPr>
              <w:spacing w:after="0"/>
              <w:rPr>
                <w:sz w:val="22"/>
                <w:szCs w:val="22"/>
                <w:color w:val="auto"/>
              </w:rPr>
            </w:pPr>
          </w:p>
        </w:tc>
        <w:tc>
          <w:tcPr>
            <w:tcW w:w="660" w:type="dxa"/>
            <w:vAlign w:val="bottom"/>
            <w:vMerge w:val="restart"/>
          </w:tcPr>
          <w:p>
            <w:pPr>
              <w:jc w:val="center"/>
              <w:spacing w:after="0"/>
              <w:rPr>
                <w:sz w:val="20"/>
                <w:szCs w:val="20"/>
                <w:color w:val="auto"/>
              </w:rPr>
            </w:pPr>
            <w:r>
              <w:rPr>
                <w:rFonts w:ascii="Arial" w:cs="Arial" w:eastAsia="Arial" w:hAnsi="Arial"/>
                <w:sz w:val="17"/>
                <w:szCs w:val="17"/>
                <w:color w:val="0000FF"/>
                <w:w w:val="91"/>
              </w:rPr>
              <w:t>628,192</w:t>
            </w:r>
          </w:p>
        </w:tc>
        <w:tc>
          <w:tcPr>
            <w:tcW w:w="160" w:type="dxa"/>
            <w:vAlign w:val="bottom"/>
          </w:tcPr>
          <w:p>
            <w:pPr>
              <w:spacing w:after="0"/>
              <w:rPr>
                <w:sz w:val="22"/>
                <w:szCs w:val="22"/>
                <w:color w:val="auto"/>
              </w:rPr>
            </w:pPr>
          </w:p>
        </w:tc>
        <w:tc>
          <w:tcPr>
            <w:tcW w:w="38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72.9997</w:t>
            </w:r>
            <w:r>
              <w:rPr>
                <w:rFonts w:ascii="Arial" w:cs="Arial" w:eastAsia="Arial" w:hAnsi="Arial"/>
                <w:sz w:val="22"/>
                <w:szCs w:val="22"/>
                <w:color w:val="008000"/>
                <w:w w:val="94"/>
                <w:vertAlign w:val="superscript"/>
              </w:rPr>
              <w:t>(2)</w:t>
            </w:r>
          </w:p>
        </w:tc>
        <w:tc>
          <w:tcPr>
            <w:tcW w:w="1520" w:type="dxa"/>
            <w:vAlign w:val="bottom"/>
            <w:gridSpan w:val="4"/>
            <w:vMerge w:val="restart"/>
          </w:tcPr>
          <w:p>
            <w:pPr>
              <w:jc w:val="center"/>
              <w:ind w:right="320"/>
              <w:spacing w:after="0"/>
              <w:rPr>
                <w:sz w:val="20"/>
                <w:szCs w:val="20"/>
                <w:color w:val="auto"/>
              </w:rPr>
            </w:pPr>
            <w:r>
              <w:rPr>
                <w:rFonts w:ascii="Arial" w:cs="Arial" w:eastAsia="Arial" w:hAnsi="Arial"/>
                <w:sz w:val="17"/>
                <w:szCs w:val="17"/>
                <w:color w:val="0000FF"/>
                <w:w w:val="91"/>
              </w:rPr>
              <w:t>27,173,404</w:t>
            </w:r>
          </w:p>
        </w:tc>
        <w:tc>
          <w:tcPr>
            <w:tcW w:w="4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6"/>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4"/>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vMerge w:val="restart"/>
          </w:tcPr>
          <w:p>
            <w:pPr>
              <w:jc w:val="center"/>
              <w:ind w:left="83"/>
              <w:spacing w:after="0"/>
              <w:rPr>
                <w:sz w:val="20"/>
                <w:szCs w:val="20"/>
                <w:color w:val="auto"/>
              </w:rPr>
            </w:pPr>
            <w:r>
              <w:rPr>
                <w:rFonts w:ascii="Arial" w:cs="Arial" w:eastAsia="Arial" w:hAnsi="Arial"/>
                <w:sz w:val="17"/>
                <w:szCs w:val="17"/>
                <w:color w:val="0000FF"/>
                <w:w w:val="91"/>
              </w:rPr>
              <w:t>11/05/2021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16,217</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72.9997</w:t>
            </w:r>
            <w:r>
              <w:rPr>
                <w:rFonts w:ascii="Arial" w:cs="Arial" w:eastAsia="Arial" w:hAnsi="Arial"/>
                <w:sz w:val="22"/>
                <w:szCs w:val="22"/>
                <w:color w:val="008000"/>
                <w:w w:val="94"/>
                <w:vertAlign w:val="superscript"/>
              </w:rPr>
              <w:t>(2)</w:t>
            </w:r>
          </w:p>
        </w:tc>
        <w:tc>
          <w:tcPr>
            <w:tcW w:w="4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gridSpan w:val="2"/>
            <w:vMerge w:val="restart"/>
          </w:tcPr>
          <w:p>
            <w:pPr>
              <w:jc w:val="center"/>
              <w:ind w:right="600"/>
              <w:spacing w:after="0"/>
              <w:rPr>
                <w:sz w:val="20"/>
                <w:szCs w:val="20"/>
                <w:color w:val="auto"/>
              </w:rPr>
            </w:pPr>
            <w:r>
              <w:rPr>
                <w:rFonts w:ascii="Arial" w:cs="Arial" w:eastAsia="Arial" w:hAnsi="Arial"/>
                <w:sz w:val="17"/>
                <w:szCs w:val="17"/>
                <w:color w:val="0000FF"/>
                <w:w w:val="91"/>
              </w:rPr>
              <w:t>701,492</w:t>
            </w: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6"/>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(4)(5)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vMerge w:val="restart"/>
          </w:tcPr>
          <w:p>
            <w:pPr>
              <w:jc w:val="center"/>
              <w:ind w:left="83"/>
              <w:spacing w:after="0"/>
              <w:rPr>
                <w:sz w:val="20"/>
                <w:szCs w:val="20"/>
                <w:color w:val="auto"/>
              </w:rPr>
            </w:pPr>
            <w:r>
              <w:rPr>
                <w:rFonts w:ascii="Arial" w:cs="Arial" w:eastAsia="Arial" w:hAnsi="Arial"/>
                <w:sz w:val="17"/>
                <w:szCs w:val="17"/>
                <w:color w:val="0000FF"/>
                <w:w w:val="91"/>
              </w:rPr>
              <w:t>11/05/2021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1"/>
              </w:rPr>
              <w:t>108,488</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72.9997</w:t>
            </w:r>
            <w:r>
              <w:rPr>
                <w:rFonts w:ascii="Arial" w:cs="Arial" w:eastAsia="Arial" w:hAnsi="Arial"/>
                <w:sz w:val="22"/>
                <w:szCs w:val="22"/>
                <w:color w:val="008000"/>
                <w:w w:val="94"/>
                <w:vertAlign w:val="superscript"/>
              </w:rPr>
              <w:t>(2)</w:t>
            </w:r>
          </w:p>
        </w:tc>
        <w:tc>
          <w:tcPr>
            <w:tcW w:w="1520" w:type="dxa"/>
            <w:vAlign w:val="bottom"/>
            <w:tcBorders>
              <w:top w:val="single" w:sz="8" w:color="2C2C2C"/>
            </w:tcBorders>
            <w:gridSpan w:val="4"/>
            <w:vMerge w:val="restart"/>
          </w:tcPr>
          <w:p>
            <w:pPr>
              <w:jc w:val="center"/>
              <w:ind w:right="340"/>
              <w:spacing w:after="0"/>
              <w:rPr>
                <w:sz w:val="20"/>
                <w:szCs w:val="20"/>
                <w:color w:val="auto"/>
              </w:rPr>
            </w:pPr>
            <w:r>
              <w:rPr>
                <w:rFonts w:ascii="Arial" w:cs="Arial" w:eastAsia="Arial" w:hAnsi="Arial"/>
                <w:sz w:val="17"/>
                <w:szCs w:val="17"/>
                <w:color w:val="0000FF"/>
                <w:w w:val="89"/>
              </w:rPr>
              <w:t>4,692,820</w:t>
            </w: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6"/>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4"/>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(4)(6)</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vMerge w:val="restart"/>
          </w:tcPr>
          <w:p>
            <w:pPr>
              <w:jc w:val="center"/>
              <w:ind w:left="83"/>
              <w:spacing w:after="0"/>
              <w:rPr>
                <w:sz w:val="20"/>
                <w:szCs w:val="20"/>
                <w:color w:val="auto"/>
              </w:rPr>
            </w:pPr>
            <w:r>
              <w:rPr>
                <w:rFonts w:ascii="Arial" w:cs="Arial" w:eastAsia="Arial" w:hAnsi="Arial"/>
                <w:sz w:val="17"/>
                <w:szCs w:val="17"/>
                <w:color w:val="0000FF"/>
                <w:w w:val="91"/>
              </w:rPr>
              <w:t>11/05/2021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23,330</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72.9997</w:t>
            </w:r>
            <w:r>
              <w:rPr>
                <w:rFonts w:ascii="Arial" w:cs="Arial" w:eastAsia="Arial" w:hAnsi="Arial"/>
                <w:sz w:val="22"/>
                <w:szCs w:val="22"/>
                <w:color w:val="008000"/>
                <w:w w:val="94"/>
                <w:vertAlign w:val="superscript"/>
              </w:rPr>
              <w:t>(2)</w:t>
            </w:r>
          </w:p>
        </w:tc>
        <w:tc>
          <w:tcPr>
            <w:tcW w:w="1520" w:type="dxa"/>
            <w:vAlign w:val="bottom"/>
            <w:tcBorders>
              <w:top w:val="single" w:sz="8" w:color="2C2C2C"/>
            </w:tcBorders>
            <w:gridSpan w:val="4"/>
            <w:vMerge w:val="restart"/>
          </w:tcPr>
          <w:p>
            <w:pPr>
              <w:jc w:val="center"/>
              <w:ind w:right="340"/>
              <w:spacing w:after="0"/>
              <w:rPr>
                <w:sz w:val="20"/>
                <w:szCs w:val="20"/>
                <w:color w:val="auto"/>
              </w:rPr>
            </w:pPr>
            <w:r>
              <w:rPr>
                <w:rFonts w:ascii="Arial" w:cs="Arial" w:eastAsia="Arial" w:hAnsi="Arial"/>
                <w:sz w:val="17"/>
                <w:szCs w:val="17"/>
                <w:color w:val="0000FF"/>
                <w:w w:val="89"/>
              </w:rPr>
              <w:t>1,009,208</w:t>
            </w: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6"/>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4"/>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(4)(7)</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vMerge w:val="restart"/>
          </w:tcPr>
          <w:p>
            <w:pPr>
              <w:jc w:val="center"/>
              <w:ind w:left="83"/>
              <w:spacing w:after="0"/>
              <w:rPr>
                <w:sz w:val="20"/>
                <w:szCs w:val="20"/>
                <w:color w:val="auto"/>
              </w:rPr>
            </w:pPr>
            <w:r>
              <w:rPr>
                <w:rFonts w:ascii="Arial" w:cs="Arial" w:eastAsia="Arial" w:hAnsi="Arial"/>
                <w:sz w:val="17"/>
                <w:szCs w:val="17"/>
                <w:color w:val="0000FF"/>
                <w:w w:val="91"/>
              </w:rPr>
              <w:t>11/05/2021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ind w:left="1"/>
              <w:spacing w:after="0"/>
              <w:rPr>
                <w:sz w:val="20"/>
                <w:szCs w:val="20"/>
                <w:color w:val="auto"/>
              </w:rPr>
            </w:pPr>
            <w:r>
              <w:rPr>
                <w:rFonts w:ascii="Arial" w:cs="Arial" w:eastAsia="Arial" w:hAnsi="Arial"/>
                <w:sz w:val="17"/>
                <w:szCs w:val="17"/>
                <w:color w:val="0000FF"/>
                <w:w w:val="91"/>
              </w:rPr>
              <w:t>775</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72.9997</w:t>
            </w:r>
            <w:r>
              <w:rPr>
                <w:rFonts w:ascii="Arial" w:cs="Arial" w:eastAsia="Arial" w:hAnsi="Arial"/>
                <w:sz w:val="22"/>
                <w:szCs w:val="22"/>
                <w:color w:val="008000"/>
                <w:w w:val="94"/>
                <w:vertAlign w:val="superscript"/>
              </w:rPr>
              <w:t>(2)</w:t>
            </w:r>
          </w:p>
        </w:tc>
        <w:tc>
          <w:tcPr>
            <w:tcW w:w="4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33,507</w:t>
            </w:r>
          </w:p>
        </w:tc>
        <w:tc>
          <w:tcPr>
            <w:tcW w:w="70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6"/>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(4)(8)</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vMerge w:val="restart"/>
          </w:tcPr>
          <w:p>
            <w:pPr>
              <w:jc w:val="center"/>
              <w:ind w:left="83"/>
              <w:spacing w:after="0"/>
              <w:rPr>
                <w:sz w:val="20"/>
                <w:szCs w:val="20"/>
                <w:color w:val="auto"/>
              </w:rPr>
            </w:pPr>
            <w:r>
              <w:rPr>
                <w:rFonts w:ascii="Arial" w:cs="Arial" w:eastAsia="Arial" w:hAnsi="Arial"/>
                <w:sz w:val="17"/>
                <w:szCs w:val="17"/>
                <w:color w:val="0000FF"/>
                <w:w w:val="91"/>
              </w:rPr>
              <w:t>11/05/2021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41,081</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72.9997</w:t>
            </w:r>
            <w:r>
              <w:rPr>
                <w:rFonts w:ascii="Arial" w:cs="Arial" w:eastAsia="Arial" w:hAnsi="Arial"/>
                <w:sz w:val="22"/>
                <w:szCs w:val="22"/>
                <w:color w:val="008000"/>
                <w:w w:val="94"/>
                <w:vertAlign w:val="superscript"/>
              </w:rPr>
              <w:t>(2)</w:t>
            </w:r>
          </w:p>
        </w:tc>
        <w:tc>
          <w:tcPr>
            <w:tcW w:w="1520" w:type="dxa"/>
            <w:vAlign w:val="bottom"/>
            <w:tcBorders>
              <w:top w:val="single" w:sz="8" w:color="2C2C2C"/>
            </w:tcBorders>
            <w:gridSpan w:val="4"/>
            <w:vMerge w:val="restart"/>
          </w:tcPr>
          <w:p>
            <w:pPr>
              <w:jc w:val="center"/>
              <w:ind w:right="340"/>
              <w:spacing w:after="0"/>
              <w:rPr>
                <w:sz w:val="20"/>
                <w:szCs w:val="20"/>
                <w:color w:val="auto"/>
              </w:rPr>
            </w:pPr>
            <w:r>
              <w:rPr>
                <w:rFonts w:ascii="Arial" w:cs="Arial" w:eastAsia="Arial" w:hAnsi="Arial"/>
                <w:sz w:val="17"/>
                <w:szCs w:val="17"/>
                <w:color w:val="0000FF"/>
                <w:w w:val="89"/>
              </w:rPr>
              <w:t>1,776,995</w:t>
            </w: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6"/>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4"/>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(4)(9)</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vMerge w:val="restart"/>
          </w:tcPr>
          <w:p>
            <w:pPr>
              <w:jc w:val="center"/>
              <w:ind w:left="83"/>
              <w:spacing w:after="0"/>
              <w:rPr>
                <w:sz w:val="20"/>
                <w:szCs w:val="20"/>
                <w:color w:val="auto"/>
              </w:rPr>
            </w:pPr>
            <w:r>
              <w:rPr>
                <w:rFonts w:ascii="Arial" w:cs="Arial" w:eastAsia="Arial" w:hAnsi="Arial"/>
                <w:sz w:val="17"/>
                <w:szCs w:val="17"/>
                <w:color w:val="0000FF"/>
                <w:w w:val="91"/>
              </w:rPr>
              <w:t>11/05/2021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36,856</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72.9997</w:t>
            </w:r>
            <w:r>
              <w:rPr>
                <w:rFonts w:ascii="Arial" w:cs="Arial" w:eastAsia="Arial" w:hAnsi="Arial"/>
                <w:sz w:val="22"/>
                <w:szCs w:val="22"/>
                <w:color w:val="008000"/>
                <w:w w:val="94"/>
                <w:vertAlign w:val="superscript"/>
              </w:rPr>
              <w:t>(2)</w:t>
            </w:r>
          </w:p>
        </w:tc>
        <w:tc>
          <w:tcPr>
            <w:tcW w:w="1520" w:type="dxa"/>
            <w:vAlign w:val="bottom"/>
            <w:tcBorders>
              <w:top w:val="single" w:sz="8" w:color="2C2C2C"/>
            </w:tcBorders>
            <w:gridSpan w:val="4"/>
            <w:vMerge w:val="restart"/>
          </w:tcPr>
          <w:p>
            <w:pPr>
              <w:jc w:val="center"/>
              <w:ind w:right="340"/>
              <w:spacing w:after="0"/>
              <w:rPr>
                <w:sz w:val="20"/>
                <w:szCs w:val="20"/>
                <w:color w:val="auto"/>
              </w:rPr>
            </w:pPr>
            <w:r>
              <w:rPr>
                <w:rFonts w:ascii="Arial" w:cs="Arial" w:eastAsia="Arial" w:hAnsi="Arial"/>
                <w:sz w:val="17"/>
                <w:szCs w:val="17"/>
                <w:color w:val="0000FF"/>
                <w:w w:val="89"/>
              </w:rPr>
              <w:t>1,594,268</w:t>
            </w: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6"/>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4"/>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w w:val="95"/>
              </w:rPr>
              <w:t>Footnotes</w:t>
            </w:r>
            <w:r>
              <w:rPr>
                <w:rFonts w:ascii="Arial" w:cs="Arial" w:eastAsia="Arial" w:hAnsi="Arial"/>
                <w:sz w:val="22"/>
                <w:szCs w:val="22"/>
                <w:color w:val="008000"/>
                <w:w w:val="95"/>
                <w:vertAlign w:val="superscript"/>
              </w:rPr>
              <w:t>(4)(10)</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vMerge w:val="restart"/>
          </w:tcPr>
          <w:p>
            <w:pPr>
              <w:jc w:val="center"/>
              <w:ind w:left="83"/>
              <w:spacing w:after="0"/>
              <w:rPr>
                <w:sz w:val="20"/>
                <w:szCs w:val="20"/>
                <w:color w:val="auto"/>
              </w:rPr>
            </w:pPr>
            <w:r>
              <w:rPr>
                <w:rFonts w:ascii="Arial" w:cs="Arial" w:eastAsia="Arial" w:hAnsi="Arial"/>
                <w:sz w:val="17"/>
                <w:szCs w:val="17"/>
                <w:color w:val="0000FF"/>
                <w:w w:val="91"/>
              </w:rPr>
              <w:t>11/05/2021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3"/>
              </w:rPr>
              <w:t>3,098</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72.9997</w:t>
            </w:r>
            <w:r>
              <w:rPr>
                <w:rFonts w:ascii="Arial" w:cs="Arial" w:eastAsia="Arial" w:hAnsi="Arial"/>
                <w:sz w:val="22"/>
                <w:szCs w:val="22"/>
                <w:color w:val="008000"/>
                <w:w w:val="94"/>
                <w:vertAlign w:val="superscript"/>
              </w:rPr>
              <w:t>(2)</w:t>
            </w:r>
          </w:p>
        </w:tc>
        <w:tc>
          <w:tcPr>
            <w:tcW w:w="4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gridSpan w:val="2"/>
            <w:vMerge w:val="restart"/>
          </w:tcPr>
          <w:p>
            <w:pPr>
              <w:jc w:val="center"/>
              <w:ind w:right="600"/>
              <w:spacing w:after="0"/>
              <w:rPr>
                <w:sz w:val="20"/>
                <w:szCs w:val="20"/>
                <w:color w:val="auto"/>
              </w:rPr>
            </w:pPr>
            <w:r>
              <w:rPr>
                <w:rFonts w:ascii="Arial" w:cs="Arial" w:eastAsia="Arial" w:hAnsi="Arial"/>
                <w:sz w:val="17"/>
                <w:szCs w:val="17"/>
                <w:color w:val="0000FF"/>
                <w:w w:val="91"/>
              </w:rPr>
              <w:t>134,036</w:t>
            </w: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6"/>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w w:val="95"/>
              </w:rPr>
              <w:t>Footnotes</w:t>
            </w:r>
            <w:r>
              <w:rPr>
                <w:rFonts w:ascii="Arial" w:cs="Arial" w:eastAsia="Arial" w:hAnsi="Arial"/>
                <w:sz w:val="22"/>
                <w:szCs w:val="22"/>
                <w:color w:val="008000"/>
                <w:w w:val="95"/>
                <w:vertAlign w:val="superscript"/>
              </w:rPr>
              <w:t>(4)(11)</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vMerge w:val="restart"/>
          </w:tcPr>
          <w:p>
            <w:pPr>
              <w:jc w:val="center"/>
              <w:ind w:left="83"/>
              <w:spacing w:after="0"/>
              <w:rPr>
                <w:sz w:val="20"/>
                <w:szCs w:val="20"/>
                <w:color w:val="auto"/>
              </w:rPr>
            </w:pPr>
            <w:r>
              <w:rPr>
                <w:rFonts w:ascii="Arial" w:cs="Arial" w:eastAsia="Arial" w:hAnsi="Arial"/>
                <w:sz w:val="17"/>
                <w:szCs w:val="17"/>
                <w:color w:val="0000FF"/>
                <w:w w:val="91"/>
              </w:rPr>
              <w:t>11/05/2021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1"/>
              </w:rPr>
              <w:t>164,322</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72.9997</w:t>
            </w:r>
            <w:r>
              <w:rPr>
                <w:rFonts w:ascii="Arial" w:cs="Arial" w:eastAsia="Arial" w:hAnsi="Arial"/>
                <w:sz w:val="22"/>
                <w:szCs w:val="22"/>
                <w:color w:val="008000"/>
                <w:w w:val="94"/>
                <w:vertAlign w:val="superscript"/>
              </w:rPr>
              <w:t>(2)</w:t>
            </w:r>
          </w:p>
        </w:tc>
        <w:tc>
          <w:tcPr>
            <w:tcW w:w="1520" w:type="dxa"/>
            <w:vAlign w:val="bottom"/>
            <w:tcBorders>
              <w:top w:val="single" w:sz="8" w:color="2C2C2C"/>
            </w:tcBorders>
            <w:gridSpan w:val="4"/>
            <w:vMerge w:val="restart"/>
          </w:tcPr>
          <w:p>
            <w:pPr>
              <w:jc w:val="center"/>
              <w:ind w:right="340"/>
              <w:spacing w:after="0"/>
              <w:rPr>
                <w:sz w:val="20"/>
                <w:szCs w:val="20"/>
                <w:color w:val="auto"/>
              </w:rPr>
            </w:pPr>
            <w:r>
              <w:rPr>
                <w:rFonts w:ascii="Arial" w:cs="Arial" w:eastAsia="Arial" w:hAnsi="Arial"/>
                <w:sz w:val="17"/>
                <w:szCs w:val="17"/>
                <w:color w:val="0000FF"/>
                <w:w w:val="89"/>
              </w:rPr>
              <w:t>7,107,986</w:t>
            </w: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6"/>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4"/>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w w:val="95"/>
              </w:rPr>
              <w:t>Footnotes</w:t>
            </w:r>
            <w:r>
              <w:rPr>
                <w:rFonts w:ascii="Arial" w:cs="Arial" w:eastAsia="Arial" w:hAnsi="Arial"/>
                <w:sz w:val="22"/>
                <w:szCs w:val="22"/>
                <w:color w:val="008000"/>
                <w:w w:val="95"/>
                <w:vertAlign w:val="superscript"/>
              </w:rPr>
              <w:t>(4)(12)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vMerge w:val="restart"/>
          </w:tcPr>
          <w:p>
            <w:pPr>
              <w:jc w:val="center"/>
              <w:ind w:left="83"/>
              <w:spacing w:after="0"/>
              <w:rPr>
                <w:sz w:val="20"/>
                <w:szCs w:val="20"/>
                <w:color w:val="auto"/>
              </w:rPr>
            </w:pPr>
            <w:r>
              <w:rPr>
                <w:rFonts w:ascii="Arial" w:cs="Arial" w:eastAsia="Arial" w:hAnsi="Arial"/>
                <w:sz w:val="17"/>
                <w:szCs w:val="17"/>
                <w:color w:val="0000FF"/>
                <w:w w:val="91"/>
              </w:rPr>
              <w:t>11/05/2021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1"/>
              </w:rPr>
              <w:t>147,425</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72.9997</w:t>
            </w:r>
            <w:r>
              <w:rPr>
                <w:rFonts w:ascii="Arial" w:cs="Arial" w:eastAsia="Arial" w:hAnsi="Arial"/>
                <w:sz w:val="22"/>
                <w:szCs w:val="22"/>
                <w:color w:val="008000"/>
                <w:w w:val="94"/>
                <w:vertAlign w:val="superscript"/>
              </w:rPr>
              <w:t>(2)</w:t>
            </w:r>
          </w:p>
        </w:tc>
        <w:tc>
          <w:tcPr>
            <w:tcW w:w="1520" w:type="dxa"/>
            <w:vAlign w:val="bottom"/>
            <w:tcBorders>
              <w:top w:val="single" w:sz="8" w:color="2C2C2C"/>
            </w:tcBorders>
            <w:gridSpan w:val="4"/>
            <w:vMerge w:val="restart"/>
          </w:tcPr>
          <w:p>
            <w:pPr>
              <w:jc w:val="center"/>
              <w:ind w:right="340"/>
              <w:spacing w:after="0"/>
              <w:rPr>
                <w:sz w:val="20"/>
                <w:szCs w:val="20"/>
                <w:color w:val="auto"/>
              </w:rPr>
            </w:pPr>
            <w:r>
              <w:rPr>
                <w:rFonts w:ascii="Arial" w:cs="Arial" w:eastAsia="Arial" w:hAnsi="Arial"/>
                <w:sz w:val="17"/>
                <w:szCs w:val="17"/>
                <w:color w:val="0000FF"/>
                <w:w w:val="89"/>
              </w:rPr>
              <w:t>6,377,080</w:t>
            </w: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6"/>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4"/>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w w:val="95"/>
              </w:rPr>
              <w:t>Footnotes</w:t>
            </w:r>
            <w:r>
              <w:rPr>
                <w:rFonts w:ascii="Arial" w:cs="Arial" w:eastAsia="Arial" w:hAnsi="Arial"/>
                <w:sz w:val="22"/>
                <w:szCs w:val="22"/>
                <w:color w:val="008000"/>
                <w:w w:val="95"/>
                <w:vertAlign w:val="superscript"/>
              </w:rPr>
              <w:t>(4)(13)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128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920" w:type="dxa"/>
            <w:vAlign w:val="bottom"/>
            <w:gridSpan w:val="2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60" w:type="dxa"/>
            <w:vAlign w:val="bottom"/>
            <w:gridSpan w:val="2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2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9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560" w:type="dxa"/>
            <w:vAlign w:val="bottom"/>
          </w:tcPr>
          <w:p>
            <w:pPr>
              <w:spacing w:after="0"/>
              <w:rPr>
                <w:sz w:val="14"/>
                <w:szCs w:val="14"/>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jc w:val="center"/>
              <w:ind w:left="83"/>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40" w:type="dxa"/>
            <w:vAlign w:val="bottom"/>
          </w:tcPr>
          <w:p>
            <w:pPr>
              <w:spacing w:after="0"/>
              <w:rPr>
                <w:sz w:val="11"/>
                <w:szCs w:val="11"/>
                <w:color w:val="auto"/>
              </w:rPr>
            </w:pPr>
          </w:p>
        </w:tc>
        <w:tc>
          <w:tcPr>
            <w:tcW w:w="11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380" w:type="dxa"/>
            <w:vAlign w:val="bottom"/>
          </w:tcPr>
          <w:p>
            <w:pPr>
              <w:spacing w:after="0"/>
              <w:rPr>
                <w:sz w:val="11"/>
                <w:szCs w:val="11"/>
                <w:color w:val="auto"/>
              </w:rPr>
            </w:pPr>
          </w:p>
        </w:tc>
        <w:tc>
          <w:tcPr>
            <w:tcW w:w="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rPr>
                <w:sz w:val="11"/>
                <w:szCs w:val="11"/>
                <w:color w:val="auto"/>
              </w:rPr>
            </w:pPr>
          </w:p>
        </w:tc>
        <w:tc>
          <w:tcPr>
            <w:tcW w:w="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0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10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10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10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Date</w:t>
            </w:r>
          </w:p>
        </w:tc>
        <w:tc>
          <w:tcPr>
            <w:tcW w:w="120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280" w:type="dxa"/>
            <w:vAlign w:val="bottom"/>
            <w:gridSpan w:val="2"/>
          </w:tcPr>
          <w:p>
            <w:pPr>
              <w:ind w:left="80"/>
              <w:spacing w:after="0"/>
              <w:rPr>
                <w:sz w:val="20"/>
                <w:szCs w:val="20"/>
                <w:color w:val="auto"/>
              </w:rPr>
            </w:pPr>
            <w:r>
              <w:rPr>
                <w:rFonts w:ascii="Arial" w:cs="Arial" w:eastAsia="Arial" w:hAnsi="Arial"/>
                <w:sz w:val="12"/>
                <w:szCs w:val="12"/>
                <w:b w:val="1"/>
                <w:bCs w:val="1"/>
                <w:color w:val="auto"/>
              </w:rPr>
              <w:t>(A)</w:t>
            </w:r>
          </w:p>
        </w:tc>
        <w:tc>
          <w:tcPr>
            <w:tcW w:w="440" w:type="dxa"/>
            <w:vAlign w:val="bottom"/>
          </w:tcPr>
          <w:p>
            <w:pPr>
              <w:ind w:left="160"/>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3"/>
          </w:tcPr>
          <w:p>
            <w:pPr>
              <w:ind w:left="80"/>
              <w:spacing w:after="0"/>
              <w:rPr>
                <w:sz w:val="20"/>
                <w:szCs w:val="20"/>
                <w:color w:val="auto"/>
              </w:rPr>
            </w:pPr>
            <w:r>
              <w:rPr>
                <w:rFonts w:ascii="Arial" w:cs="Arial" w:eastAsia="Arial" w:hAnsi="Arial"/>
                <w:sz w:val="12"/>
                <w:szCs w:val="12"/>
                <w:b w:val="1"/>
                <w:bCs w:val="1"/>
                <w:color w:val="auto"/>
              </w:rPr>
              <w:t>Exercisable  Date</w:t>
            </w:r>
          </w:p>
        </w:tc>
        <w:tc>
          <w:tcPr>
            <w:tcW w:w="38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40" w:type="dxa"/>
            <w:vAlign w:val="bottom"/>
            <w:tcBorders>
              <w:bottom w:val="single" w:sz="8" w:color="2C2C2C"/>
            </w:tcBorders>
            <w:gridSpan w:val="4"/>
          </w:tcPr>
          <w:p>
            <w:pPr>
              <w:spacing w:after="0"/>
              <w:rPr>
                <w:sz w:val="7"/>
                <w:szCs w:val="7"/>
                <w:color w:val="auto"/>
              </w:rPr>
            </w:pPr>
          </w:p>
        </w:tc>
        <w:tc>
          <w:tcPr>
            <w:tcW w:w="160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740" w:type="dxa"/>
            <w:vAlign w:val="bottom"/>
            <w:tcBorders>
              <w:top w:val="single" w:sz="8" w:color="2C2C2C"/>
            </w:tcBorders>
            <w:gridSpan w:val="7"/>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TA ASSOCIATES, L.P.</w:t>
              </w:r>
            </w:hyperlink>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tcPr>
          <w:p>
            <w:pPr>
              <w:jc w:val="center"/>
              <w:ind w:left="63"/>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-2449195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200 CLARENDON STREET</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56TH FLOOR</w:t>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0"/>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BOSTON</w:t>
            </w:r>
          </w:p>
        </w:tc>
        <w:tc>
          <w:tcPr>
            <w:tcW w:w="1440" w:type="dxa"/>
            <w:vAlign w:val="bottom"/>
            <w:gridSpan w:val="3"/>
          </w:tcPr>
          <w:p>
            <w:pPr>
              <w:ind w:left="180"/>
              <w:spacing w:after="0"/>
              <w:rPr>
                <w:sz w:val="20"/>
                <w:szCs w:val="20"/>
                <w:color w:val="auto"/>
              </w:rPr>
            </w:pPr>
            <w:r>
              <w:rPr>
                <w:rFonts w:ascii="Arial" w:cs="Arial" w:eastAsia="Arial" w:hAnsi="Arial"/>
                <w:sz w:val="17"/>
                <w:szCs w:val="17"/>
                <w:color w:val="0000FF"/>
              </w:rPr>
              <w:t>MA</w:t>
            </w:r>
          </w:p>
        </w:tc>
        <w:tc>
          <w:tcPr>
            <w:tcW w:w="1500" w:type="dxa"/>
            <w:vAlign w:val="bottom"/>
          </w:tcPr>
          <w:p>
            <w:pPr>
              <w:ind w:left="140"/>
              <w:spacing w:after="0"/>
              <w:rPr>
                <w:sz w:val="20"/>
                <w:szCs w:val="20"/>
                <w:color w:val="auto"/>
              </w:rPr>
            </w:pPr>
            <w:r>
              <w:rPr>
                <w:rFonts w:ascii="Arial" w:cs="Arial" w:eastAsia="Arial" w:hAnsi="Arial"/>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3"/>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4"/>
          </w:tcPr>
          <w:p>
            <w:pPr>
              <w:spacing w:after="0" w:line="221" w:lineRule="exact"/>
              <w:rPr>
                <w:rFonts w:ascii="Arial" w:cs="Arial" w:eastAsia="Arial" w:hAnsi="Arial"/>
                <w:sz w:val="21"/>
                <w:szCs w:val="21"/>
                <w:color w:val="0000EE"/>
              </w:rPr>
            </w:pPr>
            <w:hyperlink r:id="rId15">
              <w:r>
                <w:rPr>
                  <w:rFonts w:ascii="Arial" w:cs="Arial" w:eastAsia="Arial" w:hAnsi="Arial"/>
                  <w:sz w:val="21"/>
                  <w:szCs w:val="21"/>
                  <w:color w:val="0000EE"/>
                </w:rPr>
                <w:t>TA XI DO AIV,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3"/>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Arial" w:cs="Arial" w:eastAsia="Arial" w:hAnsi="Arial"/>
                <w:sz w:val="17"/>
                <w:szCs w:val="17"/>
                <w:color w:val="0000FF"/>
              </w:rPr>
              <w:t>200 CLARENDON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56TH FLOOR</w:t>
            </w:r>
          </w:p>
        </w:tc>
        <w:tc>
          <w:tcPr>
            <w:tcW w:w="5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BOSTON</w:t>
            </w:r>
          </w:p>
        </w:tc>
        <w:tc>
          <w:tcPr>
            <w:tcW w:w="1440" w:type="dxa"/>
            <w:vAlign w:val="bottom"/>
            <w:gridSpan w:val="3"/>
          </w:tcPr>
          <w:p>
            <w:pPr>
              <w:ind w:left="180"/>
              <w:spacing w:after="0"/>
              <w:rPr>
                <w:sz w:val="20"/>
                <w:szCs w:val="20"/>
                <w:color w:val="auto"/>
              </w:rPr>
            </w:pPr>
            <w:r>
              <w:rPr>
                <w:rFonts w:ascii="Arial" w:cs="Arial" w:eastAsia="Arial" w:hAnsi="Arial"/>
                <w:sz w:val="17"/>
                <w:szCs w:val="17"/>
                <w:color w:val="0000FF"/>
              </w:rPr>
              <w:t>MA</w:t>
            </w:r>
          </w:p>
        </w:tc>
        <w:tc>
          <w:tcPr>
            <w:tcW w:w="1500" w:type="dxa"/>
            <w:vAlign w:val="bottom"/>
          </w:tcPr>
          <w:p>
            <w:pPr>
              <w:ind w:left="140"/>
              <w:spacing w:after="0"/>
              <w:rPr>
                <w:sz w:val="20"/>
                <w:szCs w:val="20"/>
                <w:color w:val="auto"/>
              </w:rPr>
            </w:pPr>
            <w:r>
              <w:rPr>
                <w:rFonts w:ascii="Arial" w:cs="Arial" w:eastAsia="Arial" w:hAnsi="Arial"/>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3"/>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4"/>
          </w:tcPr>
          <w:p>
            <w:pPr>
              <w:spacing w:after="0" w:line="221" w:lineRule="exact"/>
              <w:rPr>
                <w:rFonts w:ascii="Arial" w:cs="Arial" w:eastAsia="Arial" w:hAnsi="Arial"/>
                <w:sz w:val="21"/>
                <w:szCs w:val="21"/>
                <w:color w:val="0000EE"/>
              </w:rPr>
            </w:pPr>
            <w:hyperlink r:id="rId16">
              <w:r>
                <w:rPr>
                  <w:rFonts w:ascii="Arial" w:cs="Arial" w:eastAsia="Arial" w:hAnsi="Arial"/>
                  <w:sz w:val="21"/>
                  <w:szCs w:val="21"/>
                  <w:color w:val="0000EE"/>
                </w:rPr>
                <w:t>TA SDF III DO AIV,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3"/>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Arial" w:cs="Arial" w:eastAsia="Arial" w:hAnsi="Arial"/>
                <w:sz w:val="17"/>
                <w:szCs w:val="17"/>
                <w:color w:val="0000FF"/>
              </w:rPr>
              <w:t>200 CLARENDON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56TH FLOOR</w:t>
            </w:r>
          </w:p>
        </w:tc>
        <w:tc>
          <w:tcPr>
            <w:tcW w:w="5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BOSTON</w:t>
            </w:r>
          </w:p>
        </w:tc>
        <w:tc>
          <w:tcPr>
            <w:tcW w:w="1440" w:type="dxa"/>
            <w:vAlign w:val="bottom"/>
            <w:gridSpan w:val="3"/>
          </w:tcPr>
          <w:p>
            <w:pPr>
              <w:ind w:left="180"/>
              <w:spacing w:after="0"/>
              <w:rPr>
                <w:sz w:val="20"/>
                <w:szCs w:val="20"/>
                <w:color w:val="auto"/>
              </w:rPr>
            </w:pPr>
            <w:r>
              <w:rPr>
                <w:rFonts w:ascii="Arial" w:cs="Arial" w:eastAsia="Arial" w:hAnsi="Arial"/>
                <w:sz w:val="17"/>
                <w:szCs w:val="17"/>
                <w:color w:val="0000FF"/>
              </w:rPr>
              <w:t>MA</w:t>
            </w:r>
          </w:p>
        </w:tc>
        <w:tc>
          <w:tcPr>
            <w:tcW w:w="1500" w:type="dxa"/>
            <w:vAlign w:val="bottom"/>
          </w:tcPr>
          <w:p>
            <w:pPr>
              <w:ind w:left="140"/>
              <w:spacing w:after="0"/>
              <w:rPr>
                <w:sz w:val="20"/>
                <w:szCs w:val="20"/>
                <w:color w:val="auto"/>
              </w:rPr>
            </w:pPr>
            <w:r>
              <w:rPr>
                <w:rFonts w:ascii="Arial" w:cs="Arial" w:eastAsia="Arial" w:hAnsi="Arial"/>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3"/>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TA Atlantic &amp; Pacific VII-A L.P.</w:t>
        </w:r>
      </w:hyperlink>
    </w:p>
    <w:p>
      <w:pPr>
        <w:spacing w:after="0" w:line="321"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 CLARENDON STREET</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56TH FLOOR</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BOSTON</w:t>
            </w:r>
          </w:p>
        </w:tc>
        <w:tc>
          <w:tcPr>
            <w:tcW w:w="1440" w:type="dxa"/>
            <w:vAlign w:val="bottom"/>
            <w:gridSpan w:val="4"/>
          </w:tcPr>
          <w:p>
            <w:pPr>
              <w:ind w:left="180"/>
              <w:spacing w:after="0"/>
              <w:rPr>
                <w:sz w:val="20"/>
                <w:szCs w:val="20"/>
                <w:color w:val="auto"/>
              </w:rPr>
            </w:pPr>
            <w:r>
              <w:rPr>
                <w:rFonts w:ascii="Arial" w:cs="Arial" w:eastAsia="Arial" w:hAnsi="Arial"/>
                <w:sz w:val="17"/>
                <w:szCs w:val="17"/>
                <w:color w:val="0000FF"/>
              </w:rPr>
              <w:t>MA</w:t>
            </w:r>
          </w:p>
        </w:tc>
        <w:tc>
          <w:tcPr>
            <w:tcW w:w="1500" w:type="dxa"/>
            <w:vAlign w:val="bottom"/>
          </w:tcPr>
          <w:p>
            <w:pPr>
              <w:ind w:left="140"/>
              <w:spacing w:after="0"/>
              <w:rPr>
                <w:sz w:val="20"/>
                <w:szCs w:val="20"/>
                <w:color w:val="auto"/>
              </w:rPr>
            </w:pPr>
            <w:r>
              <w:rPr>
                <w:rFonts w:ascii="Arial" w:cs="Arial" w:eastAsia="Arial" w:hAnsi="Arial"/>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4"/>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5"/>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TA INVESTORS IV,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4"/>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5"/>
          </w:tcPr>
          <w:p>
            <w:pPr>
              <w:spacing w:after="0"/>
              <w:rPr>
                <w:sz w:val="20"/>
                <w:szCs w:val="20"/>
                <w:color w:val="auto"/>
              </w:rPr>
            </w:pPr>
            <w:r>
              <w:rPr>
                <w:rFonts w:ascii="Arial" w:cs="Arial" w:eastAsia="Arial" w:hAnsi="Arial"/>
                <w:sz w:val="17"/>
                <w:szCs w:val="17"/>
                <w:color w:val="0000FF"/>
              </w:rPr>
              <w:t>200 CLARENDON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56TH FLOOR</w:t>
            </w: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BOSTON</w:t>
            </w:r>
          </w:p>
        </w:tc>
        <w:tc>
          <w:tcPr>
            <w:tcW w:w="1440" w:type="dxa"/>
            <w:vAlign w:val="bottom"/>
            <w:gridSpan w:val="4"/>
          </w:tcPr>
          <w:p>
            <w:pPr>
              <w:ind w:left="180"/>
              <w:spacing w:after="0"/>
              <w:rPr>
                <w:sz w:val="20"/>
                <w:szCs w:val="20"/>
                <w:color w:val="auto"/>
              </w:rPr>
            </w:pPr>
            <w:r>
              <w:rPr>
                <w:rFonts w:ascii="Arial" w:cs="Arial" w:eastAsia="Arial" w:hAnsi="Arial"/>
                <w:sz w:val="17"/>
                <w:szCs w:val="17"/>
                <w:color w:val="0000FF"/>
              </w:rPr>
              <w:t>MA</w:t>
            </w:r>
          </w:p>
        </w:tc>
        <w:tc>
          <w:tcPr>
            <w:tcW w:w="1500" w:type="dxa"/>
            <w:vAlign w:val="bottom"/>
          </w:tcPr>
          <w:p>
            <w:pPr>
              <w:ind w:left="140"/>
              <w:spacing w:after="0"/>
              <w:rPr>
                <w:sz w:val="20"/>
                <w:szCs w:val="20"/>
                <w:color w:val="auto"/>
              </w:rPr>
            </w:pPr>
            <w:r>
              <w:rPr>
                <w:rFonts w:ascii="Arial" w:cs="Arial" w:eastAsia="Arial" w:hAnsi="Arial"/>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4"/>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5"/>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TA SDF III DO AIV II,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4"/>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5"/>
          </w:tcPr>
          <w:p>
            <w:pPr>
              <w:spacing w:after="0"/>
              <w:rPr>
                <w:sz w:val="20"/>
                <w:szCs w:val="20"/>
                <w:color w:val="auto"/>
              </w:rPr>
            </w:pPr>
            <w:r>
              <w:rPr>
                <w:rFonts w:ascii="Arial" w:cs="Arial" w:eastAsia="Arial" w:hAnsi="Arial"/>
                <w:sz w:val="17"/>
                <w:szCs w:val="17"/>
                <w:color w:val="0000FF"/>
              </w:rPr>
              <w:t>200 CLARENDON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56TH FLOOR</w:t>
            </w: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BOSTON</w:t>
            </w:r>
          </w:p>
        </w:tc>
        <w:tc>
          <w:tcPr>
            <w:tcW w:w="1440" w:type="dxa"/>
            <w:vAlign w:val="bottom"/>
            <w:gridSpan w:val="4"/>
          </w:tcPr>
          <w:p>
            <w:pPr>
              <w:ind w:left="180"/>
              <w:spacing w:after="0"/>
              <w:rPr>
                <w:sz w:val="20"/>
                <w:szCs w:val="20"/>
                <w:color w:val="auto"/>
              </w:rPr>
            </w:pPr>
            <w:r>
              <w:rPr>
                <w:rFonts w:ascii="Arial" w:cs="Arial" w:eastAsia="Arial" w:hAnsi="Arial"/>
                <w:sz w:val="17"/>
                <w:szCs w:val="17"/>
                <w:color w:val="0000FF"/>
              </w:rPr>
              <w:t>MA</w:t>
            </w:r>
          </w:p>
        </w:tc>
        <w:tc>
          <w:tcPr>
            <w:tcW w:w="1500" w:type="dxa"/>
            <w:vAlign w:val="bottom"/>
          </w:tcPr>
          <w:p>
            <w:pPr>
              <w:ind w:left="140"/>
              <w:spacing w:after="0"/>
              <w:rPr>
                <w:sz w:val="20"/>
                <w:szCs w:val="20"/>
                <w:color w:val="auto"/>
              </w:rPr>
            </w:pPr>
            <w:r>
              <w:rPr>
                <w:rFonts w:ascii="Arial" w:cs="Arial" w:eastAsia="Arial" w:hAnsi="Arial"/>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4"/>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5"/>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TA XI DO AIV II,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4"/>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sectPr>
          <w:pgSz w:w="11900" w:h="16838" w:orient="portrait"/>
          <w:cols w:equalWidth="0" w:num="1">
            <w:col w:w="9979"/>
          </w:cols>
          <w:pgMar w:left="480" w:top="140" w:right="1440" w:bottom="0" w:gutter="0" w:footer="0" w:header="0"/>
        </w:sectPr>
      </w:pPr>
    </w:p>
    <w:p>
      <w:pPr>
        <w:ind w:left="100"/>
        <w:spacing w:after="0"/>
        <w:rPr>
          <w:sz w:val="20"/>
          <w:szCs w:val="20"/>
          <w:color w:val="auto"/>
        </w:rPr>
      </w:pPr>
      <w:r>
        <w:rPr>
          <w:rFonts w:ascii="Arial" w:cs="Arial" w:eastAsia="Arial" w:hAnsi="Arial"/>
          <w:sz w:val="16"/>
          <w:szCs w:val="16"/>
          <w:color w:val="0000FF"/>
        </w:rPr>
        <w:t>200 CLARENDON STREET</w:t>
      </w:r>
    </w:p>
    <w:p>
      <w:pPr>
        <w:sectPr>
          <w:pgSz w:w="11900" w:h="16838" w:orient="portrait"/>
          <w:cols w:equalWidth="0" w:num="1">
            <w:col w:w="9979"/>
          </w:cols>
          <w:pgMar w:left="480" w:top="140" w:right="1440" w:bottom="0" w:gutter="0" w:footer="0" w:header="0"/>
          <w:type w:val="continuous"/>
        </w:sectPr>
      </w:pPr>
    </w:p>
    <w:bookmarkStart w:id="2" w:name="page3"/>
    <w:bookmarkEnd w:id="2"/>
    <w:p>
      <w:pPr>
        <w:ind w:left="100"/>
        <w:spacing w:after="0"/>
        <w:rPr>
          <w:sz w:val="20"/>
          <w:szCs w:val="20"/>
          <w:color w:val="auto"/>
        </w:rPr>
      </w:pPr>
      <w:r>
        <w:rPr>
          <w:rFonts w:ascii="Arial" w:cs="Arial" w:eastAsia="Arial" w:hAnsi="Arial"/>
          <w:sz w:val="17"/>
          <w:szCs w:val="17"/>
          <w:color w:val="0000FF"/>
        </w:rPr>
        <w:t>56TH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-118110</wp:posOffset>
            </wp:positionV>
            <wp:extent cx="2809240" cy="63080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2809240" cy="6308090"/>
                    </a:xfrm>
                    <a:prstGeom prst="rect">
                      <a:avLst/>
                    </a:prstGeom>
                    <a:noFill/>
                  </pic:spPr>
                </pic:pic>
              </a:graphicData>
            </a:graphic>
          </wp:anchor>
        </w:drawing>
      </w:r>
    </w:p>
    <w:p>
      <w:pPr>
        <w:spacing w:after="0" w:line="28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240" w:type="dxa"/>
            <w:vAlign w:val="bottom"/>
          </w:tcPr>
          <w:p>
            <w:pPr>
              <w:ind w:left="340"/>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02116</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23">
        <w:r>
          <w:rPr>
            <w:rFonts w:ascii="Arial" w:cs="Arial" w:eastAsia="Arial" w:hAnsi="Arial"/>
            <w:sz w:val="21"/>
            <w:szCs w:val="21"/>
            <w:u w:val="single" w:color="auto"/>
            <w:color w:val="0000EE"/>
          </w:rPr>
          <w:t>TA AP VII-B DO Subsidiary Partnership, L.P.</w:t>
        </w:r>
      </w:hyperlink>
    </w:p>
    <w:p>
      <w:pPr>
        <w:spacing w:after="0" w:line="321"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 CLARENDON STREET</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56TH FLOOR</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BOSTON</w:t>
            </w:r>
          </w:p>
        </w:tc>
        <w:tc>
          <w:tcPr>
            <w:tcW w:w="1440" w:type="dxa"/>
            <w:vAlign w:val="bottom"/>
            <w:gridSpan w:val="3"/>
          </w:tcPr>
          <w:p>
            <w:pPr>
              <w:ind w:left="180"/>
              <w:spacing w:after="0"/>
              <w:rPr>
                <w:sz w:val="20"/>
                <w:szCs w:val="20"/>
                <w:color w:val="auto"/>
              </w:rPr>
            </w:pPr>
            <w:r>
              <w:rPr>
                <w:rFonts w:ascii="Arial" w:cs="Arial" w:eastAsia="Arial" w:hAnsi="Arial"/>
                <w:sz w:val="17"/>
                <w:szCs w:val="17"/>
                <w:color w:val="0000FF"/>
              </w:rPr>
              <w:t>MA</w:t>
            </w:r>
          </w:p>
        </w:tc>
        <w:tc>
          <w:tcPr>
            <w:tcW w:w="1500" w:type="dxa"/>
            <w:vAlign w:val="bottom"/>
          </w:tcPr>
          <w:p>
            <w:pPr>
              <w:ind w:left="140"/>
              <w:spacing w:after="0"/>
              <w:rPr>
                <w:sz w:val="20"/>
                <w:szCs w:val="20"/>
                <w:color w:val="auto"/>
              </w:rPr>
            </w:pPr>
            <w:r>
              <w:rPr>
                <w:rFonts w:ascii="Arial" w:cs="Arial" w:eastAsia="Arial" w:hAnsi="Arial"/>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3"/>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4"/>
          </w:tcPr>
          <w:p>
            <w:pPr>
              <w:spacing w:after="0" w:line="221" w:lineRule="exact"/>
              <w:rPr>
                <w:rFonts w:ascii="Arial" w:cs="Arial" w:eastAsia="Arial" w:hAnsi="Arial"/>
                <w:sz w:val="21"/>
                <w:szCs w:val="21"/>
                <w:color w:val="0000EE"/>
              </w:rPr>
            </w:pPr>
            <w:hyperlink r:id="rId24">
              <w:r>
                <w:rPr>
                  <w:rFonts w:ascii="Arial" w:cs="Arial" w:eastAsia="Arial" w:hAnsi="Arial"/>
                  <w:sz w:val="21"/>
                  <w:szCs w:val="21"/>
                  <w:color w:val="0000EE"/>
                </w:rPr>
                <w:t>TA SDF III DO Feeder,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3"/>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Arial" w:cs="Arial" w:eastAsia="Arial" w:hAnsi="Arial"/>
                <w:sz w:val="17"/>
                <w:szCs w:val="17"/>
                <w:color w:val="0000FF"/>
              </w:rPr>
              <w:t>200 CLARENDON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56TH FLOOR</w:t>
            </w:r>
          </w:p>
        </w:tc>
        <w:tc>
          <w:tcPr>
            <w:tcW w:w="7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BOSTON</w:t>
            </w:r>
          </w:p>
        </w:tc>
        <w:tc>
          <w:tcPr>
            <w:tcW w:w="1440" w:type="dxa"/>
            <w:vAlign w:val="bottom"/>
            <w:gridSpan w:val="3"/>
          </w:tcPr>
          <w:p>
            <w:pPr>
              <w:ind w:left="180"/>
              <w:spacing w:after="0"/>
              <w:rPr>
                <w:sz w:val="20"/>
                <w:szCs w:val="20"/>
                <w:color w:val="auto"/>
              </w:rPr>
            </w:pPr>
            <w:r>
              <w:rPr>
                <w:rFonts w:ascii="Arial" w:cs="Arial" w:eastAsia="Arial" w:hAnsi="Arial"/>
                <w:sz w:val="17"/>
                <w:szCs w:val="17"/>
                <w:color w:val="0000FF"/>
              </w:rPr>
              <w:t>MA</w:t>
            </w:r>
          </w:p>
        </w:tc>
        <w:tc>
          <w:tcPr>
            <w:tcW w:w="1500" w:type="dxa"/>
            <w:vAlign w:val="bottom"/>
          </w:tcPr>
          <w:p>
            <w:pPr>
              <w:ind w:left="140"/>
              <w:spacing w:after="0"/>
              <w:rPr>
                <w:sz w:val="20"/>
                <w:szCs w:val="20"/>
                <w:color w:val="auto"/>
              </w:rPr>
            </w:pPr>
            <w:r>
              <w:rPr>
                <w:rFonts w:ascii="Arial" w:cs="Arial" w:eastAsia="Arial" w:hAnsi="Arial"/>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3"/>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4"/>
          </w:tcPr>
          <w:p>
            <w:pPr>
              <w:spacing w:after="0" w:line="221" w:lineRule="exact"/>
              <w:rPr>
                <w:rFonts w:ascii="Arial" w:cs="Arial" w:eastAsia="Arial" w:hAnsi="Arial"/>
                <w:sz w:val="21"/>
                <w:szCs w:val="21"/>
                <w:color w:val="0000EE"/>
              </w:rPr>
            </w:pPr>
            <w:hyperlink r:id="rId25">
              <w:r>
                <w:rPr>
                  <w:rFonts w:ascii="Arial" w:cs="Arial" w:eastAsia="Arial" w:hAnsi="Arial"/>
                  <w:sz w:val="21"/>
                  <w:szCs w:val="21"/>
                  <w:color w:val="0000EE"/>
                </w:rPr>
                <w:t>TA XI DO Feeder,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3"/>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Arial" w:cs="Arial" w:eastAsia="Arial" w:hAnsi="Arial"/>
                <w:sz w:val="17"/>
                <w:szCs w:val="17"/>
                <w:color w:val="0000FF"/>
              </w:rPr>
              <w:t>200 CLARENDON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56TH FLOOR</w:t>
            </w:r>
          </w:p>
        </w:tc>
        <w:tc>
          <w:tcPr>
            <w:tcW w:w="7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BOSTON</w:t>
            </w:r>
          </w:p>
        </w:tc>
        <w:tc>
          <w:tcPr>
            <w:tcW w:w="1440" w:type="dxa"/>
            <w:vAlign w:val="bottom"/>
            <w:gridSpan w:val="3"/>
          </w:tcPr>
          <w:p>
            <w:pPr>
              <w:ind w:left="180"/>
              <w:spacing w:after="0"/>
              <w:rPr>
                <w:sz w:val="20"/>
                <w:szCs w:val="20"/>
                <w:color w:val="auto"/>
              </w:rPr>
            </w:pPr>
            <w:r>
              <w:rPr>
                <w:rFonts w:ascii="Arial" w:cs="Arial" w:eastAsia="Arial" w:hAnsi="Arial"/>
                <w:sz w:val="17"/>
                <w:szCs w:val="17"/>
                <w:color w:val="0000FF"/>
              </w:rPr>
              <w:t>MA</w:t>
            </w:r>
          </w:p>
        </w:tc>
        <w:tc>
          <w:tcPr>
            <w:tcW w:w="1500" w:type="dxa"/>
            <w:vAlign w:val="bottom"/>
          </w:tcPr>
          <w:p>
            <w:pPr>
              <w:ind w:left="140"/>
              <w:spacing w:after="0"/>
              <w:rPr>
                <w:sz w:val="20"/>
                <w:szCs w:val="20"/>
                <w:color w:val="auto"/>
              </w:rPr>
            </w:pPr>
            <w:r>
              <w:rPr>
                <w:rFonts w:ascii="Arial" w:cs="Arial" w:eastAsia="Arial" w:hAnsi="Arial"/>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3"/>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Rule 10b5-1 trading plans adopted on December 6, 2020.</w:t>
      </w:r>
    </w:p>
    <w:p>
      <w:pPr>
        <w:spacing w:after="0" w:line="50" w:lineRule="exact"/>
        <w:rPr>
          <w:rFonts w:ascii="Arial" w:cs="Arial" w:eastAsia="Arial" w:hAnsi="Arial"/>
          <w:sz w:val="13"/>
          <w:szCs w:val="13"/>
          <w:color w:val="008000"/>
        </w:rPr>
      </w:pPr>
    </w:p>
    <w:p>
      <w:pPr>
        <w:ind w:left="20" w:right="20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a weighted-average sale price. The shares were sold in multiple transactions at prices ranging from $71.83 to $73.90. The Reporting Persons will provide upon request to the Securities and Exchange Commission, the Company or security holder of the Company, full information regarding the number of shares sold at each separate price.</w:t>
      </w:r>
    </w:p>
    <w:p>
      <w:pPr>
        <w:spacing w:after="0" w:line="15"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XI DO AIV, L.P. ("XI DO AIV").</w:t>
      </w:r>
    </w:p>
    <w:p>
      <w:pPr>
        <w:spacing w:after="0" w:line="50" w:lineRule="exact"/>
        <w:rPr>
          <w:rFonts w:ascii="Arial" w:cs="Arial" w:eastAsia="Arial" w:hAnsi="Arial"/>
          <w:sz w:val="13"/>
          <w:szCs w:val="13"/>
          <w:color w:val="008000"/>
        </w:rPr>
      </w:pPr>
    </w:p>
    <w:p>
      <w:pPr>
        <w:ind w:left="2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TA Associates, L.P. is the ultimate general partner of each of XI DO, SDF III Feeder, Atlantic &amp; Pacific VII-B, XI DO AIV, SDF III DO, Atlantic &amp; Pacific VII-A, Investors IV, AP VII-B, SDF III DO AIV II and XI DO AIV II (collectively, the "TA Associates Funds"). Investment and voting control of the TA Associates Funds is held by TA Associates, L.P. Todd R. Crockett and Jason S. Mironov are directors of the Issuer and serve as representatives of TA Associates, L.P. and the TA Associates Funds on the Issuer's board of directors. TA Associates, L.P. disclaims beneficial ownership of such securities, except to the extent of its pecuniary interest in such securities, if any.</w:t>
      </w:r>
    </w:p>
    <w:p>
      <w:pPr>
        <w:spacing w:after="0" w:line="29"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SDF III DO AIV, L.P. ("SDF III DO").</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Atlantic &amp; Pacific VII-A, L.P. ("Atlantic &amp; Pacific VII-A").</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Investors IV, L.P. ("Investors IV").</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SDF III DO AIV II, L.P. ("SDF III DO AIV II").</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XI DO AIV II, L.P. ("XI DO AIV II").</w:t>
      </w:r>
    </w:p>
    <w:p>
      <w:pPr>
        <w:spacing w:after="0" w:line="50" w:lineRule="exact"/>
        <w:rPr>
          <w:rFonts w:ascii="Arial" w:cs="Arial" w:eastAsia="Arial" w:hAnsi="Arial"/>
          <w:sz w:val="13"/>
          <w:szCs w:val="13"/>
          <w:color w:val="008000"/>
        </w:rPr>
      </w:pPr>
    </w:p>
    <w:p>
      <w:pPr>
        <w:ind w:left="220" w:hanging="193"/>
        <w:spacing w:after="0"/>
        <w:tabs>
          <w:tab w:leader="none" w:pos="22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AP VII-B DO Subsidiary Partnership, L.P. ("AP VII-B").</w:t>
      </w:r>
    </w:p>
    <w:p>
      <w:pPr>
        <w:spacing w:after="0" w:line="50" w:lineRule="exact"/>
        <w:rPr>
          <w:rFonts w:ascii="Arial" w:cs="Arial" w:eastAsia="Arial" w:hAnsi="Arial"/>
          <w:sz w:val="13"/>
          <w:szCs w:val="13"/>
          <w:color w:val="008000"/>
        </w:rPr>
      </w:pPr>
    </w:p>
    <w:p>
      <w:pPr>
        <w:ind w:left="220" w:hanging="193"/>
        <w:spacing w:after="0"/>
        <w:tabs>
          <w:tab w:leader="none" w:pos="22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SDF III DO Feeder, L.P. ("SDF III Feeder").</w:t>
      </w:r>
    </w:p>
    <w:p>
      <w:pPr>
        <w:spacing w:after="0" w:line="50" w:lineRule="exact"/>
        <w:rPr>
          <w:rFonts w:ascii="Arial" w:cs="Arial" w:eastAsia="Arial" w:hAnsi="Arial"/>
          <w:sz w:val="13"/>
          <w:szCs w:val="13"/>
          <w:color w:val="008000"/>
        </w:rPr>
      </w:pPr>
    </w:p>
    <w:p>
      <w:pPr>
        <w:ind w:left="220" w:hanging="193"/>
        <w:spacing w:after="0"/>
        <w:tabs>
          <w:tab w:leader="none" w:pos="22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XI DO Feeder, L.P ("XI DO").</w:t>
      </w:r>
    </w:p>
    <w:p>
      <w:pPr>
        <w:spacing w:after="0" w:line="50" w:lineRule="exact"/>
        <w:rPr>
          <w:rFonts w:ascii="Arial" w:cs="Arial" w:eastAsia="Arial" w:hAnsi="Arial"/>
          <w:sz w:val="13"/>
          <w:szCs w:val="13"/>
          <w:color w:val="008000"/>
        </w:rPr>
      </w:pPr>
    </w:p>
    <w:p>
      <w:pPr>
        <w:ind w:left="220" w:hanging="193"/>
        <w:spacing w:after="0"/>
        <w:tabs>
          <w:tab w:leader="none" w:pos="22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Atlantic &amp; Pacific VII-B, L.P. ("Atlantic &amp; Pacific VII-B").</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2"/>
          <w:szCs w:val="12"/>
          <w:color w:val="008000"/>
        </w:rPr>
        <w:t>Because no more than 10 reporting persons can file any one Form 4 through the Securities and Exchange Commission's EDGAR system, Atlantic &amp; Pacific VII-B has filed a separate Form 4.</w:t>
      </w:r>
    </w:p>
    <w:p>
      <w:pPr>
        <w:sectPr>
          <w:pgSz w:w="11900" w:h="16838" w:orient="portrait"/>
          <w:cols w:equalWidth="0" w:num="1">
            <w:col w:w="10840"/>
          </w:cols>
          <w:pgMar w:left="480" w:top="131" w:right="579" w:bottom="0" w:gutter="0" w:footer="0" w:header="0"/>
        </w:sectPr>
      </w:pPr>
    </w:p>
    <w:p>
      <w:pPr>
        <w:spacing w:after="0" w:line="89"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TA Associates, L.P., by Jeffrey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5715</wp:posOffset>
            </wp:positionV>
            <wp:extent cx="13576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1357630" cy="8255"/>
                    </a:xfrm>
                    <a:prstGeom prst="rect">
                      <a:avLst/>
                    </a:prstGeom>
                    <a:noFill/>
                  </pic:spPr>
                </pic:pic>
              </a:graphicData>
            </a:graphic>
          </wp:anchor>
        </w:drawing>
      </w:r>
    </w:p>
    <w:p>
      <w:pPr>
        <w:spacing w:after="0" w:line="28"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C. Hadden,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325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0325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5"/>
          <w:szCs w:val="15"/>
          <w:color w:val="0000FF"/>
        </w:rPr>
        <w:t>Counsel, /s/ Jeffrey 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wp:posOffset>
            </wp:positionV>
            <wp:extent cx="13481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spacing w:after="0" w:line="67"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TA XI DO AIV, L.P., by 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331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12331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Associates XI GP,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50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15506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General Partner, by 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191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101917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Associates,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585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25857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Partner, by Jeffrey 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wp:posOffset>
            </wp:positionV>
            <wp:extent cx="13347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its General Counsel, /s/ Jeffrey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wp:posOffset>
            </wp:positionV>
            <wp:extent cx="13569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1356995" cy="8255"/>
                    </a:xfrm>
                    <a:prstGeom prst="rect">
                      <a:avLst/>
                    </a:prstGeom>
                    <a:noFill/>
                  </pic:spPr>
                </pic:pic>
              </a:graphicData>
            </a:graphic>
          </wp:anchor>
        </w:drawing>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705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TA SDF III DO AIV,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909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29095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TA Associates, SDF III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82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11982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rPr>
          <w:sz w:val="20"/>
          <w:szCs w:val="20"/>
          <w:color w:val="auto"/>
        </w:rPr>
      </w:pPr>
      <w:r>
        <w:rPr>
          <w:rFonts w:ascii="Arial" w:cs="Arial" w:eastAsia="Arial" w:hAnsi="Arial"/>
          <w:sz w:val="15"/>
          <w:szCs w:val="15"/>
          <w:color w:val="0000FF"/>
        </w:rPr>
        <w:t>11/09/2021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11/09/2021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0000FF"/>
        </w:rPr>
        <w:t>11/09/2021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ectPr>
          <w:pgSz w:w="11900" w:h="16838" w:orient="portrait"/>
          <w:cols w:equalWidth="0" w:num="2">
            <w:col w:w="8700" w:space="60"/>
            <w:col w:w="2080"/>
          </w:cols>
          <w:pgMar w:left="480" w:top="131" w:right="579" w:bottom="0" w:gutter="0" w:footer="0" w:header="0"/>
          <w:type w:val="continuous"/>
        </w:sectPr>
      </w:pPr>
    </w:p>
    <w:bookmarkStart w:id="3" w:name="page4"/>
    <w:bookmarkEnd w:id="3"/>
    <w:p>
      <w:pPr>
        <w:ind w:left="6540"/>
        <w:spacing w:after="0"/>
        <w:rPr>
          <w:sz w:val="20"/>
          <w:szCs w:val="20"/>
          <w:color w:val="auto"/>
        </w:rPr>
      </w:pPr>
      <w:r>
        <w:rPr>
          <w:rFonts w:ascii="Arial" w:cs="Arial" w:eastAsia="Arial" w:hAnsi="Arial"/>
          <w:sz w:val="17"/>
          <w:szCs w:val="17"/>
          <w:color w:val="0000FF"/>
        </w:rPr>
        <w:t>L.P.,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11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21158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TA Associates,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10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0210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General Partner, by Jeffrey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131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Hadden, its,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195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Jeffrey 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28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93281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TA Atlantic &amp; Pacific VII-A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617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TA Associates 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830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VII GP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41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by TA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90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116903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L.P.,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1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12115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Jeffrey C. Hadden,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874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98742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General Counsel, /s/ Jeffrey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544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422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34226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TA Investors IV, L.P., by 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541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125412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Associates,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12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Partner, by Jeffrey 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347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its, General Counsel,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41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Jeffrey 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013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80137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TA SDF III DO AIV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680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by TA Associates SDF, III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417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134175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1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12115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TA Associates,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10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10210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General Partner, by Jeffrey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131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Hadden, its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195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Jeffrey 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28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93281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TA XI DO AIV II, L.P., by 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481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Associates XI GP,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77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112776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General Partner, by 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1917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10191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Associates,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585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125857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Partner, by Jeffrey 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347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its General Counsel, /s/ Jeffrey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569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135699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705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TA Associates AP VII-B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8079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12807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Subsidiary Partnership,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528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125285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TA Associates AP VII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968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128968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L.P.,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1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12115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TA Associates,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10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10210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General Partner, by Jeffrey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4048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134048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Hadden, its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922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129222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Jeffrey 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28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93281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TA SDF III DO Feeder,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668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by TA Associates SDF III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081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13081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1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12115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TA Associates,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10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10210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General Partner, by Jeffrey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4048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134048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Hadden, its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922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129222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Jeffrey 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28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93281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TA XI DO Feeder, L.P., by 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34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Associates XI GP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98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General Partner, by 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1917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10191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Associates,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126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Partner, Jeffrey C. Hadden,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557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135572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General Counsel, /s/ Jeffrey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544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4226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3422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color w:val="0000FF"/>
        </w:rPr>
        <w:t>11/09/2021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color w:val="0000FF"/>
        </w:rPr>
        <w:t>11/09/2021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11/09/2021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11/09/2021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0000FF"/>
        </w:rPr>
        <w:t>11/09/2021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0000FF"/>
        </w:rPr>
        <w:t>11/09/2021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11/09/2021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741" w:lineRule="exact"/>
        <w:rPr>
          <w:sz w:val="20"/>
          <w:szCs w:val="20"/>
          <w:color w:val="auto"/>
        </w:rPr>
      </w:pPr>
    </w:p>
    <w:p>
      <w:pPr>
        <w:sectPr>
          <w:pgSz w:w="11900" w:h="16838" w:orient="portrait"/>
          <w:cols w:equalWidth="0" w:num="2">
            <w:col w:w="8680" w:space="60"/>
            <w:col w:w="1440"/>
          </w:cols>
          <w:pgMar w:left="500" w:top="131" w:right="1219" w:bottom="1440" w:gutter="0" w:footer="0" w:header="0"/>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7" Type="http://schemas.openxmlformats.org/officeDocument/2006/relationships/image" Target="media/image6.png"/><Relationship Id="rId22"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2" Type="http://schemas.openxmlformats.org/officeDocument/2006/relationships/hyperlink" Target="http://www.sec.gov/cgi-bin/browse-edgar?action=getcompany&amp;CIK=0001034569" TargetMode="External"/><Relationship Id="rId13" Type="http://schemas.openxmlformats.org/officeDocument/2006/relationships/hyperlink" Target="http://www.sec.gov/cgi-bin/browse-edgar?action=getcompany&amp;CIK=0001794515" TargetMode="External"/><Relationship Id="rId15" Type="http://schemas.openxmlformats.org/officeDocument/2006/relationships/hyperlink" Target="http://www.sec.gov/cgi-bin/browse-edgar?action=getcompany&amp;CIK=0001609536" TargetMode="External"/><Relationship Id="rId16" Type="http://schemas.openxmlformats.org/officeDocument/2006/relationships/hyperlink" Target="http://www.sec.gov/cgi-bin/browse-edgar?action=getcompany&amp;CIK=0001609553" TargetMode="External"/><Relationship Id="rId18" Type="http://schemas.openxmlformats.org/officeDocument/2006/relationships/hyperlink" Target="http://www.sec.gov/cgi-bin/browse-edgar?action=getcompany&amp;CIK=0001548681" TargetMode="External"/><Relationship Id="rId19" Type="http://schemas.openxmlformats.org/officeDocument/2006/relationships/hyperlink" Target="http://www.sec.gov/cgi-bin/browse-edgar?action=getcompany&amp;CIK=0001578035" TargetMode="External"/><Relationship Id="rId20" Type="http://schemas.openxmlformats.org/officeDocument/2006/relationships/hyperlink" Target="http://www.sec.gov/cgi-bin/browse-edgar?action=getcompany&amp;CIK=0001812605" TargetMode="External"/><Relationship Id="rId21" Type="http://schemas.openxmlformats.org/officeDocument/2006/relationships/hyperlink" Target="http://www.sec.gov/cgi-bin/browse-edgar?action=getcompany&amp;CIK=0001812606" TargetMode="External"/><Relationship Id="rId23" Type="http://schemas.openxmlformats.org/officeDocument/2006/relationships/hyperlink" Target="http://www.sec.gov/cgi-bin/browse-edgar?action=getcompany&amp;CIK=0001812579" TargetMode="External"/><Relationship Id="rId24" Type="http://schemas.openxmlformats.org/officeDocument/2006/relationships/hyperlink" Target="http://www.sec.gov/cgi-bin/browse-edgar?action=getcompany&amp;CIK=0001609557" TargetMode="External"/><Relationship Id="rId25" Type="http://schemas.openxmlformats.org/officeDocument/2006/relationships/hyperlink" Target="http://www.sec.gov/cgi-bin/browse-edgar?action=getcompany&amp;CIK=00016095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2021-11-09T17:00:59Z</dcterms:created>
  <dcterms:modified xsi:type="dcterms:W3CDTF">2021-11-09T17:00:59Z</dcterms:modified>
</cp:coreProperties>
</file>