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spacing w:after="0" w:line="2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001-39310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87-3037521</w:t>
      </w:r>
    </w:p>
    <w:p>
      <w:pPr>
        <w:spacing w:after="0" w:line="31" w:lineRule="exact"/>
        <w:rPr>
          <w:sz w:val="24"/>
          <w:szCs w:val="24"/>
          <w:color w:val="auto"/>
        </w:rPr>
      </w:pPr>
    </w:p>
    <w:p>
      <w:pPr>
        <w:sectPr>
          <w:pgSz w:w="11900" w:h="16838" w:orient="portrait"/>
          <w:cols w:equalWidth="0" w:num="3">
            <w:col w:w="4620" w:space="720"/>
            <w:col w:w="2740" w:space="720"/>
            <w:col w:w="2280"/>
          </w:cols>
          <w:pgMar w:left="320" w:top="1440" w:right="499" w:bottom="1440" w:gutter="0" w:footer="0" w:header="0"/>
          <w:type w:val="continuous"/>
        </w:sectPr>
      </w:pP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3" w:lineRule="exact"/>
        <w:rPr>
          <w:sz w:val="24"/>
          <w:szCs w:val="24"/>
          <w:color w:val="auto"/>
        </w:rPr>
      </w:pPr>
    </w:p>
    <w:p>
      <w:pPr>
        <w:sectPr>
          <w:pgSz w:w="11900" w:h="16838" w:orient="portrait"/>
          <w:cols w:equalWidth="0" w:num="3">
            <w:col w:w="4020" w:space="720"/>
            <w:col w:w="2540" w:space="720"/>
            <w:col w:w="3080"/>
          </w:cols>
          <w:pgMar w:left="320" w:top="1440" w:right="49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330 W Columbia Way, Floor 8, Vancouver, Washington 98660</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080"/>
          </w:cols>
          <w:pgMar w:left="320" w:top="1440" w:right="499" w:bottom="1440" w:gutter="0" w:footer="0" w:header="0"/>
          <w:type w:val="continuous"/>
        </w:sectPr>
      </w:pP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914-1220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805 Broadway Street, Suite 900, Vancouver, Washington 98660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660" w:firstLine="8"/>
        <w:spacing w:after="0" w:line="373"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4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8"/>
        </w:trPr>
        <w:tc>
          <w:tcPr>
            <w:tcW w:w="4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GTM</w:t>
            </w:r>
          </w:p>
        </w:tc>
        <w:tc>
          <w:tcPr>
            <w:tcW w:w="4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0" w:lineRule="exact"/>
        <w:rPr>
          <w:sz w:val="24"/>
          <w:szCs w:val="24"/>
          <w:color w:val="auto"/>
        </w:rPr>
      </w:pPr>
    </w:p>
    <w:p>
      <w:pPr>
        <w:spacing w:after="0" w:line="24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18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3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On August 4, 2025, ZoomInfo Technologies Inc. (the “Company”) issued a press release announcing its financial results for the second quarter ended June 30, 2025. A copy of the press release is furnished as Exhibit 99.1 to this current report and is incorporated herein by reference. The information contained in Item 2.02 of this current report, including the press release furnished as Exhibit 99.1 hereto, is being furnished and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89"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20"/>
          <w:szCs w:val="20"/>
          <w:color w:val="auto"/>
        </w:rPr>
        <w:t>On July 31, 2025, the Board of Directors (the “Board”) of the Company appointed Michael Graham O’Brien, age 39, previously the Company’s Interim Chief Financial Officer, to the position of permanent Chief Financial Officer, effective August 1, 2025.</w:t>
      </w:r>
    </w:p>
    <w:p>
      <w:pPr>
        <w:spacing w:after="0" w:line="14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0"/>
          <w:szCs w:val="20"/>
          <w:color w:val="auto"/>
        </w:rPr>
        <w:t>Mr. O’Brien has served as the Company’s Interim Chief Financial Officer since September 6, 2024. Prior to this, Mr. O’Brien held various roles at the Company with increasing levels of responsibility since December 2017, and most recently served as Vice President of FP&amp;A since January 2023. Prior to joining the Company, Mr. O’Brien held accounting positions at RainKing Solutions from 2016 to 2017, and with Kaseya from 2008 to 2016. Mr. O’Brien holds a B.S. in accounting from Lehigh University and is a licensed CPA in the District of Columbia.</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There are no family relationships between Mr. O’Brien and any director, executive officer or nominees thereof of the Company. There are no related party transactions between the Company and Mr. O’Brien that would require disclosure under Item 404(a) of Regulation S-K under the Securities Exchange Act of 1934, as amended.</w:t>
      </w:r>
    </w:p>
    <w:p>
      <w:pPr>
        <w:spacing w:after="0" w:line="18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On July 31, 2025, in connection with his appointment as the Company’s permanent Chief Financial Officer, the Compensation Committee of the Board also approved an employment agreement effective as of August 1, 2025 (the “Employment Agreement”). Pursuant to the Employment Agreement, Mr. O’Brien will serve as an at-will employee, receive an annual base salary of $470,000 and be eligible to earn a discretionary annual cash bonus with a bonus target amount equal to 60% of base salary. He will also be eligible to participate in the Company’s benefit plans generally. In addition, the Employment Agreement includes customary non-competition, non-solicitation, non-disparagement, confidentiality, and intellectual property covenants. Mr. O’Brien will also be entitled to certain severance and change in control benefits, pursuant to the Employment Agreement, in connection with certain qualifying termination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In connection with his appointment as the Company’s permanent Chief Financial Officer, Mr. O’Brien was also issued an award of (i) 276,924 time-based restricted stock units, one-third of which will vest on the first anniversary of August 1, 2025 (the “vesting commencement date”) and the remainder of which will vest in equal quarterly installments thereafter through the third anniversary of the vesting commencement date, and (ii) 161,905 performance-based restricted stock units, which may vest in three annual tranches, conditioned upon the satisfaction of free cash flow per share targets in each annual performance period, subject to Mr. O’Brien’s continuous employment and the terms of the Company’s 2020 Omnibus Incentive Plan (the “Plan”) and the applicable award agreement. For a more detailed description relating to the terms of the Plan and the foregoing award of time-based and performance based restricted stock units, refer to the section entitled “Executive Compensation Discussion and Analysis - Long-Term Equity Compensation” in the Company’s most recent proxy statement on Form DEF 14A filed on March 27, 2025.</w:t>
      </w:r>
    </w:p>
    <w:p>
      <w:pPr>
        <w:spacing w:after="0" w:line="176"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Mr. O’Brien previously received 29,400 restricted stock units, which will vest on the first anniversary of his appointment as the Company’s permanent Chief Financial Officer, subject to his continuous employment.</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As previously disclosed, on September 6, 2024, the Company entered into an offer letter agreement with Mr. O’Brien (the “Offer Letter”). Upon his appointment as Chief Financial Officer, the Offer Letter was terminated and its terms superseded by the terms of the Employment Agreement.</w:t>
      </w:r>
    </w:p>
    <w:p>
      <w:pPr>
        <w:spacing w:after="0" w:line="168"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The foregoing summary of Mr. O’Brien’s employment arrangements is qualified in its entirety by reference to the Employment Agreement, which will be filed with the Company’s Quarterly Report on Form 10-Q for the quarter ended June 30, 2025.</w:t>
      </w:r>
    </w:p>
    <w:p>
      <w:pPr>
        <w:spacing w:after="0" w:line="15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20"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On August 4, 2025, the Company issued a press release announcing Mr. O’Brien’s appointment as the Company’s permanent Chief Financial Officer. A copy of the press release is furnished herewith as Exhibit 99.2 to this Report and incorporated herein by reference.</w:t>
      </w:r>
    </w:p>
    <w:p>
      <w:pPr>
        <w:spacing w:after="0" w:line="14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33" w:lineRule="exact"/>
        <w:rPr>
          <w:sz w:val="20"/>
          <w:szCs w:val="20"/>
          <w:color w:val="auto"/>
        </w:rPr>
      </w:pPr>
    </w:p>
    <w:p>
      <w:pPr>
        <w:ind w:left="820" w:hanging="488"/>
        <w:spacing w:after="0"/>
        <w:tabs>
          <w:tab w:leader="none" w:pos="8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No.</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2"/>
        </w:trPr>
        <w:tc>
          <w:tcPr>
            <w:tcW w:w="19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30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dated August 4, 2025 announcing ZoomInfo Technologies Inc.'s second quarter 2025 financial results</w:t>
            </w:r>
          </w:p>
        </w:tc>
        <w:tc>
          <w:tcPr>
            <w:tcW w:w="1020" w:type="dxa"/>
            <w:vAlign w:val="bottom"/>
            <w:gridSpan w:val="2"/>
          </w:tcPr>
          <w:p>
            <w:pPr>
              <w:spacing w:after="0"/>
              <w:rPr>
                <w:sz w:val="17"/>
                <w:szCs w:val="17"/>
                <w:color w:val="auto"/>
              </w:rPr>
            </w:pPr>
          </w:p>
        </w:tc>
      </w:tr>
      <w:tr>
        <w:trPr>
          <w:trHeight w:val="250"/>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99.2</w:t>
            </w:r>
          </w:p>
        </w:tc>
        <w:tc>
          <w:tcPr>
            <w:tcW w:w="8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August 4, 2025 announcing appointment of Michael Graham O’Brien as Chief Financial Officer</w:t>
            </w:r>
          </w:p>
        </w:tc>
        <w:tc>
          <w:tcPr>
            <w:tcW w:w="960" w:type="dxa"/>
            <w:vAlign w:val="bottom"/>
          </w:tcPr>
          <w:p>
            <w:pPr>
              <w:spacing w:after="0"/>
              <w:rPr>
                <w:sz w:val="21"/>
                <w:szCs w:val="21"/>
                <w:color w:val="auto"/>
              </w:rPr>
            </w:pPr>
          </w:p>
        </w:tc>
      </w:tr>
      <w:tr>
        <w:trPr>
          <w:trHeight w:val="291"/>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54"/>
        </w:trPr>
        <w:tc>
          <w:tcPr>
            <w:tcW w:w="192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ZoomInfo Technologies Inc.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August 4, 2025</w:t>
      </w:r>
    </w:p>
    <w:p>
      <w:pPr>
        <w:spacing w:after="0" w:line="148"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-10795</wp:posOffset>
            </wp:positionV>
            <wp:extent cx="1278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1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M. Graham O'Brien</w:t>
      </w:r>
    </w:p>
    <w:p>
      <w:pPr>
        <w:spacing w:after="0" w:line="148" w:lineRule="exact"/>
        <w:rPr>
          <w:sz w:val="20"/>
          <w:szCs w:val="20"/>
          <w:color w:val="auto"/>
        </w:rPr>
      </w:pPr>
    </w:p>
    <w:p>
      <w:pPr>
        <w:ind w:left="4540"/>
        <w:spacing w:after="0"/>
        <w:tabs>
          <w:tab w:leader="none" w:pos="51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ectPr>
          <w:pgSz w:w="11900" w:h="16838" w:orient="portrait"/>
          <w:cols w:equalWidth="0" w:num="1">
            <w:col w:w="11240"/>
          </w:cols>
          <w:pgMar w:left="320" w:top="140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847725</wp:posOffset>
            </wp:positionV>
            <wp:extent cx="11741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11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ZoomInfo Announces Second Quarter 2025 Financial Results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VANCOUVER, WA</w:t>
      </w:r>
      <w:r>
        <w:rPr>
          <w:rFonts w:ascii="Times New Roman" w:cs="Times New Roman" w:eastAsia="Times New Roman" w:hAnsi="Times New Roman"/>
          <w:sz w:val="20"/>
          <w:szCs w:val="20"/>
          <w:color w:val="auto"/>
        </w:rPr>
        <w:t>, August 4, 2025 - ZoomInfo (NASDAQ: GTM), the Go-To-Market Intelligence Platform, today announced its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second quarter ended June 30, 2025.</w:t>
      </w:r>
    </w:p>
    <w:p>
      <w:pPr>
        <w:spacing w:after="0" w:line="1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continued to deliver on our AI and data focused innovation roadmap resulting in another quarter of strong financial results,” said Henry Schuck, ZoomInfo Founder and CEO. “We are improving renewal and retention rates, expanding relationships with our largest customers, accelerating growth Upmarket, and embedding our data and agents into critical go-to-market workflows.”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2025 Financial Highlights:</w:t>
      </w:r>
    </w:p>
    <w:p>
      <w:pPr>
        <w:spacing w:after="0" w:line="1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Revenue of $306.7 million, an increase of 5% year-over-year.</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of $53.7 million and Adjusted operating income of $104.7 million.</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margin of 18% and Adjusted operating income margin of 34%.</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Cash flow from operations of $108.9 million and Unlevered free cash flow of $99.9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and Operating Highlights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660" w:hanging="328"/>
        <w:spacing w:after="0" w:line="21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Earned top ratings in TrustRadius’ Customer-Verified Awards demonstrating dedication to customer satisfaction with AI-powered GTM solutions and best-in-class product capabilities.</w:t>
      </w:r>
    </w:p>
    <w:p>
      <w:pPr>
        <w:ind w:left="660" w:hanging="328"/>
        <w:spacing w:after="0" w:line="225"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Updated Copilot solution to deliver AI-fueled account insights from initial prospecting through outreach to upsell with improved signals, intelligence alerts and improved set-up with automated account tracking agents.</w:t>
      </w:r>
    </w:p>
    <w:p>
      <w:pPr>
        <w:ind w:left="660" w:hanging="328"/>
        <w:spacing w:after="0" w:line="21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that Graham O’Brien, the Company's interim Chief Financial Officer, has been named Chief Financial Officer, effective immediately.</w:t>
      </w:r>
    </w:p>
    <w:p>
      <w:pPr>
        <w:ind w:left="660" w:hanging="328"/>
        <w:spacing w:after="0" w:line="21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Closed the quarter with 1,884 customers with $100,000 or greater in annual contract value, an increase of 16 from the prior quarter, and an increase of 87 year-over-year.</w:t>
      </w:r>
    </w:p>
    <w:p>
      <w:pPr>
        <w:ind w:left="640" w:hanging="308"/>
        <w:spacing w:after="0" w:line="225"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June 30, 2025, 72% of the Company’s ACV was Upmarket.</w:t>
      </w:r>
    </w:p>
    <w:p>
      <w:pPr>
        <w:ind w:left="640" w:hanging="308"/>
        <w:spacing w:after="0" w:line="225"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June 30, 2025, the Company’s net revenue retention rate improved sequentially to 89%.</w:t>
      </w:r>
    </w:p>
    <w:p>
      <w:pPr>
        <w:ind w:left="660" w:hanging="328"/>
        <w:spacing w:after="0" w:line="23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ended June 30, 2025, the Company repurchased 15.9 million shares of common stock at an average price of $9.22 per share, for an aggregate amount of $146.3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 w:right="339" w:bottom="1440" w:gutter="0" w:footer="0" w:header="0"/>
        </w:sectPr>
      </w:pPr>
    </w:p>
    <w:bookmarkStart w:id="5" w:name="page6"/>
    <w:bookmarkEnd w:id="5"/>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2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500" w:type="dxa"/>
            <w:vAlign w:val="bottom"/>
            <w:gridSpan w:val="4"/>
          </w:tcPr>
          <w:p>
            <w:pPr>
              <w:jc w:val="center"/>
              <w:ind w:right="670"/>
              <w:spacing w:after="0"/>
              <w:rPr>
                <w:sz w:val="20"/>
                <w:szCs w:val="20"/>
                <w:color w:val="auto"/>
              </w:rPr>
            </w:pPr>
            <w:r>
              <w:rPr>
                <w:rFonts w:ascii="Times New Roman" w:cs="Times New Roman" w:eastAsia="Times New Roman" w:hAnsi="Times New Roman"/>
                <w:sz w:val="20"/>
                <w:szCs w:val="20"/>
                <w:b w:val="1"/>
                <w:bCs w:val="1"/>
                <w:color w:val="auto"/>
                <w:w w:val="98"/>
              </w:rPr>
              <w:t>Q2 2025 Financial Highlights (Unaudited)</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40" w:type="dxa"/>
            <w:vAlign w:val="bottom"/>
            <w:gridSpan w:val="3"/>
          </w:tcPr>
          <w:p>
            <w:pPr>
              <w:jc w:val="center"/>
              <w:ind w:right="1030"/>
              <w:spacing w:after="0"/>
              <w:rPr>
                <w:sz w:val="20"/>
                <w:szCs w:val="20"/>
                <w:color w:val="auto"/>
              </w:rPr>
            </w:pPr>
            <w:r>
              <w:rPr>
                <w:rFonts w:ascii="Times New Roman" w:cs="Times New Roman" w:eastAsia="Times New Roman" w:hAnsi="Times New Roman"/>
                <w:sz w:val="18"/>
                <w:szCs w:val="18"/>
                <w:color w:val="auto"/>
                <w:w w:val="99"/>
              </w:rPr>
              <w:t>($ in millions, except per share amounts)</w:t>
            </w: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GAAP Quarterly</w:t>
            </w:r>
          </w:p>
        </w:tc>
        <w:tc>
          <w:tcPr>
            <w:tcW w:w="10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YoY</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640" w:type="dxa"/>
            <w:vAlign w:val="bottom"/>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$306.7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$53.7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Adjusted Operating Income Margin</w:t>
            </w:r>
          </w:p>
        </w:tc>
        <w:tc>
          <w:tcPr>
            <w:tcW w:w="0" w:type="dxa"/>
            <w:vAlign w:val="bottom"/>
          </w:tcPr>
          <w:p>
            <w:pPr>
              <w:spacing w:after="0"/>
              <w:rPr>
                <w:sz w:val="1"/>
                <w:szCs w:val="1"/>
                <w:color w:val="auto"/>
              </w:rPr>
            </w:pPr>
          </w:p>
        </w:tc>
      </w:tr>
      <w:tr>
        <w:trPr>
          <w:trHeight w:val="18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06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8"/>
              </w:rPr>
              <w:t>$0.07</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74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Adjusted Net Income Per Share</w:t>
            </w:r>
          </w:p>
        </w:tc>
        <w:tc>
          <w:tcPr>
            <w:tcW w:w="0" w:type="dxa"/>
            <w:vAlign w:val="bottom"/>
          </w:tcPr>
          <w:p>
            <w:pPr>
              <w:spacing w:after="0"/>
              <w:rPr>
                <w:sz w:val="1"/>
                <w:szCs w:val="1"/>
                <w:color w:val="auto"/>
              </w:rPr>
            </w:pPr>
          </w:p>
        </w:tc>
      </w:tr>
      <w:tr>
        <w:trPr>
          <w:trHeight w:val="148"/>
        </w:trPr>
        <w:tc>
          <w:tcPr>
            <w:tcW w:w="26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0" w:type="dxa"/>
            <w:vAlign w:val="bottom"/>
          </w:tcPr>
          <w:p>
            <w:pPr>
              <w:spacing w:after="0"/>
              <w:rPr>
                <w:sz w:val="1"/>
                <w:szCs w:val="1"/>
                <w:color w:val="auto"/>
              </w:rPr>
            </w:pPr>
          </w:p>
        </w:tc>
      </w:tr>
      <w:tr>
        <w:trPr>
          <w:trHeight w:val="86"/>
        </w:trPr>
        <w:tc>
          <w:tcPr>
            <w:tcW w:w="2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Cash Flow from Operating</w:t>
            </w:r>
          </w:p>
        </w:tc>
        <w:tc>
          <w:tcPr>
            <w:tcW w:w="10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rPr>
              <w:t>$108.9</w:t>
            </w:r>
          </w:p>
        </w:tc>
        <w:tc>
          <w:tcPr>
            <w:tcW w:w="360" w:type="dxa"/>
            <w:vAlign w:val="bottom"/>
          </w:tcPr>
          <w:p>
            <w:pPr>
              <w:spacing w:after="0"/>
              <w:rPr>
                <w:sz w:val="16"/>
                <w:szCs w:val="16"/>
                <w:color w:val="auto"/>
              </w:rPr>
            </w:pPr>
          </w:p>
        </w:tc>
        <w:tc>
          <w:tcPr>
            <w:tcW w:w="140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2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Unlevered Free Cash Flow</w:t>
            </w:r>
          </w:p>
        </w:tc>
        <w:tc>
          <w:tcPr>
            <w:tcW w:w="0" w:type="dxa"/>
            <w:vAlign w:val="bottom"/>
          </w:tcPr>
          <w:p>
            <w:pPr>
              <w:spacing w:after="0"/>
              <w:rPr>
                <w:sz w:val="1"/>
                <w:szCs w:val="1"/>
                <w:color w:val="auto"/>
              </w:rPr>
            </w:pPr>
          </w:p>
        </w:tc>
      </w:tr>
      <w:tr>
        <w:trPr>
          <w:trHeight w:val="148"/>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6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-970915</wp:posOffset>
            </wp:positionV>
            <wp:extent cx="708914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-671195</wp:posOffset>
            </wp:positionV>
            <wp:extent cx="708914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-259715</wp:posOffset>
            </wp:positionV>
            <wp:extent cx="708914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26543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YoY as a percentage is not meaningful due to the change from operating loss to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0" w:type="dxa"/>
            <w:vAlign w:val="bottom"/>
          </w:tcPr>
          <w:p>
            <w:pPr>
              <w:spacing w:after="0"/>
              <w:rPr>
                <w:sz w:val="1"/>
                <w:szCs w:val="1"/>
                <w:color w:val="auto"/>
              </w:rPr>
            </w:pPr>
          </w:p>
        </w:tc>
      </w:tr>
      <w:tr>
        <w:trPr>
          <w:trHeight w:val="148"/>
        </w:trPr>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Quarterly Results</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520" w:type="dxa"/>
            <w:vAlign w:val="bottom"/>
            <w:gridSpan w:val="2"/>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0"/>
        </w:trPr>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24"/>
                <w:szCs w:val="24"/>
                <w:color w:val="auto"/>
              </w:rPr>
            </w:pPr>
          </w:p>
        </w:tc>
        <w:tc>
          <w:tcPr>
            <w:tcW w:w="13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$99.9</w:t>
            </w:r>
          </w:p>
        </w:tc>
        <w:tc>
          <w:tcPr>
            <w:tcW w:w="8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612" w:lineRule="exact"/>
        <w:rPr>
          <w:sz w:val="20"/>
          <w:szCs w:val="20"/>
          <w:color w:val="auto"/>
        </w:rPr>
      </w:pPr>
    </w:p>
    <w:p>
      <w:pPr>
        <w:sectPr>
          <w:pgSz w:w="11900" w:h="16838" w:orient="portrait"/>
          <w:cols w:equalWidth="0" w:num="2">
            <w:col w:w="8260" w:space="100"/>
            <w:col w:w="288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20"/>
          <w:szCs w:val="20"/>
          <w:color w:val="auto"/>
        </w:rPr>
        <w:t>The Company uses a variety of operational and financial metrics, including non-GAAP financial measures, to evaluate its performance and</w:t>
      </w:r>
    </w:p>
    <w:p>
      <w:pPr>
        <w:spacing w:after="0" w:line="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financial condition. The accompanying financial data includes additional information regarding these metrics and a reconciliation of non-GAAP financial information for historical periods to the most directly comparable GAAP financial measure. The presentation of non-GAAP</w:t>
      </w:r>
    </w:p>
    <w:p>
      <w:pPr>
        <w:spacing w:after="0" w:line="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financial information should not be considered in isolation or as a substitute for, or superior to, the financial information prepared and presented in accordance with GAAP.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Outlook: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information available as of August 4, 2025, ZoomInfo is providing guidance for the third quarter and full year 2025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FY 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 2025</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Revenue</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$302 - $305 million</w:t>
            </w: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$1.195 - $1.205 billion</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$1.215 - $1.225 billion</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Adjusted Operating Income</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$110 - $113 million</w:t>
            </w: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$426 - $436 million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$433 - $437 million</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Adjusted Net Income Per Share (Diluted)</w:t>
            </w:r>
          </w:p>
        </w:tc>
        <w:tc>
          <w:tcPr>
            <w:tcW w:w="22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$0.24 - $0.26</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$0.96 - $0.98</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$0.99 - $1.01</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Unlevered Free Cash Flow</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Not Guided</w:t>
            </w: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$420 - $440 million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$422 - $442 million</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342 million</w:t>
            </w:r>
          </w:p>
        </w:tc>
        <w:tc>
          <w:tcPr>
            <w:tcW w:w="2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352 million</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346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ZoomInfo will host a conference call today, August 4, 2025, to review its results at 4:30 p.m. Eastern Time, 1:30 p.m. Pacific Time. To participate in the live conference call via telephone, please register here. Upon registering, a dial-in number and unique PIN will be provided to join the conference call.</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call will also be webcast live on the Company’s investor relations website at https://ir.zoominfo.com/, where related presentation materials will be posted prior to the conference call. Following the conference call, an archived webcast of the call will be available for one year on ZoomInfo’s Investor Relations website.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Upcoming Events: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ZoomInfo executives expect to participate in the following investor events:</w:t>
      </w:r>
    </w:p>
    <w:p>
      <w:pPr>
        <w:spacing w:after="0" w:line="25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KeyBanc Technology Leadership Forum, Aug. 11, 2025</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Canaccord Growth Conference, Aug. 12, 2025</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Stifel Technology Executive Summit, Aug. 25, 2025</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Deutsche Bank Technology Conference, Aug. 28, 2025</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Goldman Sachs Communacopia and Technology Conference, Sep. 9, 2025</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Piper Sandler Growth Frontiers Conference, Sep. 11, 2025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more information on specific events, presentation times, and webcast details (if available), visit the “News &amp; Events” section of the Company’s investor relations website at https://ir.zoominfo.com. Conferences with presentations that are webcast, will be webcast live, and the replay will be available for a limited time.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 and Other Metrics: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supplement our consolidated financial statements presented in accordance with GAAP, this press release contains non-GAAP financial measures, including Adjusted Operating Income, Adjusted Operating Income Margin, Adjusted Net Income, Adjusted Net Income Per Share,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65" w:lineRule="auto"/>
        <w:rPr>
          <w:sz w:val="20"/>
          <w:szCs w:val="20"/>
          <w:color w:val="auto"/>
        </w:rPr>
      </w:pPr>
      <w:r>
        <w:rPr>
          <w:rFonts w:ascii="Times New Roman" w:cs="Times New Roman" w:eastAsia="Times New Roman" w:hAnsi="Times New Roman"/>
          <w:sz w:val="19"/>
          <w:szCs w:val="19"/>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at the end of this press release for each historical non-GAAP financial measure to the most directly comparable financial measure stated in accordance with GAAP. 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exchange tax receivable agreement, deferred tax assets and deferred tax liabilities, and restructuring and transaction expenses. We expect the variability of these excluded items may have a significant, and potentially unpredictable, impact on our future GAAP financial results.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define Adjusted Operating Income as income (loss) from operations adjusted for, as applicable, (i) amortization of acquired technology and other acquired intangibles, (ii) equity-based compensation expense, (iii) restructuring and transaction-related expenses, (iv) integration costs and acquisition-related expenses, (v) and legal settlement. We define Adjusted Operating Income Margin as Adjusted Operating Income divided by revenue.</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define Adjusted Net Income as net income (loss) adjusted for, as applicable, (i) loss on debt modification and extinguishment, (ii) amortization of acquired technology and other acquired intangibles, (iii) equity-based compensation expense, (iv) restructuring and transaction-related expenses, (v) integration costs and acquisition-related expenses, (vi) legal settlement, (vii) TRA liability remeasurement (benefit) expense, (viii) other (income) loss, net and (ix) tax impacts of adjustments to net income (loss). We define Adjusted Net Income Per Share as Adjusted Net Income divided by diluted weighted average shares outstanding used for adjusted net income per share.</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define Unlevered Free Cash Flow as net cash provided by (used in) operating activities less (i) purchases of property and equipment and other assets, plus (ii) cash interest expense, (iii) cash payments related to restructuring and transaction-related expenses, (iv) cash payments related to integration costs and acquisition-related compensation, and (v) legal settlement payments. Unlevered Free Cash Flow does not represent residual cash flow available for discretionary expenditures since, among other things, we have mandatory debt service requirements.</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Net revenue retention is a metric that we calculate based on customers of ZoomInfo at the beginning of the twelve-month period, and is calculated as: (a) the total ACV for those customers at the end of the twelve-month period, divided by (b) the total ACV for those customers at the beginning of the twelve-month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3" w:right="339" w:bottom="1440" w:gutter="0" w:footer="0" w:header="0"/>
        </w:sectPr>
      </w:pPr>
    </w:p>
    <w:bookmarkStart w:id="8" w:name="page9"/>
    <w:bookmarkEnd w:id="8"/>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Information</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 Any statements in this press release regarding future revenue, earnings, margins, financial performance, expenses, estimates, cash flow, growth in free cash flow, results of changes in operational procedures, liquidity, or results of operations (including, but not limited to, the guidance provided under “Business Outlook”), and any other statements that are not historical facts are forward-looking statements. 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Factors that could cause actual results to differ from those expressed or implied by our forward-looking statements include, among other things: future economic, competitive, and regulatory conditions, potential future uses of cash, the successful integration of acquired businesses, and future decisions made by us and our competitors.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update in Part II, Item 1A - Risk Factors in Quarterly Reports on Form 10-Q we have filed or will file hereafter. Our forward-looking statements do not reflect the potential impact of any future acquisitions, mergers, dispositions, joint ventures, investments, or other strategic transactions we may make. Each forward-looking statement contained in this presentation speaks only as of the date of this press release, and we undertake no obligation to update or revise any forward-looking statements whether as a result of new information, future developments or otherwise, except as required by law.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ZoomInfo</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ZoomInfo (NASDAQ: GTM) is the Go-To-Market Intelligence Platform that empowers businesses to grow faster with AI-ready insights, trusted data, and advanced automation. Its solutions provide more than 35,000 companies worldwide with a complete view of their customers, making every seller their best seller. ZoomInfo is a recognized leader in data privacy, with industry-leading GDPR and CCPA compliance and numerous data security and privacy certifications. For more information about how ZoomInfo can help businesses with go-to-market intelligence that accelerates revenue growth, please visit www.zoominfo.com.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Website Disclosure</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ZoomInfo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In addition, you may automatically receive email alerts and other information about ZoomInfo when you enroll your email address by visiting the “Email Alerts” section of our investor relations page at https://ir.zoominfo.com/.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37" w:lineRule="auto"/>
        <w:rPr>
          <w:sz w:val="20"/>
          <w:szCs w:val="20"/>
          <w:color w:val="auto"/>
        </w:rPr>
      </w:pPr>
      <w:r>
        <w:rPr>
          <w:rFonts w:ascii="Times New Roman" w:cs="Times New Roman" w:eastAsia="Times New Roman" w:hAnsi="Times New Roman"/>
          <w:sz w:val="20"/>
          <w:szCs w:val="20"/>
          <w:color w:val="auto"/>
        </w:rPr>
        <w:t>Jeremiah Sisitsky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ir@zoominfo.com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7" w:lineRule="auto"/>
        <w:rPr>
          <w:sz w:val="20"/>
          <w:szCs w:val="20"/>
          <w:color w:val="auto"/>
        </w:rPr>
      </w:pPr>
      <w:r>
        <w:rPr>
          <w:rFonts w:ascii="Times New Roman" w:cs="Times New Roman" w:eastAsia="Times New Roman" w:hAnsi="Times New Roman"/>
          <w:sz w:val="20"/>
          <w:szCs w:val="20"/>
          <w:color w:val="auto"/>
        </w:rPr>
        <w:t>Meghan Barr</w:t>
      </w:r>
    </w:p>
    <w:p>
      <w:pPr>
        <w:spacing w:after="0" w:line="1" w:lineRule="exact"/>
        <w:rPr>
          <w:sz w:val="20"/>
          <w:szCs w:val="20"/>
          <w:color w:val="auto"/>
        </w:rPr>
      </w:pPr>
    </w:p>
    <w:p>
      <w:pPr>
        <w:ind w:right="9740" w:firstLine="8"/>
        <w:spacing w:after="0" w:line="256" w:lineRule="auto"/>
        <w:tabs>
          <w:tab w:leader="none" w:pos="47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216-1878 pr@zoominfo.com</w:t>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3,717.6</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2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6,467.6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tax receivable agreements liability</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3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4,774.1</w:t>
            </w:r>
          </w:p>
        </w:tc>
        <w:tc>
          <w:tcPr>
            <w:tcW w:w="0" w:type="dxa"/>
            <w:vAlign w:val="bottom"/>
          </w:tcPr>
          <w:p>
            <w:pPr>
              <w:spacing w:after="0"/>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3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1,693.5</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6,467.6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60" w:type="dxa"/>
            <w:vAlign w:val="bottom"/>
            <w:vMerge w:val="restart"/>
          </w:tcPr>
          <w:p>
            <w:pPr>
              <w:jc w:val="right"/>
              <w:ind w:right="201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p>
        </w:tc>
        <w:tc>
          <w:tcPr>
            <w:tcW w:w="28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4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4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29"/>
        </w:trPr>
        <w:tc>
          <w:tcPr>
            <w:tcW w:w="44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44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3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0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196"/>
        </w:trPr>
        <w:tc>
          <w:tcPr>
            <w:tcW w:w="44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tcBorders>
              <w:bottom w:val="single" w:sz="8" w:color="auto"/>
            </w:tcBorders>
          </w:tcPr>
          <w:p>
            <w:pPr>
              <w:jc w:val="right"/>
              <w:ind w:right="8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24.0</w:t>
            </w:r>
          </w:p>
        </w:tc>
        <w:tc>
          <w:tcPr>
            <w:tcW w:w="140" w:type="dxa"/>
            <w:vAlign w:val="bottom"/>
          </w:tcPr>
          <w:p>
            <w:pPr>
              <w:spacing w:after="0"/>
              <w:rPr>
                <w:sz w:val="17"/>
                <w:szCs w:val="17"/>
                <w:color w:val="auto"/>
              </w:rPr>
            </w:pPr>
          </w:p>
        </w:tc>
        <w:tc>
          <w:tcPr>
            <w:tcW w:w="1120" w:type="dxa"/>
            <w:vAlign w:val="bottom"/>
            <w:tcBorders>
              <w:bottom w:val="single" w:sz="8" w:color="auto"/>
            </w:tcBorders>
          </w:tcPr>
          <w:p>
            <w:pPr>
              <w:jc w:val="right"/>
              <w:ind w:right="9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(9.3)</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4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of common stock:</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18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equity-based compensation expense,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37"/>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31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40" w:type="dxa"/>
            <w:vAlign w:val="bottom"/>
          </w:tcPr>
          <w:p>
            <w:pPr>
              <w:spacing w:after="0"/>
              <w:rPr>
                <w:sz w:val="19"/>
                <w:szCs w:val="19"/>
                <w:color w:val="auto"/>
              </w:rPr>
            </w:pPr>
          </w:p>
        </w:tc>
      </w:tr>
      <w:tr>
        <w:trPr>
          <w:trHeight w:val="238"/>
        </w:trPr>
        <w:tc>
          <w:tcPr>
            <w:tcW w:w="74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impairments and lease abandonment charges</w:t>
            </w:r>
          </w:p>
        </w:tc>
        <w:tc>
          <w:tcPr>
            <w:tcW w:w="1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1180" w:type="dxa"/>
            <w:vAlign w:val="bottom"/>
            <w:tcBorders>
              <w:bottom w:val="single" w:sz="8" w:color="6D6D6D"/>
            </w:tcBorders>
          </w:tcPr>
          <w:p>
            <w:pPr>
              <w:spacing w:after="0"/>
              <w:rPr>
                <w:sz w:val="19"/>
                <w:szCs w:val="19"/>
                <w:color w:val="auto"/>
              </w:rPr>
            </w:pPr>
          </w:p>
        </w:tc>
        <w:tc>
          <w:tcPr>
            <w:tcW w:w="6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6D6D6D"/>
            </w:tcBorders>
          </w:tcPr>
          <w:p>
            <w:pPr>
              <w:spacing w:after="0"/>
              <w:rPr>
                <w:sz w:val="19"/>
                <w:szCs w:val="19"/>
                <w:color w:val="auto"/>
              </w:rPr>
            </w:pPr>
          </w:p>
        </w:tc>
        <w:tc>
          <w:tcPr>
            <w:tcW w:w="6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tcBorders>
              <w:bottom w:val="single" w:sz="8" w:color="6D6D6D"/>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6D6D6D"/>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75"/>
        </w:trPr>
        <w:tc>
          <w:tcPr>
            <w:tcW w:w="7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80" w:type="dxa"/>
            <w:vAlign w:val="bottom"/>
            <w:tcBorders>
              <w:top w:val="single" w:sz="8" w:color="6D6D6D"/>
              <w:bottom w:val="single" w:sz="8" w:color="6D6D6D"/>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tcPr>
          <w:p>
            <w:pPr>
              <w:spacing w:after="0"/>
              <w:rPr>
                <w:sz w:val="19"/>
                <w:szCs w:val="19"/>
                <w:color w:val="auto"/>
              </w:rPr>
            </w:pPr>
          </w:p>
        </w:tc>
        <w:tc>
          <w:tcPr>
            <w:tcW w:w="1180" w:type="dxa"/>
            <w:vAlign w:val="bottom"/>
            <w:tcBorders>
              <w:top w:val="single" w:sz="8" w:color="6D6D6D"/>
              <w:bottom w:val="single" w:sz="8" w:color="6D6D6D"/>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74"/>
        </w:trPr>
        <w:tc>
          <w:tcPr>
            <w:tcW w:w="74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consideration</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debt issuance and modification costs</w:t>
            </w:r>
          </w:p>
        </w:tc>
        <w:tc>
          <w:tcPr>
            <w:tcW w:w="1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loans</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the ESPP</w:t>
            </w:r>
          </w:p>
        </w:tc>
        <w:tc>
          <w:tcPr>
            <w:tcW w:w="1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receivable agreement payments</w:t>
            </w:r>
          </w:p>
        </w:tc>
        <w:tc>
          <w:tcPr>
            <w:tcW w:w="1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80" w:type="dxa"/>
            <w:vAlign w:val="bottom"/>
            <w:tcBorders>
              <w:bottom w:val="single" w:sz="8" w:color="6D6D6D"/>
            </w:tcBorders>
          </w:tcPr>
          <w:p>
            <w:pPr>
              <w:spacing w:after="0"/>
              <w:rPr>
                <w:sz w:val="19"/>
                <w:szCs w:val="19"/>
                <w:color w:val="auto"/>
              </w:rPr>
            </w:pPr>
          </w:p>
        </w:tc>
        <w:tc>
          <w:tcPr>
            <w:tcW w:w="6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6D6D6D"/>
            </w:tcBorders>
          </w:tcPr>
          <w:p>
            <w:pPr>
              <w:spacing w:after="0"/>
              <w:rPr>
                <w:sz w:val="19"/>
                <w:szCs w:val="19"/>
                <w:color w:val="auto"/>
              </w:rPr>
            </w:pPr>
          </w:p>
        </w:tc>
        <w:tc>
          <w:tcPr>
            <w:tcW w:w="6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23"/>
        </w:trPr>
        <w:tc>
          <w:tcPr>
            <w:tcW w:w="7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80" w:type="dxa"/>
            <w:vAlign w:val="bottom"/>
            <w:tcBorders>
              <w:bottom w:val="single" w:sz="8" w:color="6D6D6D"/>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6D6D6D"/>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875"/>
        </w:trPr>
        <w:tc>
          <w:tcPr>
            <w:tcW w:w="7480" w:type="dxa"/>
            <w:vAlign w:val="bottom"/>
          </w:tcPr>
          <w:p>
            <w:pPr>
              <w:ind w:left="5580"/>
              <w:spacing w:after="0"/>
              <w:rPr>
                <w:sz w:val="20"/>
                <w:szCs w:val="20"/>
                <w:color w:val="auto"/>
              </w:rPr>
            </w:pPr>
            <w:r>
              <w:rPr>
                <w:rFonts w:ascii="Arial" w:cs="Arial" w:eastAsia="Arial" w:hAnsi="Arial"/>
                <w:sz w:val="18"/>
                <w:szCs w:val="18"/>
                <w:color w:val="auto"/>
              </w:rPr>
              <w:t>9</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240"/>
          </w:cols>
          <w:pgMar w:left="320" w:top="80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1"/>
        </w:trPr>
        <w:tc>
          <w:tcPr>
            <w:tcW w:w="7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7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 in cash</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taxes</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0"/>
        </w:trPr>
        <w:tc>
          <w:tcPr>
            <w:tcW w:w="7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activities:</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76"/>
        </w:trPr>
        <w:tc>
          <w:tcPr>
            <w:tcW w:w="74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Property and equipment included in accounts payable and accrued expenses and other current</w:t>
            </w: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included in capitalized software</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747"/>
        </w:trPr>
        <w:tc>
          <w:tcPr>
            <w:tcW w:w="7480" w:type="dxa"/>
            <w:vAlign w:val="bottom"/>
          </w:tcPr>
          <w:p>
            <w:pPr>
              <w:ind w:left="552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815" w:right="339" w:bottom="1440" w:gutter="0" w:footer="0" w:header="0"/>
        </w:sectPr>
      </w:pPr>
    </w:p>
    <w:bookmarkStart w:id="14" w:name="page15"/>
    <w:bookmarkEnd w:id="14"/>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Cash Flow from Operations to Non-GAAP Unlevered Free Cash Flow</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33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19"/>
                <w:szCs w:val="19"/>
                <w:color w:val="auto"/>
              </w:rPr>
            </w:pPr>
          </w:p>
        </w:tc>
        <w:tc>
          <w:tcPr>
            <w:tcW w:w="29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46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(GAAP)</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242.2</w:t>
            </w:r>
          </w:p>
        </w:tc>
      </w:tr>
      <w:tr>
        <w:trPr>
          <w:trHeight w:val="23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paid in cash</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76"/>
        </w:trPr>
        <w:tc>
          <w:tcPr>
            <w:tcW w:w="46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Integration costs and acquisition-related compensation paid in</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64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Litigation settlement payments</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Unlevered Free Cash Flow (Non-GAAP)</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Represents cash payments for legal fees associated with legal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from GAAP Income (Loss) from Operations to Non-GAAP Adjusted Operating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(in millions; unaudited)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91"/>
        </w:trPr>
        <w:tc>
          <w:tcPr>
            <w:tcW w:w="4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4"/>
                <w:szCs w:val="24"/>
                <w:color w:val="auto"/>
              </w:rPr>
            </w:pPr>
          </w:p>
        </w:tc>
        <w:tc>
          <w:tcPr>
            <w:tcW w:w="30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4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 (GAAP)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w:t>
            </w: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43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43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(Non-GAAP)</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601.6</w:t>
            </w:r>
          </w:p>
        </w:tc>
      </w:tr>
      <w:tr>
        <w:trPr>
          <w:trHeight w:val="270"/>
        </w:trPr>
        <w:tc>
          <w:tcPr>
            <w:tcW w:w="4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Margin (GAAP)</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Margin (Non-GAAP)</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31" w:lineRule="exact"/>
        <w:rPr>
          <w:sz w:val="20"/>
          <w:szCs w:val="20"/>
          <w:color w:val="auto"/>
        </w:rPr>
      </w:pPr>
    </w:p>
    <w:p>
      <w:pPr>
        <w:jc w:val="both"/>
        <w:ind w:left="340" w:hanging="332"/>
        <w:spacing w:after="0" w:line="252"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and six months ended June 30, 2025, this expense is primarily related to employee severance and termination benefits and lease restructuring activities. For the three and six months ended June 30, 2024, this expense is primarily related to lease impairment and abandonment charges.</w:t>
      </w:r>
    </w:p>
    <w:p>
      <w:pPr>
        <w:ind w:left="340" w:hanging="332"/>
        <w:spacing w:after="0" w:line="257"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three and six months ended June 30, 2024, these charges are related to costs incurred due to the Class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ZoomInfo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Net Income to Non-GAAP Adjusted Net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(GAAP)</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0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46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46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 liability remeasurement expense (benefit)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62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Tax impacts of adjustments to net income (loss)</w:t>
            </w:r>
            <w:r>
              <w:rPr>
                <w:rFonts w:ascii="Times New Roman" w:cs="Times New Roman" w:eastAsia="Times New Roman" w:hAnsi="Times New Roman"/>
                <w:sz w:val="23"/>
                <w:szCs w:val="23"/>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(GAAP)</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(0.07)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r>
      <w:tr>
        <w:trPr>
          <w:trHeight w:val="22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 per diluted share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 per diluted share</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 per diluted share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175"/>
        </w:trPr>
        <w:tc>
          <w:tcPr>
            <w:tcW w:w="4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Restructuring and transaction-related expenses per diluted</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 per diluted share</w:t>
            </w:r>
          </w:p>
        </w:tc>
        <w:tc>
          <w:tcPr>
            <w:tcW w:w="10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175"/>
        </w:trPr>
        <w:tc>
          <w:tcPr>
            <w:tcW w:w="4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TRA liability remeasurement expense (benefit) per diluted</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 per diluted share</w:t>
            </w:r>
          </w:p>
        </w:tc>
        <w:tc>
          <w:tcPr>
            <w:tcW w:w="10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Tax impacts of adjustments to net income (loss) per diluted</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(0.02)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Per Share (Non-GAAP)</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0.43</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Shares for Adjusted Net Income Per Share</w:t>
            </w:r>
            <w:r>
              <w:rPr>
                <w:rFonts w:ascii="Times New Roman" w:cs="Times New Roman" w:eastAsia="Times New Roman" w:hAnsi="Times New Roman"/>
                <w:sz w:val="23"/>
                <w:szCs w:val="23"/>
                <w:color w:val="auto"/>
                <w:vertAlign w:val="superscript"/>
              </w:rPr>
              <w:t>(4)</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31" w:lineRule="exact"/>
        <w:rPr>
          <w:sz w:val="20"/>
          <w:szCs w:val="20"/>
          <w:color w:val="auto"/>
        </w:rPr>
      </w:pPr>
    </w:p>
    <w:p>
      <w:pPr>
        <w:jc w:val="both"/>
        <w:ind w:left="340" w:hanging="332"/>
        <w:spacing w:after="0" w:line="252"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and six months ended June 30, 2025, this expense is primarily related to employee severance and termination benefits and lease restructuring activities. For the three and six months ended June 30, 2024, this expense is primarily related to lease impairment and abandonment charges.</w:t>
      </w:r>
    </w:p>
    <w:p>
      <w:pPr>
        <w:ind w:left="340" w:hanging="332"/>
        <w:spacing w:after="0" w:line="257"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three and six months ended June 30, 2024, these charges are related to costs incurred due to the Class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0" w:right="339" w:bottom="1440" w:gutter="0" w:footer="0" w:header="0"/>
        </w:sectPr>
      </w:pPr>
    </w:p>
    <w:bookmarkStart w:id="17" w:name="page18"/>
    <w:bookmarkEnd w:id="17"/>
    <w:p>
      <w:pPr>
        <w:jc w:val="both"/>
        <w:ind w:left="340" w:hanging="332"/>
        <w:spacing w:after="0" w:line="25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tax expense associated with Net income (GAAP) excluded from Adjusted Net Income (Non-GAAP). The Company calculates the tax impacts of adjustments to net income (loss) by taking the total gross value of the adjustments and multiplying it by the Company’s U.S. federal and state statutory tax rate. We then recalculate the tax impact of book-tax differences related to equity compensation, the tax receivable agreements, restructuring and transaction-related expenses, and items that are deemed to be unrelated to current year operating income or are one-time in nature, such as provision to return true-ups. For the three months ended June 30, 2025, these primarily relate to recognizing $15.2 million of tax benefit related to the amortization of costs associated with corporate structure simplification, adjusting out $14.6 million of tax expense from the effects of changes in state tax law and apportionment, and adjusting out $4.0 million of tax expense from non-deductible stock-based compensation. For three months ended June 30, 2024, these primarily relate to recognizing $9.9 million of tax benefit related to the amortization of costs associated with corporate structure simplification, adjusting out $3.3 million of tax expense from non-deductible stock-based compensation, and adjusting out $1.3 million of tax expense from the effects of changes in state tax law and apportionment.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 For the six months ended June 30, 2025, these primarily relate to recognizing $28.8 million of tax benefit related to the amortization of costs associated with corporate structure simplification, adjusting out $13.4 million of tax expense from the effects of changes in state tax law and apportionment, and adjusting out $7.0 million of tax expense from non-deductible stock-based compensation. For six months ended June 30, 2024, these primarily relate to recognizing $24.5 million of tax benefit related to the amortization of costs associated with corporate structure simplification, and adjusting out $8.3 million of tax expense from non-deductible stock-based compensation, and adjusting out $1.5 million of tax expense from the effects of changes in state tax law and apportionment .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p>
      <w:pPr>
        <w:spacing w:after="0" w:line="5" w:lineRule="exact"/>
        <w:rPr>
          <w:rFonts w:ascii="Times New Roman" w:cs="Times New Roman" w:eastAsia="Times New Roman" w:hAnsi="Times New Roman"/>
          <w:sz w:val="16"/>
          <w:szCs w:val="16"/>
          <w:color w:val="auto"/>
        </w:rPr>
      </w:pPr>
    </w:p>
    <w:p>
      <w:pPr>
        <w:jc w:val="both"/>
        <w:ind w:left="340" w:hanging="332"/>
        <w:spacing w:after="0" w:line="25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98"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847725</wp:posOffset>
            </wp:positionV>
            <wp:extent cx="117411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11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ZoomInfo Appoints Graham O’Brien Chief Financial Officer</w:t>
      </w:r>
    </w:p>
    <w:p>
      <w:pPr>
        <w:spacing w:after="0" w:line="22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VANCOUVER, WA</w:t>
      </w:r>
      <w:r>
        <w:rPr>
          <w:rFonts w:ascii="Times New Roman" w:cs="Times New Roman" w:eastAsia="Times New Roman" w:hAnsi="Times New Roman"/>
          <w:sz w:val="20"/>
          <w:szCs w:val="20"/>
          <w:color w:val="auto"/>
        </w:rPr>
        <w:t>, August 4, 2025 - ZoomInfo (NASDAQ: GTM), the Go-To-Market Intelligence Platform, announced that Michael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Graham O’Brien, the Company's interim Chief Financial Officer, has been named Chief Financial Officer, effective August 1, 2025.</w:t>
      </w:r>
    </w:p>
    <w:p>
      <w:pPr>
        <w:spacing w:after="0" w:line="16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“Graham’s successful track record at ZoomInfo, his proven leadership, financial and operating discipline, and strong financial and accounting expertise make him the right leader for this role,” said Henry Schuck, ZoomInfo Founder and CEO.</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Mr. O’Brien commented, “I look forward to continuing to work with the board of directors and the executive team as we drive customer success and value, expand upmarket, and reaccelerate revenue growth while prioritizing profitability and growing free cash flow per share.”</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Mr. O’Brien has served as the Company’s Interim Chief Financial Officer since September 2024. Prior to this, Mr. O’Brien held various roles at the Company with increasing levels of responsibility since December 2017, and most recently served as Vice President of FP&amp;A since January 2023. Prior to joining the Company, Mr. O’Brien held accounting positions at RainKing Solutions from 2016 to 2017, and with Kaseya from 2008 to 2016. Mr. O’Brien holds a B.S. in accounting from Lehigh University and is a licensed CPA in the District of Columbia.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2025 Financial Results</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a separate press release issued today, ZoomInfo issued its second quarter 2025 financial results. A conference call is scheduled to begin today, August 4th, at 4:30 p.m. Eastern Time (1:30 p.m. Pacific Time). To participate in the live conference call via telephone, please register here. Upon registering, a dial-in number and unique PIN will be provided to join the conference call. The call will also be webcast live on the Company’s investor relations website at https:// ir.zoominfo.com/, where related presentation materials will be posted prior to the conference call. Following the conference call, an archived webcast of the call will be available for one year on ZoomInfo’s Investor Relations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ZoomInfo</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ZoomInfo (Nasdaq: GTM) is the Go-To-Market Intelligence Platform that empowers businesses to grow faster with AI-ready insights, trusted data, and advanced automation. Its solutions provide more than 35,000 companies worldwide with a complete view of their customers, making every seller their best seller. ZoomInfo is a recognized leader in data privacy, with industry-leading GDPR and CCPA compliance and numerous data security and privacy certifications. For more information about how ZoomInfo can help businesses with go-to-market intelligence that accelerates revenue growth, please visit www.zoominfo.com.</w:t>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b w:val="1"/>
          <w:bCs w:val="1"/>
          <w:color w:val="auto"/>
        </w:rPr>
        <w:t>Investor Contact:</w:t>
      </w:r>
    </w:p>
    <w:p>
      <w:pPr>
        <w:spacing w:after="0" w:line="235" w:lineRule="auto"/>
        <w:rPr>
          <w:sz w:val="20"/>
          <w:szCs w:val="20"/>
          <w:color w:val="auto"/>
        </w:rPr>
      </w:pPr>
      <w:r>
        <w:rPr>
          <w:rFonts w:ascii="Times New Roman" w:cs="Times New Roman" w:eastAsia="Times New Roman" w:hAnsi="Times New Roman"/>
          <w:sz w:val="20"/>
          <w:szCs w:val="20"/>
          <w:color w:val="auto"/>
        </w:rPr>
        <w:t>Jeremiah Sisitsky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ir@zoominfo.com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23" w:lineRule="auto"/>
        <w:rPr>
          <w:sz w:val="20"/>
          <w:szCs w:val="20"/>
          <w:color w:val="auto"/>
        </w:rPr>
      </w:pPr>
      <w:r>
        <w:rPr>
          <w:rFonts w:ascii="Times New Roman" w:cs="Times New Roman" w:eastAsia="Times New Roman" w:hAnsi="Times New Roman"/>
          <w:sz w:val="20"/>
          <w:szCs w:val="20"/>
          <w:color w:val="auto"/>
        </w:rPr>
        <w:t>Silvie Casanova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pr@zoominfo.com</w:t>
      </w:r>
    </w:p>
    <w:sectPr>
      <w:pgSz w:w="11900" w:h="16838" w:orient="portrait"/>
      <w:cols w:equalWidth="0" w:num="1">
        <w:col w:w="10139"/>
      </w:cols>
      <w:pgMar w:left="320" w:top="13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203"/>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2025-08-04T15:15:42Z</dcterms:created>
  <dcterms:modified xsi:type="dcterms:W3CDTF">2025-08-04T15:15:42Z</dcterms:modified>
</cp:coreProperties>
</file>