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431580.xml.htm"/>
      <w:bookmarkStart w:id="1" w:name="kswkform4_178043158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McGrane Ashley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ZOOMINFO TECHNOLOGIES INC.,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330 W COLUMBIA WAY, FLOOR 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VANCOUVER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98660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ZoomInfo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GTM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 and Corp Sec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80,250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3.33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80,181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06/02/2026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3.55</w:t>
            </w:r>
            <w:r>
              <w:rPr/>
              <w:t xml:space="preserve"> 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80,147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59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45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9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393,750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393,750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393,750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the Issuer's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shares withheld to cover the Reporting Person's tax liability in connection with the vesting of the restricted stock units reported herein.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transaction reported in this Form 4 was effected pursuant to a Rule 10b5-1 trading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Reporting Person received an original grant of 393,750 restricted stock units, which vests in equal quarterly installments during the 24 months following April 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The Reporting Person received an original grant of restricted stock units on September 1, 2022, which vest in equal quarterly installments during the 21 months following December 1, 2024.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Meredith Weisshaar,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57389" TargetMode="External"/><Relationship Id="rId5" Type="http://schemas.openxmlformats.org/officeDocument/2006/relationships/hyperlink" Target="http://www.sec.gov/cgi-bin/browse-edgar?action=getcompany&amp;CIK=000179451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732</Words>
  <Characters>3935</Characters>
  <CharactersWithSpaces>4572</CharactersWithSpaces>
  <Paragraphs>141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