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8642.xml.htm"/>
      <w:bookmarkStart w:id="1" w:name="kswkform4_17833686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Schuck Henry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W COLUMBIA WAY, FLOOR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99"/>
        <w:gridCol w:w="901"/>
        <w:gridCol w:w="772"/>
        <w:gridCol w:w="598"/>
        <w:gridCol w:w="342"/>
        <w:gridCol w:w="913"/>
        <w:gridCol w:w="437"/>
        <w:gridCol w:w="655"/>
        <w:gridCol w:w="1345"/>
        <w:gridCol w:w="975"/>
        <w:gridCol w:w="10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9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9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13,787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11,394,048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4,598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2.93</w:t>
            </w:r>
            <w:r>
              <w:rPr/>
              <w:t xml:space="preserve"> </w:t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11,389,450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237,376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19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5,803,333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13,787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96,508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to cover the Reporting Person's tax liability in connection with the vesting of the restricted stock units reported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Reporting Person's proportionate pecuniary interest in the securities held directly by DO Holdings (WA), LLC.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 received an original grant of restricted stock units on May 29, 2024, which vest as follows: (a) 25% on April 1, 2025; and (b) the remainder of the award in equal quarterly installments during the 36 months following April 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Weisshaar,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217" TargetMode="External"/><Relationship Id="rId5" Type="http://schemas.openxmlformats.org/officeDocument/2006/relationships/hyperlink" Target="http://www.sec.gov/cgi-bin/browse-edgar?action=getcompany&amp;CIK=0001794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707</Words>
  <Characters>3829</Characters>
  <CharactersWithSpaces>4450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