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right="659"/>
        <w:spacing w:after="0" w:line="261" w:lineRule="auto"/>
        <w:rPr>
          <w:sz w:val="20"/>
          <w:szCs w:val="20"/>
          <w:color w:val="auto"/>
        </w:rPr>
      </w:pPr>
      <w:r>
        <w:rPr>
          <w:rFonts w:ascii="Arial" w:cs="Arial" w:eastAsia="Arial" w:hAnsi="Arial"/>
          <w:sz w:val="11"/>
          <w:szCs w:val="11"/>
          <w:b w:val="1"/>
          <w:bCs w:val="1"/>
          <w:color w:val="EE2724"/>
        </w:rPr>
        <w:t>The information in this preliminary prospectus supplement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1" w:lineRule="exact"/>
        <w:rPr>
          <w:sz w:val="24"/>
          <w:szCs w:val="24"/>
          <w:color w:val="auto"/>
        </w:rPr>
      </w:pPr>
    </w:p>
    <w:p>
      <w:pPr>
        <w:jc w:val="right"/>
        <w:ind w:right="419"/>
        <w:spacing w:after="0"/>
        <w:rPr>
          <w:sz w:val="20"/>
          <w:szCs w:val="20"/>
          <w:color w:val="auto"/>
        </w:rPr>
      </w:pPr>
      <w:r>
        <w:rPr>
          <w:rFonts w:ascii="Arial" w:cs="Arial" w:eastAsia="Arial" w:hAnsi="Arial"/>
          <w:sz w:val="13"/>
          <w:szCs w:val="13"/>
          <w:b w:val="1"/>
          <w:bCs w:val="1"/>
          <w:color w:val="auto"/>
        </w:rPr>
        <w:t>Filed Pursuant to Rule 424(b)(7)</w:t>
      </w:r>
    </w:p>
    <w:p>
      <w:pPr>
        <w:spacing w:after="0" w:line="6" w:lineRule="exact"/>
        <w:rPr>
          <w:sz w:val="24"/>
          <w:szCs w:val="24"/>
          <w:color w:val="auto"/>
        </w:rPr>
      </w:pPr>
    </w:p>
    <w:p>
      <w:pPr>
        <w:jc w:val="right"/>
        <w:ind w:right="419"/>
        <w:spacing w:after="0"/>
        <w:rPr>
          <w:sz w:val="20"/>
          <w:szCs w:val="20"/>
          <w:color w:val="auto"/>
        </w:rPr>
      </w:pPr>
      <w:r>
        <w:rPr>
          <w:rFonts w:ascii="Arial" w:cs="Arial" w:eastAsia="Arial" w:hAnsi="Arial"/>
          <w:sz w:val="13"/>
          <w:szCs w:val="13"/>
          <w:b w:val="1"/>
          <w:bCs w:val="1"/>
          <w:color w:val="auto"/>
        </w:rPr>
        <w:t>Registration No. 333-258408</w:t>
      </w:r>
    </w:p>
    <w:p>
      <w:pPr>
        <w:spacing w:after="0" w:line="30" w:lineRule="exact"/>
        <w:rPr>
          <w:sz w:val="24"/>
          <w:szCs w:val="24"/>
          <w:color w:val="auto"/>
        </w:rPr>
      </w:pPr>
    </w:p>
    <w:p>
      <w:pPr>
        <w:ind w:left="340"/>
        <w:spacing w:after="0"/>
        <w:rPr>
          <w:sz w:val="20"/>
          <w:szCs w:val="20"/>
          <w:color w:val="auto"/>
        </w:rPr>
      </w:pPr>
      <w:r>
        <w:rPr>
          <w:rFonts w:ascii="Arial" w:cs="Arial" w:eastAsia="Arial" w:hAnsi="Arial"/>
          <w:sz w:val="13"/>
          <w:szCs w:val="13"/>
          <w:color w:val="EE2724"/>
        </w:rPr>
        <w:t>SUBJECT TO COMPLETION, DATED AUGUST 3, 2021</w:t>
      </w:r>
    </w:p>
    <w:p>
      <w:pPr>
        <w:spacing w:after="0" w:line="42" w:lineRule="exact"/>
        <w:rPr>
          <w:sz w:val="24"/>
          <w:szCs w:val="24"/>
          <w:color w:val="auto"/>
        </w:rPr>
      </w:pPr>
    </w:p>
    <w:p>
      <w:pPr>
        <w:ind w:left="340"/>
        <w:spacing w:after="0"/>
        <w:rPr>
          <w:sz w:val="20"/>
          <w:szCs w:val="20"/>
          <w:color w:val="auto"/>
        </w:rPr>
      </w:pPr>
      <w:r>
        <w:rPr>
          <w:rFonts w:ascii="Arial" w:cs="Arial" w:eastAsia="Arial" w:hAnsi="Arial"/>
          <w:sz w:val="13"/>
          <w:szCs w:val="13"/>
          <w:b w:val="1"/>
          <w:bCs w:val="1"/>
          <w:i w:val="1"/>
          <w:iCs w:val="1"/>
          <w:color w:val="auto"/>
        </w:rPr>
        <w:t>PROSPECTUS SUPPLEMENT</w:t>
      </w:r>
    </w:p>
    <w:p>
      <w:pPr>
        <w:ind w:left="340"/>
        <w:spacing w:after="0"/>
        <w:rPr>
          <w:sz w:val="20"/>
          <w:szCs w:val="20"/>
          <w:color w:val="auto"/>
        </w:rPr>
      </w:pPr>
      <w:r>
        <w:rPr>
          <w:rFonts w:ascii="Arial" w:cs="Arial" w:eastAsia="Arial" w:hAnsi="Arial"/>
          <w:sz w:val="13"/>
          <w:szCs w:val="13"/>
          <w:b w:val="1"/>
          <w:bCs w:val="1"/>
          <w:i w:val="1"/>
          <w:iCs w:val="1"/>
          <w:color w:val="auto"/>
        </w:rPr>
        <w:t>(to Prospectus dated August 3, 2021)</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27,000,000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1853565</wp:posOffset>
            </wp:positionH>
            <wp:positionV relativeFrom="paragraph">
              <wp:posOffset>26035</wp:posOffset>
            </wp:positionV>
            <wp:extent cx="1974850" cy="3606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4850" cy="360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ZoomInfo Technologies Inc.</w:t>
      </w:r>
    </w:p>
    <w:p>
      <w:pPr>
        <w:spacing w:after="0" w:line="38" w:lineRule="exact"/>
        <w:rPr>
          <w:sz w:val="24"/>
          <w:szCs w:val="24"/>
          <w:color w:val="auto"/>
        </w:rPr>
      </w:pPr>
    </w:p>
    <w:p>
      <w:pPr>
        <w:ind w:left="3560"/>
        <w:spacing w:after="0"/>
        <w:rPr>
          <w:sz w:val="20"/>
          <w:szCs w:val="20"/>
          <w:color w:val="auto"/>
        </w:rPr>
      </w:pPr>
      <w:r>
        <w:rPr>
          <w:rFonts w:ascii="Arial" w:cs="Arial" w:eastAsia="Arial" w:hAnsi="Arial"/>
          <w:sz w:val="19"/>
          <w:szCs w:val="19"/>
          <w:b w:val="1"/>
          <w:bCs w:val="1"/>
          <w:i w:val="1"/>
          <w:iCs w:val="1"/>
          <w:color w:val="auto"/>
        </w:rPr>
        <w:t>Class A Common Stock</w:t>
      </w:r>
    </w:p>
    <w:p>
      <w:pPr>
        <w:spacing w:after="0" w:line="18" w:lineRule="exact"/>
        <w:rPr>
          <w:sz w:val="24"/>
          <w:szCs w:val="24"/>
          <w:color w:val="auto"/>
        </w:rPr>
      </w:pPr>
    </w:p>
    <w:p>
      <w:pPr>
        <w:ind w:left="4360"/>
        <w:spacing w:after="0"/>
        <w:rPr>
          <w:sz w:val="20"/>
          <w:szCs w:val="20"/>
          <w:color w:val="auto"/>
        </w:rPr>
      </w:pPr>
      <w:r>
        <w:rPr>
          <w:rFonts w:ascii="Arial" w:cs="Arial" w:eastAsia="Arial" w:hAnsi="Arial"/>
          <w:sz w:val="19"/>
          <w:szCs w:val="19"/>
          <w:b w:val="1"/>
          <w:bCs w:val="1"/>
          <w:i w:val="1"/>
          <w:iCs w:val="1"/>
          <w:color w:val="auto"/>
        </w:rPr>
        <w:t>per share</w:t>
      </w:r>
    </w:p>
    <w:p>
      <w:pPr>
        <w:spacing w:after="0" w:line="242" w:lineRule="exact"/>
        <w:rPr>
          <w:sz w:val="24"/>
          <w:szCs w:val="24"/>
          <w:color w:val="auto"/>
        </w:rPr>
      </w:pPr>
    </w:p>
    <w:p>
      <w:pPr>
        <w:jc w:val="both"/>
        <w:ind w:left="340" w:right="419"/>
        <w:spacing w:after="0" w:line="311" w:lineRule="auto"/>
        <w:rPr>
          <w:sz w:val="20"/>
          <w:szCs w:val="20"/>
          <w:color w:val="auto"/>
        </w:rPr>
      </w:pPr>
      <w:r>
        <w:rPr>
          <w:rFonts w:ascii="Arial" w:cs="Arial" w:eastAsia="Arial" w:hAnsi="Arial"/>
          <w:sz w:val="11"/>
          <w:szCs w:val="11"/>
          <w:color w:val="auto"/>
        </w:rPr>
        <w:t>The selling stockholders identified in this prospectus supplement are selling 27,000,000 shares of our Class A common stock. We are not selling any shares of our Class A common stock under this prospectus supplement and will not receive any proceeds from the sale of the shares by the selling stockholders.</w:t>
      </w:r>
    </w:p>
    <w:p>
      <w:pPr>
        <w:spacing w:after="0" w:line="27" w:lineRule="exact"/>
        <w:rPr>
          <w:sz w:val="24"/>
          <w:szCs w:val="24"/>
          <w:color w:val="auto"/>
        </w:rPr>
      </w:pPr>
    </w:p>
    <w:p>
      <w:pPr>
        <w:jc w:val="both"/>
        <w:ind w:left="340" w:right="419"/>
        <w:spacing w:after="0" w:line="233" w:lineRule="auto"/>
        <w:rPr>
          <w:sz w:val="20"/>
          <w:szCs w:val="20"/>
          <w:color w:val="auto"/>
        </w:rPr>
      </w:pPr>
      <w:r>
        <w:rPr>
          <w:rFonts w:ascii="Arial" w:cs="Arial" w:eastAsia="Arial" w:hAnsi="Arial"/>
          <w:sz w:val="13"/>
          <w:szCs w:val="13"/>
          <w:color w:val="auto"/>
        </w:rPr>
        <w:t>Our Class A common stock is listed and traded on the Nasdaq Global Select Market (the “Nasdaq”) under the trading symbol “ZI.” On August 3, 2021 the closing price of our Class A common stock as reported on the Nasdaq was $56.50 per share.</w:t>
      </w:r>
    </w:p>
    <w:p>
      <w:pPr>
        <w:spacing w:after="0" w:line="65" w:lineRule="exact"/>
        <w:rPr>
          <w:sz w:val="24"/>
          <w:szCs w:val="24"/>
          <w:color w:val="auto"/>
        </w:rPr>
      </w:pPr>
    </w:p>
    <w:p>
      <w:pPr>
        <w:jc w:val="both"/>
        <w:ind w:left="340" w:right="419"/>
        <w:spacing w:after="0" w:line="252" w:lineRule="auto"/>
        <w:rPr>
          <w:sz w:val="20"/>
          <w:szCs w:val="20"/>
          <w:color w:val="auto"/>
        </w:rPr>
      </w:pPr>
      <w:r>
        <w:rPr>
          <w:rFonts w:ascii="Arial" w:cs="Arial" w:eastAsia="Arial" w:hAnsi="Arial"/>
          <w:sz w:val="11"/>
          <w:szCs w:val="11"/>
          <w:color w:val="auto"/>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in the accompanying prospectus.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w:t>
      </w:r>
    </w:p>
    <w:p>
      <w:pPr>
        <w:spacing w:after="0" w:line="62" w:lineRule="exact"/>
        <w:rPr>
          <w:sz w:val="24"/>
          <w:szCs w:val="24"/>
          <w:color w:val="auto"/>
        </w:rPr>
      </w:pPr>
    </w:p>
    <w:p>
      <w:pPr>
        <w:jc w:val="both"/>
        <w:ind w:left="340" w:right="419"/>
        <w:spacing w:after="0" w:line="239" w:lineRule="auto"/>
        <w:rPr>
          <w:sz w:val="20"/>
          <w:szCs w:val="20"/>
          <w:color w:val="auto"/>
        </w:rPr>
      </w:pPr>
      <w:r>
        <w:rPr>
          <w:rFonts w:ascii="Arial" w:cs="Arial" w:eastAsia="Arial" w:hAnsi="Arial"/>
          <w:sz w:val="12"/>
          <w:szCs w:val="12"/>
          <w:color w:val="auto"/>
        </w:rPr>
        <w:t>Prior to the consummation of this offering, the selling stockholders will exchange OpCo Units and HoldCo Units, as applicable, and associated shares of our Class B common stock for, or convert their shares of our Class C common stock into, as applicable, shares of our Class A common stock. Upon the completion of the exchange of OpCo Units or HoldCo Units or conversion of shares of our Class C common stock, as applicable, the associated shares of Class B common stock will be cancelled and shares of Class C common stock will be retired and not available for reissuance.</w:t>
      </w:r>
    </w:p>
    <w:p>
      <w:pPr>
        <w:spacing w:after="0" w:line="65" w:lineRule="exact"/>
        <w:rPr>
          <w:sz w:val="24"/>
          <w:szCs w:val="24"/>
          <w:color w:val="auto"/>
        </w:rPr>
      </w:pPr>
    </w:p>
    <w:p>
      <w:pPr>
        <w:jc w:val="both"/>
        <w:ind w:left="340" w:right="419"/>
        <w:spacing w:after="0" w:line="225" w:lineRule="auto"/>
        <w:rPr>
          <w:sz w:val="20"/>
          <w:szCs w:val="20"/>
          <w:color w:val="auto"/>
        </w:rPr>
      </w:pPr>
      <w:r>
        <w:rPr>
          <w:rFonts w:ascii="Arial" w:cs="Arial" w:eastAsia="Arial" w:hAnsi="Arial"/>
          <w:sz w:val="13"/>
          <w:szCs w:val="13"/>
          <w:color w:val="auto"/>
        </w:rPr>
        <w:t>Certain affiliates of each of TA Associates, Carlyle, and our Founders (each as defined herein) are parties to a stockholders agreement and, after giving effect to this offering, will beneficially own approximately 85.4% of the combined voting power of our Class A, Class B, and Class C common stock. As a result, we will continue to be a “controlled company” within the meaning of the Nasdaq corporate governance standards.</w:t>
      </w:r>
    </w:p>
    <w:p>
      <w:pPr>
        <w:spacing w:after="0" w:line="64" w:lineRule="exact"/>
        <w:rPr>
          <w:sz w:val="24"/>
          <w:szCs w:val="24"/>
          <w:color w:val="auto"/>
        </w:rPr>
      </w:pPr>
    </w:p>
    <w:p>
      <w:pPr>
        <w:jc w:val="both"/>
        <w:ind w:left="340" w:right="419"/>
        <w:spacing w:after="0" w:line="233" w:lineRule="auto"/>
        <w:rPr>
          <w:sz w:val="20"/>
          <w:szCs w:val="20"/>
          <w:color w:val="auto"/>
        </w:rPr>
      </w:pPr>
      <w:r>
        <w:rPr>
          <w:rFonts w:ascii="Arial" w:cs="Arial" w:eastAsia="Arial" w:hAnsi="Arial"/>
          <w:sz w:val="13"/>
          <w:szCs w:val="13"/>
          <w:color w:val="auto"/>
        </w:rPr>
        <w:t>We are an “emerging growth company” as defined under the federal securities laws and, as such, have elected to comply with certain reduced public company reporting requirements. See “Summary—Implications of Being an Emerging Growth Company.”</w:t>
      </w:r>
    </w:p>
    <w:p>
      <w:pPr>
        <w:spacing w:after="0" w:line="61" w:lineRule="exact"/>
        <w:rPr>
          <w:sz w:val="24"/>
          <w:szCs w:val="24"/>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Investing in shares of our Class A common stock involves risks. See “Risk Factors” beginning on page S-</w:t>
      </w:r>
      <w:hyperlink w:anchor="page9">
        <w:r>
          <w:rPr>
            <w:rFonts w:ascii="Arial" w:cs="Arial" w:eastAsia="Arial" w:hAnsi="Arial"/>
            <w:sz w:val="13"/>
            <w:szCs w:val="13"/>
            <w:b w:val="1"/>
            <w:bCs w:val="1"/>
            <w:color w:val="auto"/>
          </w:rPr>
          <w:t>4.</w:t>
        </w:r>
      </w:hyperlink>
    </w:p>
    <w:p>
      <w:pPr>
        <w:spacing w:after="0" w:line="79" w:lineRule="exact"/>
        <w:rPr>
          <w:sz w:val="24"/>
          <w:szCs w:val="24"/>
          <w:color w:val="auto"/>
        </w:rPr>
      </w:pPr>
    </w:p>
    <w:p>
      <w:pPr>
        <w:jc w:val="both"/>
        <w:ind w:left="340" w:right="419"/>
        <w:spacing w:after="0" w:line="233" w:lineRule="auto"/>
        <w:rPr>
          <w:sz w:val="20"/>
          <w:szCs w:val="20"/>
          <w:color w:val="auto"/>
        </w:rPr>
      </w:pPr>
      <w:r>
        <w:rPr>
          <w:rFonts w:ascii="Arial" w:cs="Arial" w:eastAsia="Arial" w:hAnsi="Arial"/>
          <w:sz w:val="13"/>
          <w:szCs w:val="13"/>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77" w:lineRule="exact"/>
        <w:rPr>
          <w:sz w:val="24"/>
          <w:szCs w:val="24"/>
          <w:color w:val="auto"/>
        </w:rPr>
      </w:pPr>
    </w:p>
    <w:p>
      <w:pPr>
        <w:ind w:left="6680"/>
        <w:spacing w:after="0"/>
        <w:tabs>
          <w:tab w:leader="none" w:pos="8020" w:val="left"/>
        </w:tabs>
        <w:rPr>
          <w:sz w:val="20"/>
          <w:szCs w:val="20"/>
          <w:color w:val="auto"/>
        </w:rPr>
      </w:pPr>
      <w:r>
        <w:rPr>
          <w:rFonts w:ascii="Arial" w:cs="Arial" w:eastAsia="Arial" w:hAnsi="Arial"/>
          <w:sz w:val="12"/>
          <w:szCs w:val="12"/>
          <w:b w:val="1"/>
          <w:bCs w:val="1"/>
          <w:color w:val="auto"/>
        </w:rPr>
        <w:t>Per Share</w:t>
      </w:r>
      <w:r>
        <w:rPr>
          <w:sz w:val="20"/>
          <w:szCs w:val="20"/>
          <w:color w:val="auto"/>
        </w:rPr>
        <w:tab/>
      </w:r>
      <w:r>
        <w:rPr>
          <w:rFonts w:ascii="Arial" w:cs="Arial" w:eastAsia="Arial" w:hAnsi="Arial"/>
          <w:sz w:val="9"/>
          <w:szCs w:val="9"/>
          <w:b w:val="1"/>
          <w:bCs w:val="1"/>
          <w:color w:val="auto"/>
        </w:rPr>
        <w:t>Total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4106545</wp:posOffset>
            </wp:positionH>
            <wp:positionV relativeFrom="paragraph">
              <wp:posOffset>24765</wp:posOffset>
            </wp:positionV>
            <wp:extent cx="13665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6520" cy="7620"/>
                    </a:xfrm>
                    <a:prstGeom prst="rect">
                      <a:avLst/>
                    </a:prstGeom>
                    <a:noFill/>
                  </pic:spPr>
                </pic:pic>
              </a:graphicData>
            </a:graphic>
          </wp:anchor>
        </w:drawing>
      </w:r>
    </w:p>
    <w:p>
      <w:pPr>
        <w:spacing w:after="0" w:line="3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Public offering price.......................................................................................................................................................</w:t>
      </w:r>
    </w:p>
    <w:p>
      <w:pPr>
        <w:spacing w:after="0" w:line="24" w:lineRule="exact"/>
        <w:rPr>
          <w:sz w:val="24"/>
          <w:szCs w:val="24"/>
          <w:color w:val="auto"/>
        </w:rPr>
      </w:pPr>
    </w:p>
    <w:p>
      <w:pPr>
        <w:ind w:left="340"/>
        <w:spacing w:after="0"/>
        <w:rPr>
          <w:sz w:val="20"/>
          <w:szCs w:val="20"/>
          <w:color w:val="auto"/>
        </w:rPr>
      </w:pPr>
      <w:r>
        <w:rPr>
          <w:rFonts w:ascii="Arial" w:cs="Arial" w:eastAsia="Arial" w:hAnsi="Arial"/>
          <w:sz w:val="13"/>
          <w:szCs w:val="13"/>
          <w:color w:val="auto"/>
        </w:rPr>
        <w:t>Underwriting discount</w:t>
      </w:r>
      <w:r>
        <w:rPr>
          <w:rFonts w:ascii="Arial" w:cs="Arial" w:eastAsia="Arial" w:hAnsi="Arial"/>
          <w:sz w:val="16"/>
          <w:szCs w:val="16"/>
          <w:color w:val="auto"/>
          <w:vertAlign w:val="superscript"/>
        </w:rPr>
        <w:t>(1)</w:t>
      </w:r>
      <w:r>
        <w:rPr>
          <w:rFonts w:ascii="Arial" w:cs="Arial" w:eastAsia="Arial" w:hAnsi="Arial"/>
          <w:sz w:val="13"/>
          <w:szCs w:val="13"/>
          <w:color w:val="auto"/>
        </w:rPr>
        <w:t>.................................................................................................................................................</w:t>
      </w:r>
    </w:p>
    <w:p>
      <w:pPr>
        <w:spacing w:after="0" w:line="151" w:lineRule="exact"/>
        <w:rPr>
          <w:sz w:val="24"/>
          <w:szCs w:val="24"/>
          <w:color w:val="auto"/>
        </w:rPr>
      </w:pPr>
    </w:p>
    <w:p>
      <w:pPr>
        <w:ind w:left="440"/>
        <w:spacing w:after="0"/>
        <w:rPr>
          <w:sz w:val="20"/>
          <w:szCs w:val="20"/>
          <w:color w:val="auto"/>
        </w:rPr>
      </w:pPr>
      <w:r>
        <w:rPr>
          <w:rFonts w:ascii="Arial" w:cs="Arial" w:eastAsia="Arial" w:hAnsi="Arial"/>
          <w:sz w:val="13"/>
          <w:szCs w:val="13"/>
          <w:color w:val="auto"/>
        </w:rPr>
        <w:t>Proceeds, before expenses, to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201295</wp:posOffset>
            </wp:positionH>
            <wp:positionV relativeFrom="paragraph">
              <wp:posOffset>42545</wp:posOffset>
            </wp:positionV>
            <wp:extent cx="6235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3570" cy="7620"/>
                    </a:xfrm>
                    <a:prstGeom prst="rect">
                      <a:avLst/>
                    </a:prstGeom>
                    <a:noFill/>
                  </pic:spPr>
                </pic:pic>
              </a:graphicData>
            </a:graphic>
          </wp:anchor>
        </w:drawing>
      </w:r>
    </w:p>
    <w:p>
      <w:pPr>
        <w:spacing w:after="0" w:line="95" w:lineRule="exact"/>
        <w:rPr>
          <w:sz w:val="24"/>
          <w:szCs w:val="24"/>
          <w:color w:val="auto"/>
        </w:rPr>
      </w:pPr>
    </w:p>
    <w:p>
      <w:pPr>
        <w:ind w:left="620" w:hanging="287"/>
        <w:spacing w:after="0"/>
        <w:tabs>
          <w:tab w:leader="none" w:pos="6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Please see the section entitled “Underwriting” for a description of compensation payable to the underwriter.</w:t>
      </w:r>
    </w:p>
    <w:p>
      <w:pPr>
        <w:spacing w:after="0" w:line="21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underwriter expects to deliver the shares of our Class A common stock against payment in New York, New York on or about ,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2274570</wp:posOffset>
            </wp:positionH>
            <wp:positionV relativeFrom="paragraph">
              <wp:posOffset>110490</wp:posOffset>
            </wp:positionV>
            <wp:extent cx="12319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193"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2274570</wp:posOffset>
            </wp:positionH>
            <wp:positionV relativeFrom="paragraph">
              <wp:posOffset>46990</wp:posOffset>
            </wp:positionV>
            <wp:extent cx="12319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900" cy="7620"/>
                    </a:xfrm>
                    <a:prstGeom prst="rect">
                      <a:avLst/>
                    </a:prstGeom>
                    <a:noFill/>
                  </pic:spPr>
                </pic:pic>
              </a:graphicData>
            </a:graphic>
          </wp:anchor>
        </w:drawing>
      </w:r>
    </w:p>
    <w:p>
      <w:pPr>
        <w:spacing w:after="0" w:line="346" w:lineRule="exact"/>
        <w:rPr>
          <w:sz w:val="24"/>
          <w:szCs w:val="24"/>
          <w:color w:val="auto"/>
        </w:rPr>
      </w:pPr>
    </w:p>
    <w:tbl>
      <w:tblPr>
        <w:tblLayout w:type="fixed"/>
        <w:tblInd w:w="3320" w:type="dxa"/>
        <w:tblCellMar>
          <w:top w:w="0" w:type="dxa"/>
          <w:left w:w="0" w:type="dxa"/>
          <w:bottom w:w="0" w:type="dxa"/>
          <w:right w:w="0" w:type="dxa"/>
        </w:tblCellMar>
      </w:tblPr>
      <w:tr>
        <w:trPr>
          <w:trHeight w:val="160"/>
        </w:trPr>
        <w:tc>
          <w:tcPr>
            <w:tcW w:w="1720" w:type="dxa"/>
            <w:vAlign w:val="bottom"/>
          </w:tcPr>
          <w:p>
            <w:pPr>
              <w:spacing w:after="0"/>
              <w:rPr>
                <w:sz w:val="20"/>
                <w:szCs w:val="20"/>
                <w:color w:val="auto"/>
              </w:rPr>
            </w:pPr>
            <w:r>
              <w:rPr>
                <w:rFonts w:ascii="Arial" w:cs="Arial" w:eastAsia="Arial" w:hAnsi="Arial"/>
                <w:sz w:val="13"/>
                <w:szCs w:val="13"/>
                <w:color w:val="auto"/>
              </w:rPr>
              <w:t>The date of this prospectus is</w:t>
            </w:r>
          </w:p>
        </w:tc>
        <w:tc>
          <w:tcPr>
            <w:tcW w:w="580" w:type="dxa"/>
            <w:vAlign w:val="bottom"/>
          </w:tcPr>
          <w:p>
            <w:pPr>
              <w:jc w:val="right"/>
              <w:spacing w:after="0"/>
              <w:rPr>
                <w:sz w:val="20"/>
                <w:szCs w:val="20"/>
                <w:color w:val="auto"/>
              </w:rPr>
            </w:pPr>
            <w:r>
              <w:rPr>
                <w:rFonts w:ascii="Arial" w:cs="Arial" w:eastAsia="Arial" w:hAnsi="Arial"/>
                <w:sz w:val="13"/>
                <w:szCs w:val="13"/>
                <w:color w:val="auto"/>
              </w:rPr>
              <w:t>, 2021.</w:t>
            </w:r>
          </w:p>
        </w:tc>
      </w:tr>
    </w:tbl>
    <w:p>
      <w:pPr>
        <w:sectPr>
          <w:pgSz w:w="11900" w:h="16838" w:orient="portrait"/>
          <w:cols w:equalWidth="0" w:num="1">
            <w:col w:w="9019"/>
          </w:cols>
          <w:pgMar w:left="1440" w:top="1034" w:right="1440" w:bottom="144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60" w:type="dxa"/>
            <w:vAlign w:val="bottom"/>
            <w:gridSpan w:val="5"/>
          </w:tcPr>
          <w:p>
            <w:pPr>
              <w:ind w:left="1280"/>
              <w:spacing w:after="0"/>
              <w:rPr>
                <w:sz w:val="20"/>
                <w:szCs w:val="20"/>
                <w:color w:val="auto"/>
              </w:rPr>
            </w:pPr>
            <w:r>
              <w:rPr>
                <w:rFonts w:ascii="Arial" w:cs="Arial" w:eastAsia="Arial" w:hAnsi="Arial"/>
                <w:sz w:val="16"/>
                <w:szCs w:val="16"/>
                <w:b w:val="1"/>
                <w:bCs w:val="1"/>
                <w:color w:val="auto"/>
              </w:rPr>
              <w:t>Table of Contents</w:t>
            </w:r>
          </w:p>
        </w:tc>
      </w:tr>
      <w:tr>
        <w:trPr>
          <w:trHeight w:val="331"/>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60" w:type="dxa"/>
            <w:vAlign w:val="bottom"/>
            <w:gridSpan w:val="5"/>
          </w:tcPr>
          <w:p>
            <w:pPr>
              <w:jc w:val="center"/>
              <w:ind w:right="3260"/>
              <w:spacing w:after="0"/>
              <w:rPr>
                <w:sz w:val="20"/>
                <w:szCs w:val="20"/>
                <w:color w:val="auto"/>
              </w:rPr>
            </w:pPr>
            <w:r>
              <w:rPr>
                <w:rFonts w:ascii="Arial" w:cs="Arial" w:eastAsia="Arial" w:hAnsi="Arial"/>
                <w:sz w:val="16"/>
                <w:szCs w:val="16"/>
                <w:b w:val="1"/>
                <w:bCs w:val="1"/>
                <w:i w:val="1"/>
                <w:iCs w:val="1"/>
                <w:color w:val="auto"/>
                <w:w w:val="82"/>
              </w:rPr>
              <w:t>Prospectus Supplement</w:t>
            </w:r>
          </w:p>
        </w:tc>
      </w:tr>
      <w:tr>
        <w:trPr>
          <w:trHeight w:val="323"/>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3"/>
              </w:rPr>
              <w:t>Page</w:t>
            </w:r>
          </w:p>
        </w:tc>
      </w:tr>
      <w:tr>
        <w:trPr>
          <w:trHeight w:val="175"/>
        </w:trPr>
        <w:tc>
          <w:tcPr>
            <w:tcW w:w="3740" w:type="dxa"/>
            <w:vAlign w:val="bottom"/>
            <w:gridSpan w:val="10"/>
          </w:tcPr>
          <w:p>
            <w:pPr>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Summary</w:t>
              </w:r>
            </w:hyperlink>
          </w:p>
        </w:tc>
        <w:tc>
          <w:tcPr>
            <w:tcW w:w="6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jc w:val="center"/>
              <w:ind w:right="40"/>
              <w:spacing w:after="0" w:line="175" w:lineRule="exact"/>
              <w:rPr>
                <w:rFonts w:ascii="Arial" w:cs="Arial" w:eastAsia="Arial" w:hAnsi="Arial"/>
                <w:sz w:val="16"/>
                <w:szCs w:val="16"/>
                <w:color w:val="0000FF"/>
                <w:w w:val="88"/>
              </w:rPr>
            </w:pPr>
            <w:hyperlink w:anchor="page6">
              <w:r>
                <w:rPr>
                  <w:rFonts w:ascii="Arial" w:cs="Arial" w:eastAsia="Arial" w:hAnsi="Arial"/>
                  <w:sz w:val="16"/>
                  <w:szCs w:val="16"/>
                  <w:color w:val="0000FF"/>
                  <w:w w:val="88"/>
                </w:rPr>
                <w:t>S-1</w:t>
              </w:r>
            </w:hyperlink>
          </w:p>
        </w:tc>
      </w:tr>
      <w:tr>
        <w:trPr>
          <w:trHeight w:val="20"/>
        </w:trPr>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3740" w:type="dxa"/>
            <w:vAlign w:val="bottom"/>
            <w:gridSpan w:val="10"/>
          </w:tcPr>
          <w:p>
            <w:pPr>
              <w:spacing w:after="0" w:line="181" w:lineRule="exact"/>
              <w:rPr>
                <w:rFonts w:ascii="Arial" w:cs="Arial" w:eastAsia="Arial" w:hAnsi="Arial"/>
                <w:sz w:val="16"/>
                <w:szCs w:val="16"/>
                <w:color w:val="0000FF"/>
              </w:rPr>
            </w:pPr>
            <w:hyperlink w:anchor="page9">
              <w:r>
                <w:rPr>
                  <w:rFonts w:ascii="Arial" w:cs="Arial" w:eastAsia="Arial" w:hAnsi="Arial"/>
                  <w:sz w:val="16"/>
                  <w:szCs w:val="16"/>
                  <w:color w:val="0000FF"/>
                </w:rPr>
                <w:t>Risk Factors</w:t>
              </w:r>
            </w:hyperlink>
          </w:p>
        </w:tc>
        <w:tc>
          <w:tcPr>
            <w:tcW w:w="6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jc w:val="center"/>
              <w:ind w:right="40"/>
              <w:spacing w:after="0" w:line="181" w:lineRule="exact"/>
              <w:rPr>
                <w:rFonts w:ascii="Arial" w:cs="Arial" w:eastAsia="Arial" w:hAnsi="Arial"/>
                <w:sz w:val="16"/>
                <w:szCs w:val="16"/>
                <w:color w:val="0000FF"/>
                <w:w w:val="88"/>
              </w:rPr>
            </w:pPr>
            <w:hyperlink w:anchor="page9">
              <w:r>
                <w:rPr>
                  <w:rFonts w:ascii="Arial" w:cs="Arial" w:eastAsia="Arial" w:hAnsi="Arial"/>
                  <w:sz w:val="16"/>
                  <w:szCs w:val="16"/>
                  <w:color w:val="0000FF"/>
                  <w:w w:val="88"/>
                </w:rPr>
                <w:t>S-4</w:t>
              </w:r>
            </w:hyperlink>
          </w:p>
        </w:tc>
      </w:tr>
      <w:tr>
        <w:trPr>
          <w:trHeight w:val="20"/>
        </w:trPr>
        <w:tc>
          <w:tcPr>
            <w:tcW w:w="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3740" w:type="dxa"/>
            <w:vAlign w:val="bottom"/>
            <w:gridSpan w:val="10"/>
          </w:tcPr>
          <w:p>
            <w:pPr>
              <w:spacing w:after="0" w:line="181" w:lineRule="exact"/>
              <w:rPr>
                <w:rFonts w:ascii="Arial" w:cs="Arial" w:eastAsia="Arial" w:hAnsi="Arial"/>
                <w:sz w:val="16"/>
                <w:szCs w:val="16"/>
                <w:color w:val="0000FF"/>
              </w:rPr>
            </w:pPr>
            <w:hyperlink w:anchor="page13">
              <w:r>
                <w:rPr>
                  <w:rFonts w:ascii="Arial" w:cs="Arial" w:eastAsia="Arial" w:hAnsi="Arial"/>
                  <w:sz w:val="16"/>
                  <w:szCs w:val="16"/>
                  <w:color w:val="0000FF"/>
                </w:rPr>
                <w:t>Forward-Looking Statements</w:t>
              </w:r>
            </w:hyperlink>
          </w:p>
        </w:tc>
        <w:tc>
          <w:tcPr>
            <w:tcW w:w="6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jc w:val="center"/>
              <w:ind w:right="40"/>
              <w:spacing w:after="0" w:line="181" w:lineRule="exact"/>
              <w:rPr>
                <w:rFonts w:ascii="Arial" w:cs="Arial" w:eastAsia="Arial" w:hAnsi="Arial"/>
                <w:sz w:val="16"/>
                <w:szCs w:val="16"/>
                <w:color w:val="0000FF"/>
                <w:w w:val="88"/>
              </w:rPr>
            </w:pPr>
            <w:hyperlink w:anchor="page13">
              <w:r>
                <w:rPr>
                  <w:rFonts w:ascii="Arial" w:cs="Arial" w:eastAsia="Arial" w:hAnsi="Arial"/>
                  <w:sz w:val="16"/>
                  <w:szCs w:val="16"/>
                  <w:color w:val="0000FF"/>
                  <w:w w:val="88"/>
                </w:rPr>
                <w:t>S-8</w:t>
              </w:r>
            </w:hyperlink>
          </w:p>
        </w:tc>
      </w:tr>
      <w:tr>
        <w:trPr>
          <w:trHeight w:val="20"/>
        </w:trPr>
        <w:tc>
          <w:tcPr>
            <w:tcW w:w="8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1020" w:type="dxa"/>
            <w:vAlign w:val="bottom"/>
            <w:tcBorders>
              <w:bottom w:val="single" w:sz="8" w:color="0000FF"/>
            </w:tcBorders>
            <w:gridSpan w:val="5"/>
          </w:tcPr>
          <w:p>
            <w:pPr>
              <w:spacing w:after="0" w:line="181" w:lineRule="exact"/>
              <w:rPr>
                <w:rFonts w:ascii="Arial" w:cs="Arial" w:eastAsia="Arial" w:hAnsi="Arial"/>
                <w:sz w:val="16"/>
                <w:szCs w:val="16"/>
                <w:color w:val="0000FF"/>
                <w:w w:val="84"/>
              </w:rPr>
            </w:pPr>
            <w:hyperlink w:anchor="page15">
              <w:r>
                <w:rPr>
                  <w:rFonts w:ascii="Arial" w:cs="Arial" w:eastAsia="Arial" w:hAnsi="Arial"/>
                  <w:sz w:val="16"/>
                  <w:szCs w:val="16"/>
                  <w:color w:val="0000FF"/>
                  <w:w w:val="84"/>
                </w:rPr>
                <w:t>Use of Proceeds</w:t>
              </w:r>
            </w:hyperlink>
          </w:p>
        </w:tc>
        <w:tc>
          <w:tcPr>
            <w:tcW w:w="820" w:type="dxa"/>
            <w:vAlign w:val="bottom"/>
            <w:gridSpan w:val="3"/>
          </w:tcPr>
          <w:p>
            <w:pPr>
              <w:spacing w:after="0"/>
              <w:rPr>
                <w:sz w:val="15"/>
                <w:szCs w:val="15"/>
                <w:color w:val="auto"/>
              </w:rPr>
            </w:pPr>
          </w:p>
        </w:tc>
        <w:tc>
          <w:tcPr>
            <w:tcW w:w="1900" w:type="dxa"/>
            <w:vAlign w:val="bottom"/>
            <w:gridSpan w:val="2"/>
          </w:tcPr>
          <w:p>
            <w:pPr>
              <w:spacing w:after="0"/>
              <w:rPr>
                <w:sz w:val="15"/>
                <w:szCs w:val="15"/>
                <w:color w:val="auto"/>
              </w:rPr>
            </w:pPr>
          </w:p>
        </w:tc>
        <w:tc>
          <w:tcPr>
            <w:tcW w:w="6960" w:type="dxa"/>
            <w:vAlign w:val="bottom"/>
          </w:tcPr>
          <w:p>
            <w:pPr>
              <w:spacing w:after="0"/>
              <w:rPr>
                <w:sz w:val="15"/>
                <w:szCs w:val="15"/>
                <w:color w:val="auto"/>
              </w:rPr>
            </w:pPr>
          </w:p>
        </w:tc>
        <w:tc>
          <w:tcPr>
            <w:tcW w:w="300" w:type="dxa"/>
            <w:vAlign w:val="bottom"/>
            <w:tcBorders>
              <w:bottom w:val="single" w:sz="8" w:color="0000FF"/>
            </w:tcBorders>
            <w:gridSpan w:val="4"/>
          </w:tcPr>
          <w:p>
            <w:pPr>
              <w:jc w:val="center"/>
              <w:spacing w:after="0" w:line="181" w:lineRule="exact"/>
              <w:rPr>
                <w:rFonts w:ascii="Arial" w:cs="Arial" w:eastAsia="Arial" w:hAnsi="Arial"/>
                <w:sz w:val="16"/>
                <w:szCs w:val="16"/>
                <w:color w:val="0000FF"/>
                <w:w w:val="88"/>
              </w:rPr>
            </w:pPr>
            <w:hyperlink w:anchor="page15">
              <w:r>
                <w:rPr>
                  <w:rFonts w:ascii="Arial" w:cs="Arial" w:eastAsia="Arial" w:hAnsi="Arial"/>
                  <w:sz w:val="16"/>
                  <w:szCs w:val="16"/>
                  <w:color w:val="0000FF"/>
                  <w:w w:val="88"/>
                </w:rPr>
                <w:t>S-10</w:t>
              </w:r>
            </w:hyperlink>
          </w:p>
        </w:tc>
      </w:tr>
      <w:tr>
        <w:trPr>
          <w:trHeight w:val="181"/>
        </w:trPr>
        <w:tc>
          <w:tcPr>
            <w:tcW w:w="1020" w:type="dxa"/>
            <w:vAlign w:val="bottom"/>
            <w:gridSpan w:val="5"/>
          </w:tcPr>
          <w:p>
            <w:pPr>
              <w:spacing w:after="0" w:line="181" w:lineRule="exact"/>
              <w:rPr>
                <w:rFonts w:ascii="Arial" w:cs="Arial" w:eastAsia="Arial" w:hAnsi="Arial"/>
                <w:sz w:val="16"/>
                <w:szCs w:val="16"/>
                <w:color w:val="0000FF"/>
                <w:w w:val="91"/>
              </w:rPr>
            </w:pPr>
            <w:hyperlink w:anchor="page16">
              <w:r>
                <w:rPr>
                  <w:rFonts w:ascii="Arial" w:cs="Arial" w:eastAsia="Arial" w:hAnsi="Arial"/>
                  <w:sz w:val="16"/>
                  <w:szCs w:val="16"/>
                  <w:color w:val="0000FF"/>
                  <w:w w:val="91"/>
                </w:rPr>
                <w:t>Dividend Policy</w:t>
              </w:r>
            </w:hyperlink>
          </w:p>
        </w:tc>
        <w:tc>
          <w:tcPr>
            <w:tcW w:w="2720" w:type="dxa"/>
            <w:vAlign w:val="bottom"/>
            <w:gridSpan w:val="5"/>
          </w:tcPr>
          <w:p>
            <w:pPr>
              <w:spacing w:after="0"/>
              <w:rPr>
                <w:sz w:val="15"/>
                <w:szCs w:val="15"/>
                <w:color w:val="auto"/>
              </w:rPr>
            </w:pPr>
          </w:p>
        </w:tc>
        <w:tc>
          <w:tcPr>
            <w:tcW w:w="6960" w:type="dxa"/>
            <w:vAlign w:val="bottom"/>
          </w:tcPr>
          <w:p>
            <w:pPr>
              <w:spacing w:after="0"/>
              <w:rPr>
                <w:sz w:val="15"/>
                <w:szCs w:val="15"/>
                <w:color w:val="auto"/>
              </w:rPr>
            </w:pPr>
          </w:p>
        </w:tc>
        <w:tc>
          <w:tcPr>
            <w:tcW w:w="300" w:type="dxa"/>
            <w:vAlign w:val="bottom"/>
            <w:gridSpan w:val="4"/>
          </w:tcPr>
          <w:p>
            <w:pPr>
              <w:jc w:val="center"/>
              <w:ind w:right="20"/>
              <w:spacing w:after="0" w:line="181" w:lineRule="exact"/>
              <w:rPr>
                <w:rFonts w:ascii="Arial" w:cs="Arial" w:eastAsia="Arial" w:hAnsi="Arial"/>
                <w:sz w:val="16"/>
                <w:szCs w:val="16"/>
                <w:color w:val="0000FF"/>
                <w:w w:val="82"/>
              </w:rPr>
            </w:pPr>
            <w:hyperlink w:anchor="page16">
              <w:r>
                <w:rPr>
                  <w:rFonts w:ascii="Arial" w:cs="Arial" w:eastAsia="Arial" w:hAnsi="Arial"/>
                  <w:sz w:val="16"/>
                  <w:szCs w:val="16"/>
                  <w:color w:val="0000FF"/>
                  <w:w w:val="82"/>
                </w:rPr>
                <w:t>S-11</w:t>
              </w:r>
            </w:hyperlink>
          </w:p>
        </w:tc>
      </w:tr>
      <w:tr>
        <w:trPr>
          <w:trHeight w:val="20"/>
        </w:trPr>
        <w:tc>
          <w:tcPr>
            <w:tcW w:w="8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1300" w:type="dxa"/>
            <w:vAlign w:val="bottom"/>
            <w:tcBorders>
              <w:bottom w:val="single" w:sz="8" w:color="0000FF"/>
            </w:tcBorders>
            <w:gridSpan w:val="6"/>
          </w:tcPr>
          <w:p>
            <w:pPr>
              <w:spacing w:after="0" w:line="181" w:lineRule="exact"/>
              <w:rPr>
                <w:rFonts w:ascii="Arial" w:cs="Arial" w:eastAsia="Arial" w:hAnsi="Arial"/>
                <w:sz w:val="16"/>
                <w:szCs w:val="16"/>
                <w:color w:val="0000FF"/>
                <w:w w:val="88"/>
              </w:rPr>
            </w:pPr>
            <w:hyperlink w:anchor="page18">
              <w:r>
                <w:rPr>
                  <w:rFonts w:ascii="Arial" w:cs="Arial" w:eastAsia="Arial" w:hAnsi="Arial"/>
                  <w:sz w:val="16"/>
                  <w:szCs w:val="16"/>
                  <w:color w:val="0000FF"/>
                  <w:w w:val="88"/>
                </w:rPr>
                <w:t>Selling Stockholders</w:t>
              </w:r>
            </w:hyperlink>
          </w:p>
        </w:tc>
        <w:tc>
          <w:tcPr>
            <w:tcW w:w="2440" w:type="dxa"/>
            <w:vAlign w:val="bottom"/>
            <w:gridSpan w:val="4"/>
          </w:tcPr>
          <w:p>
            <w:pPr>
              <w:spacing w:after="0"/>
              <w:rPr>
                <w:sz w:val="15"/>
                <w:szCs w:val="15"/>
                <w:color w:val="auto"/>
              </w:rPr>
            </w:pPr>
          </w:p>
        </w:tc>
        <w:tc>
          <w:tcPr>
            <w:tcW w:w="6960" w:type="dxa"/>
            <w:vAlign w:val="bottom"/>
          </w:tcPr>
          <w:p>
            <w:pPr>
              <w:spacing w:after="0"/>
              <w:rPr>
                <w:sz w:val="15"/>
                <w:szCs w:val="15"/>
                <w:color w:val="auto"/>
              </w:rPr>
            </w:pPr>
          </w:p>
        </w:tc>
        <w:tc>
          <w:tcPr>
            <w:tcW w:w="300" w:type="dxa"/>
            <w:vAlign w:val="bottom"/>
            <w:tcBorders>
              <w:bottom w:val="single" w:sz="8" w:color="0000FF"/>
            </w:tcBorders>
            <w:gridSpan w:val="4"/>
          </w:tcPr>
          <w:p>
            <w:pPr>
              <w:jc w:val="center"/>
              <w:spacing w:after="0" w:line="181" w:lineRule="exact"/>
              <w:rPr>
                <w:rFonts w:ascii="Arial" w:cs="Arial" w:eastAsia="Arial" w:hAnsi="Arial"/>
                <w:sz w:val="16"/>
                <w:szCs w:val="16"/>
                <w:color w:val="0000FF"/>
                <w:w w:val="88"/>
              </w:rPr>
            </w:pPr>
            <w:hyperlink w:anchor="page18">
              <w:r>
                <w:rPr>
                  <w:rFonts w:ascii="Arial" w:cs="Arial" w:eastAsia="Arial" w:hAnsi="Arial"/>
                  <w:sz w:val="16"/>
                  <w:szCs w:val="16"/>
                  <w:color w:val="0000FF"/>
                  <w:w w:val="88"/>
                </w:rPr>
                <w:t>S-13</w:t>
              </w:r>
            </w:hyperlink>
          </w:p>
        </w:tc>
      </w:tr>
      <w:tr>
        <w:trPr>
          <w:trHeight w:val="181"/>
        </w:trPr>
        <w:tc>
          <w:tcPr>
            <w:tcW w:w="840" w:type="dxa"/>
            <w:vAlign w:val="bottom"/>
            <w:tcBorders>
              <w:bottom w:val="single" w:sz="8" w:color="0000FF"/>
            </w:tcBorders>
            <w:gridSpan w:val="3"/>
          </w:tcPr>
          <w:p>
            <w:pPr>
              <w:spacing w:after="0" w:line="181" w:lineRule="exact"/>
              <w:rPr>
                <w:rFonts w:ascii="Arial" w:cs="Arial" w:eastAsia="Arial" w:hAnsi="Arial"/>
                <w:sz w:val="16"/>
                <w:szCs w:val="16"/>
                <w:color w:val="0000FF"/>
                <w:w w:val="91"/>
              </w:rPr>
            </w:pPr>
            <w:hyperlink w:anchor="page25">
              <w:r>
                <w:rPr>
                  <w:rFonts w:ascii="Arial" w:cs="Arial" w:eastAsia="Arial" w:hAnsi="Arial"/>
                  <w:sz w:val="16"/>
                  <w:szCs w:val="16"/>
                  <w:color w:val="0000FF"/>
                  <w:w w:val="91"/>
                </w:rPr>
                <w:t>Underwriting</w:t>
              </w:r>
            </w:hyperlink>
          </w:p>
        </w:tc>
        <w:tc>
          <w:tcPr>
            <w:tcW w:w="2900" w:type="dxa"/>
            <w:vAlign w:val="bottom"/>
            <w:gridSpan w:val="7"/>
          </w:tcPr>
          <w:p>
            <w:pPr>
              <w:spacing w:after="0"/>
              <w:rPr>
                <w:sz w:val="15"/>
                <w:szCs w:val="15"/>
                <w:color w:val="auto"/>
              </w:rPr>
            </w:pPr>
          </w:p>
        </w:tc>
        <w:tc>
          <w:tcPr>
            <w:tcW w:w="6960" w:type="dxa"/>
            <w:vAlign w:val="bottom"/>
          </w:tcPr>
          <w:p>
            <w:pPr>
              <w:spacing w:after="0"/>
              <w:rPr>
                <w:sz w:val="15"/>
                <w:szCs w:val="15"/>
                <w:color w:val="auto"/>
              </w:rPr>
            </w:pPr>
          </w:p>
        </w:tc>
        <w:tc>
          <w:tcPr>
            <w:tcW w:w="300" w:type="dxa"/>
            <w:vAlign w:val="bottom"/>
            <w:tcBorders>
              <w:bottom w:val="single" w:sz="8" w:color="0000FF"/>
            </w:tcBorders>
            <w:gridSpan w:val="4"/>
          </w:tcPr>
          <w:p>
            <w:pPr>
              <w:jc w:val="center"/>
              <w:spacing w:after="0" w:line="181" w:lineRule="exact"/>
              <w:rPr>
                <w:rFonts w:ascii="Arial" w:cs="Arial" w:eastAsia="Arial" w:hAnsi="Arial"/>
                <w:sz w:val="16"/>
                <w:szCs w:val="16"/>
                <w:color w:val="0000FF"/>
                <w:w w:val="88"/>
              </w:rPr>
            </w:pPr>
            <w:hyperlink w:anchor="page25">
              <w:r>
                <w:rPr>
                  <w:rFonts w:ascii="Arial" w:cs="Arial" w:eastAsia="Arial" w:hAnsi="Arial"/>
                  <w:sz w:val="16"/>
                  <w:szCs w:val="16"/>
                  <w:color w:val="0000FF"/>
                  <w:w w:val="88"/>
                </w:rPr>
                <w:t>S-20</w:t>
              </w:r>
            </w:hyperlink>
          </w:p>
        </w:tc>
      </w:tr>
      <w:tr>
        <w:trPr>
          <w:trHeight w:val="181"/>
        </w:trPr>
        <w:tc>
          <w:tcPr>
            <w:tcW w:w="880" w:type="dxa"/>
            <w:vAlign w:val="bottom"/>
            <w:tcBorders>
              <w:bottom w:val="single" w:sz="8" w:color="0000FF"/>
            </w:tcBorders>
            <w:gridSpan w:val="4"/>
          </w:tcPr>
          <w:p>
            <w:pPr>
              <w:spacing w:after="0" w:line="181" w:lineRule="exact"/>
              <w:rPr>
                <w:rFonts w:ascii="Arial" w:cs="Arial" w:eastAsia="Arial" w:hAnsi="Arial"/>
                <w:sz w:val="16"/>
                <w:szCs w:val="16"/>
                <w:color w:val="0000FF"/>
                <w:w w:val="88"/>
              </w:rPr>
            </w:pPr>
            <w:hyperlink w:anchor="page32">
              <w:r>
                <w:rPr>
                  <w:rFonts w:ascii="Arial" w:cs="Arial" w:eastAsia="Arial" w:hAnsi="Arial"/>
                  <w:sz w:val="16"/>
                  <w:szCs w:val="16"/>
                  <w:color w:val="0000FF"/>
                  <w:w w:val="88"/>
                </w:rPr>
                <w:t>Legal Matters</w:t>
              </w:r>
            </w:hyperlink>
          </w:p>
        </w:tc>
        <w:tc>
          <w:tcPr>
            <w:tcW w:w="2860" w:type="dxa"/>
            <w:vAlign w:val="bottom"/>
            <w:gridSpan w:val="6"/>
          </w:tcPr>
          <w:p>
            <w:pPr>
              <w:spacing w:after="0"/>
              <w:rPr>
                <w:sz w:val="15"/>
                <w:szCs w:val="15"/>
                <w:color w:val="auto"/>
              </w:rPr>
            </w:pPr>
          </w:p>
        </w:tc>
        <w:tc>
          <w:tcPr>
            <w:tcW w:w="6960" w:type="dxa"/>
            <w:vAlign w:val="bottom"/>
          </w:tcPr>
          <w:p>
            <w:pPr>
              <w:spacing w:after="0"/>
              <w:rPr>
                <w:sz w:val="15"/>
                <w:szCs w:val="15"/>
                <w:color w:val="auto"/>
              </w:rPr>
            </w:pPr>
          </w:p>
        </w:tc>
        <w:tc>
          <w:tcPr>
            <w:tcW w:w="300" w:type="dxa"/>
            <w:vAlign w:val="bottom"/>
            <w:tcBorders>
              <w:bottom w:val="single" w:sz="8" w:color="0000FF"/>
            </w:tcBorders>
            <w:gridSpan w:val="4"/>
          </w:tcPr>
          <w:p>
            <w:pPr>
              <w:jc w:val="center"/>
              <w:spacing w:after="0" w:line="181" w:lineRule="exact"/>
              <w:rPr>
                <w:rFonts w:ascii="Arial" w:cs="Arial" w:eastAsia="Arial" w:hAnsi="Arial"/>
                <w:sz w:val="16"/>
                <w:szCs w:val="16"/>
                <w:color w:val="0000FF"/>
                <w:w w:val="88"/>
              </w:rPr>
            </w:pPr>
            <w:hyperlink w:anchor="page32">
              <w:r>
                <w:rPr>
                  <w:rFonts w:ascii="Arial" w:cs="Arial" w:eastAsia="Arial" w:hAnsi="Arial"/>
                  <w:sz w:val="16"/>
                  <w:szCs w:val="16"/>
                  <w:color w:val="0000FF"/>
                  <w:w w:val="88"/>
                </w:rPr>
                <w:t>S-27</w:t>
              </w:r>
            </w:hyperlink>
          </w:p>
        </w:tc>
      </w:tr>
      <w:tr>
        <w:trPr>
          <w:trHeight w:val="181"/>
        </w:trPr>
        <w:tc>
          <w:tcPr>
            <w:tcW w:w="3740" w:type="dxa"/>
            <w:vAlign w:val="bottom"/>
            <w:gridSpan w:val="10"/>
          </w:tcPr>
          <w:p>
            <w:pPr>
              <w:spacing w:after="0" w:line="181" w:lineRule="exact"/>
              <w:rPr>
                <w:rFonts w:ascii="Arial" w:cs="Arial" w:eastAsia="Arial" w:hAnsi="Arial"/>
                <w:sz w:val="16"/>
                <w:szCs w:val="16"/>
                <w:color w:val="0000FF"/>
              </w:rPr>
            </w:pPr>
            <w:hyperlink w:anchor="page33">
              <w:r>
                <w:rPr>
                  <w:rFonts w:ascii="Arial" w:cs="Arial" w:eastAsia="Arial" w:hAnsi="Arial"/>
                  <w:sz w:val="16"/>
                  <w:szCs w:val="16"/>
                  <w:color w:val="0000FF"/>
                </w:rPr>
                <w:t>Where You Can Find More Information</w:t>
              </w:r>
            </w:hyperlink>
          </w:p>
        </w:tc>
        <w:tc>
          <w:tcPr>
            <w:tcW w:w="6960" w:type="dxa"/>
            <w:vAlign w:val="bottom"/>
          </w:tcPr>
          <w:p>
            <w:pPr>
              <w:spacing w:after="0"/>
              <w:rPr>
                <w:sz w:val="15"/>
                <w:szCs w:val="15"/>
                <w:color w:val="auto"/>
              </w:rPr>
            </w:pPr>
          </w:p>
        </w:tc>
        <w:tc>
          <w:tcPr>
            <w:tcW w:w="300" w:type="dxa"/>
            <w:vAlign w:val="bottom"/>
            <w:gridSpan w:val="4"/>
          </w:tcPr>
          <w:p>
            <w:pPr>
              <w:jc w:val="center"/>
              <w:spacing w:after="0" w:line="181" w:lineRule="exact"/>
              <w:rPr>
                <w:rFonts w:ascii="Arial" w:cs="Arial" w:eastAsia="Arial" w:hAnsi="Arial"/>
                <w:sz w:val="16"/>
                <w:szCs w:val="16"/>
                <w:color w:val="0000FF"/>
                <w:w w:val="88"/>
              </w:rPr>
            </w:pPr>
            <w:hyperlink w:anchor="page33">
              <w:r>
                <w:rPr>
                  <w:rFonts w:ascii="Arial" w:cs="Arial" w:eastAsia="Arial" w:hAnsi="Arial"/>
                  <w:sz w:val="16"/>
                  <w:szCs w:val="16"/>
                  <w:color w:val="0000FF"/>
                  <w:w w:val="88"/>
                </w:rPr>
                <w:t>S-27</w:t>
              </w:r>
            </w:hyperlink>
          </w:p>
        </w:tc>
      </w:tr>
      <w:tr>
        <w:trPr>
          <w:trHeight w:val="181"/>
        </w:trPr>
        <w:tc>
          <w:tcPr>
            <w:tcW w:w="2500" w:type="dxa"/>
            <w:vAlign w:val="bottom"/>
            <w:tcBorders>
              <w:top w:val="single" w:sz="8" w:color="0000FF"/>
            </w:tcBorders>
            <w:gridSpan w:val="9"/>
          </w:tcPr>
          <w:p>
            <w:pPr>
              <w:spacing w:after="0" w:line="181" w:lineRule="exact"/>
              <w:rPr>
                <w:rFonts w:ascii="Arial" w:cs="Arial" w:eastAsia="Arial" w:hAnsi="Arial"/>
                <w:sz w:val="16"/>
                <w:szCs w:val="16"/>
                <w:color w:val="0000FF"/>
              </w:rPr>
            </w:pPr>
            <w:hyperlink w:anchor="page33">
              <w:r>
                <w:rPr>
                  <w:rFonts w:ascii="Arial" w:cs="Arial" w:eastAsia="Arial" w:hAnsi="Arial"/>
                  <w:sz w:val="16"/>
                  <w:szCs w:val="16"/>
                  <w:color w:val="0000FF"/>
                </w:rPr>
                <w:t>Incorporation by Reference</w:t>
              </w:r>
            </w:hyperlink>
          </w:p>
        </w:tc>
        <w:tc>
          <w:tcPr>
            <w:tcW w:w="124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300" w:type="dxa"/>
            <w:vAlign w:val="bottom"/>
            <w:tcBorders>
              <w:top w:val="single" w:sz="8" w:color="0000FF"/>
            </w:tcBorders>
            <w:gridSpan w:val="4"/>
          </w:tcPr>
          <w:p>
            <w:pPr>
              <w:jc w:val="center"/>
              <w:spacing w:after="0" w:line="181" w:lineRule="exact"/>
              <w:rPr>
                <w:rFonts w:ascii="Arial" w:cs="Arial" w:eastAsia="Arial" w:hAnsi="Arial"/>
                <w:sz w:val="16"/>
                <w:szCs w:val="16"/>
                <w:color w:val="0000FF"/>
                <w:w w:val="88"/>
              </w:rPr>
            </w:pPr>
            <w:hyperlink w:anchor="page33">
              <w:r>
                <w:rPr>
                  <w:rFonts w:ascii="Arial" w:cs="Arial" w:eastAsia="Arial" w:hAnsi="Arial"/>
                  <w:sz w:val="16"/>
                  <w:szCs w:val="16"/>
                  <w:color w:val="0000FF"/>
                  <w:w w:val="88"/>
                </w:rPr>
                <w:t>S-27</w:t>
              </w:r>
            </w:hyperlink>
          </w:p>
        </w:tc>
      </w:tr>
      <w:tr>
        <w:trPr>
          <w:trHeight w:val="333"/>
        </w:trPr>
        <w:tc>
          <w:tcPr>
            <w:tcW w:w="6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60" w:type="dxa"/>
            <w:vAlign w:val="bottom"/>
          </w:tcPr>
          <w:p>
            <w:pPr>
              <w:jc w:val="center"/>
              <w:ind w:right="2861"/>
              <w:spacing w:after="0"/>
              <w:rPr>
                <w:sz w:val="20"/>
                <w:szCs w:val="20"/>
                <w:color w:val="auto"/>
              </w:rPr>
            </w:pPr>
            <w:r>
              <w:rPr>
                <w:rFonts w:ascii="Arial" w:cs="Arial" w:eastAsia="Arial" w:hAnsi="Arial"/>
                <w:sz w:val="16"/>
                <w:szCs w:val="16"/>
                <w:b w:val="1"/>
                <w:bCs w:val="1"/>
                <w:i w:val="1"/>
                <w:iCs w:val="1"/>
                <w:color w:val="auto"/>
                <w:w w:val="80"/>
              </w:rPr>
              <w:t>Prospectus</w:t>
            </w:r>
          </w:p>
        </w:tc>
        <w:tc>
          <w:tcPr>
            <w:tcW w:w="300" w:type="dxa"/>
            <w:vAlign w:val="bottom"/>
            <w:tcBorders>
              <w:top w:val="single" w:sz="8" w:color="0000FF"/>
            </w:tcBorders>
            <w:gridSpan w:val="4"/>
          </w:tcPr>
          <w:p>
            <w:pPr>
              <w:spacing w:after="0"/>
              <w:rPr>
                <w:sz w:val="24"/>
                <w:szCs w:val="24"/>
                <w:color w:val="auto"/>
              </w:rPr>
            </w:pPr>
          </w:p>
        </w:tc>
      </w:tr>
      <w:tr>
        <w:trPr>
          <w:trHeight w:val="193"/>
        </w:trPr>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3"/>
              </w:rPr>
              <w:t>Page</w:t>
            </w:r>
          </w:p>
        </w:tc>
      </w:tr>
      <w:tr>
        <w:trPr>
          <w:trHeight w:val="233"/>
        </w:trPr>
        <w:tc>
          <w:tcPr>
            <w:tcW w:w="3740" w:type="dxa"/>
            <w:vAlign w:val="bottom"/>
            <w:gridSpan w:val="10"/>
          </w:tcPr>
          <w:p>
            <w:pPr>
              <w:spacing w:after="0"/>
              <w:rPr>
                <w:sz w:val="20"/>
                <w:szCs w:val="20"/>
                <w:color w:val="auto"/>
              </w:rPr>
            </w:pPr>
            <w:r>
              <w:rPr>
                <w:rFonts w:ascii="Arial" w:cs="Arial" w:eastAsia="Arial" w:hAnsi="Arial"/>
                <w:sz w:val="16"/>
                <w:szCs w:val="16"/>
                <w:color w:val="auto"/>
              </w:rPr>
              <w:t>ZoomInfo</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Risk Factors</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Forward-Looking Statements</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Market and Industry Data</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Use of Proceeds</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Selling Stockholders</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Description of Capital Stock</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Plan of Distribution</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Legal Matters</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Experts</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Where You Can Find More Information</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gridSpan w:val="10"/>
          </w:tcPr>
          <w:p>
            <w:pPr>
              <w:spacing w:after="0"/>
              <w:rPr>
                <w:sz w:val="20"/>
                <w:szCs w:val="20"/>
                <w:color w:val="auto"/>
              </w:rPr>
            </w:pPr>
            <w:r>
              <w:rPr>
                <w:rFonts w:ascii="Arial" w:cs="Arial" w:eastAsia="Arial" w:hAnsi="Arial"/>
                <w:sz w:val="16"/>
                <w:szCs w:val="16"/>
                <w:color w:val="auto"/>
              </w:rPr>
              <w:t>Incorporation by Reference</w:t>
            </w:r>
          </w:p>
        </w:tc>
        <w:tc>
          <w:tcPr>
            <w:tcW w:w="7220" w:type="dxa"/>
            <w:vAlign w:val="bottom"/>
            <w:gridSpan w:val="3"/>
          </w:tcPr>
          <w:p>
            <w:pPr>
              <w:jc w:val="center"/>
              <w:ind w:left="6901"/>
              <w:spacing w:after="0"/>
              <w:rPr>
                <w:sz w:val="20"/>
                <w:szCs w:val="20"/>
                <w:color w:val="auto"/>
              </w:rPr>
            </w:pPr>
            <w:r>
              <w:rPr>
                <w:rFonts w:ascii="Arial" w:cs="Arial" w:eastAsia="Arial" w:hAnsi="Arial"/>
                <w:sz w:val="16"/>
                <w:szCs w:val="16"/>
                <w:color w:val="auto"/>
                <w:w w:val="89"/>
              </w:rPr>
              <w:t>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165735</wp:posOffset>
            </wp:positionV>
            <wp:extent cx="14192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This document consists of two parts. The first part is this prospectus supplement, which describes the specific terms of this offering. The second part, the accompanying prospectus,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23"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If information in this prospectus supplement is inconsistent with the accompanying prospectus, you should rely on this prospectus supplement. This prospectus supplement and the accompanying prospectus include important information about us, the shares of Class A common Stock being offered and other information you should know before investing in the shares of Class A common stock.</w:t>
      </w:r>
    </w:p>
    <w:p>
      <w:pPr>
        <w:spacing w:after="0" w:line="119"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You should rely only on the information contained or incorporated by reference in this prospectus supplement, the accompanying prospectus, any amendment or supplement to this prospectus supplement or the accompanying prospectus, or any free writing prospectus we may authorize to be delivered or made available to you. This prospectus is an offer to sell only the shares offered hereby, but only under the circumstances and in jurisdictions where it is lawful to do so. Neither we, the selling stockholders, nor the underwriter has authorized anyone to provide you with information different from that contained or incorporated by reference in this prospectus, any</w:t>
      </w:r>
    </w:p>
    <w:p>
      <w:pPr>
        <w:sectPr>
          <w:pgSz w:w="11900" w:h="16838" w:orient="portrait"/>
          <w:cols w:equalWidth="0" w:num="1">
            <w:col w:w="11260"/>
          </w:cols>
          <w:pgMar w:left="320" w:top="1258" w:right="319" w:bottom="1440" w:gutter="0" w:footer="0" w:header="0"/>
        </w:sectPr>
      </w:pPr>
    </w:p>
    <w:bookmarkStart w:id="2" w:name="page3"/>
    <w:bookmarkEnd w:id="2"/>
    <w:p>
      <w:pPr>
        <w:jc w:val="both"/>
        <w:ind w:right="20"/>
        <w:spacing w:after="0" w:line="251" w:lineRule="auto"/>
        <w:rPr>
          <w:sz w:val="20"/>
          <w:szCs w:val="20"/>
          <w:color w:val="auto"/>
        </w:rPr>
      </w:pPr>
      <w:r>
        <w:rPr>
          <w:rFonts w:ascii="Arial" w:cs="Arial" w:eastAsia="Arial" w:hAnsi="Arial"/>
          <w:sz w:val="16"/>
          <w:szCs w:val="16"/>
          <w:color w:val="auto"/>
        </w:rPr>
        <w:t>amendment or supplement to this prospectus, or any free writing prospectus prepared by us or on our behalf. Neither we, the selling stockholders, nor the underwriter takes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23"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This prospectus supplement is a part of a registration statement on Form S-3 that we filed with the Securities and Exchange Commission (the “SEC”) using a “shelf” registration or continuous offering process. Under this shelf process, the selling stockholders may from time to time sell shares of our common stock covered by the accompanying prospectus. You should read this prospectus before deciding to invest in shares of our common stock. You may obtain this information without charge by following the instructions under “Where You Can Find More Information” appearing elsewhere in this prospectus supplement.</w:t>
      </w:r>
    </w:p>
    <w:p>
      <w:pPr>
        <w:spacing w:after="0" w:line="119"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b w:val="1"/>
          <w:bCs w:val="1"/>
          <w:color w:val="auto"/>
        </w:rPr>
        <w:t>For Investors Outside the United States</w:t>
      </w:r>
      <w:r>
        <w:rPr>
          <w:rFonts w:ascii="Arial" w:cs="Arial" w:eastAsia="Arial" w:hAnsi="Arial"/>
          <w:sz w:val="16"/>
          <w:szCs w:val="16"/>
          <w:color w:val="auto"/>
        </w:rPr>
        <w:t>: The selling stockholders and the underwriter are offering to sell, and seeking offers to buy, shares of our Class A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only in jurisdictions where offers and sales are permitted. Neither we, the selling stockholders, nor the underwriter has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60"/>
          </w:cols>
          <w:pgMar w:left="320" w:top="1262"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About this Prospectus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 Presentation</w:t>
      </w:r>
    </w:p>
    <w:p>
      <w:pPr>
        <w:spacing w:after="0" w:line="151"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4"/>
          <w:szCs w:val="14"/>
          <w:color w:val="auto"/>
        </w:rPr>
        <w:t>This prospectus and the documents incorporated by reference herein include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100"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22"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Definitions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used in this prospectus, unless otherwise noted or the context requires otherwise:</w:t>
      </w:r>
    </w:p>
    <w:p>
      <w:pPr>
        <w:spacing w:after="0" w:line="147" w:lineRule="exact"/>
        <w:rPr>
          <w:sz w:val="20"/>
          <w:szCs w:val="20"/>
          <w:color w:val="auto"/>
        </w:rPr>
      </w:pPr>
    </w:p>
    <w:p>
      <w:pPr>
        <w:ind w:left="560" w:hanging="282"/>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“22C Capital” refers to investment funds associated with 22C Capital LLC and its predecessor.</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“Annual Report” refers to our annual report on Form 10-K for the fiscal year ended December 31, 2020, filed on February 26, 2021.</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“Carlyle” refers to investment funds associated with The Carlyle Group, Inc.</w:t>
      </w:r>
    </w:p>
    <w:p>
      <w:pPr>
        <w:spacing w:after="0" w:line="147" w:lineRule="exact"/>
        <w:rPr>
          <w:rFonts w:ascii="Arial" w:cs="Arial" w:eastAsia="Arial" w:hAnsi="Arial"/>
          <w:sz w:val="16"/>
          <w:szCs w:val="16"/>
          <w:color w:val="auto"/>
        </w:rPr>
      </w:pPr>
    </w:p>
    <w:p>
      <w:pPr>
        <w:jc w:val="both"/>
        <w:ind w:left="560" w:hanging="282"/>
        <w:spacing w:after="0" w:line="257" w:lineRule="auto"/>
        <w:tabs>
          <w:tab w:leader="none" w:pos="556"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118"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109"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2"/>
        </w:numPr>
        <w:rPr>
          <w:rFonts w:ascii="Arial" w:cs="Arial" w:eastAsia="Arial" w:hAnsi="Arial"/>
          <w:sz w:val="16"/>
          <w:szCs w:val="16"/>
          <w:color w:val="auto"/>
        </w:rPr>
      </w:pPr>
      <w:r>
        <w:rPr>
          <w:rFonts w:ascii="Arial" w:cs="Arial" w:eastAsia="Arial" w:hAnsi="Arial"/>
          <w:sz w:val="16"/>
          <w:szCs w:val="16"/>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“Exchange Tax Receivable Agreement” refers to the tax receivable agreement entered into with certain Pre-IPO OpCo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60"/>
          </w:cols>
          <w:pgMar w:left="320" w:top="1258" w:right="319" w:bottom="1440" w:gutter="0" w:footer="0" w:header="0"/>
        </w:sectPr>
      </w:pPr>
    </w:p>
    <w:bookmarkStart w:id="4" w:name="page5"/>
    <w:bookmarkEnd w:id="4"/>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“Founders” refers to Henry Schuck, our Chief Executive Officer, and Kirk Brown.</w:t>
      </w:r>
    </w:p>
    <w:p>
      <w:pPr>
        <w:spacing w:after="0" w:line="147"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109"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109" w:lineRule="exact"/>
        <w:rPr>
          <w:rFonts w:ascii="Arial" w:cs="Arial" w:eastAsia="Arial" w:hAnsi="Arial"/>
          <w:sz w:val="16"/>
          <w:szCs w:val="16"/>
          <w:color w:val="auto"/>
        </w:rPr>
      </w:pPr>
    </w:p>
    <w:p>
      <w:pPr>
        <w:jc w:val="both"/>
        <w:ind w:left="282" w:right="20" w:hanging="282"/>
        <w:spacing w:after="0" w:line="253"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123" w:lineRule="exact"/>
        <w:rPr>
          <w:rFonts w:ascii="Arial" w:cs="Arial" w:eastAsia="Arial" w:hAnsi="Arial"/>
          <w:sz w:val="16"/>
          <w:szCs w:val="16"/>
          <w:color w:val="auto"/>
        </w:rPr>
      </w:pPr>
    </w:p>
    <w:p>
      <w:pPr>
        <w:ind w:left="282" w:right="20" w:hanging="282"/>
        <w:spacing w:after="0" w:line="268"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109"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“Pre-IPO Blocker Holders” refers to the pre-IPO owners that held their interests in us through the Blocker Companies immediately prior to the consummation of the IPO.</w:t>
      </w:r>
    </w:p>
    <w:p>
      <w:pPr>
        <w:spacing w:after="0" w:line="109"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“Pre-IPO HoldCo Unitholders” refers to the pre-IPO owners that held HoldCo Units immediately prior to the consummation of the IPO.</w:t>
      </w:r>
    </w:p>
    <w:p>
      <w:pPr>
        <w:spacing w:after="0" w:line="147"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“Pre-IPO OpCo Unitholders” refers to the pre-IPO owners that held OpCo Units immediately prior to the consummation of the IPO.</w:t>
      </w:r>
    </w:p>
    <w:p>
      <w:pPr>
        <w:spacing w:after="0" w:line="147" w:lineRule="exact"/>
        <w:rPr>
          <w:rFonts w:ascii="Arial" w:cs="Arial" w:eastAsia="Arial" w:hAnsi="Arial"/>
          <w:sz w:val="16"/>
          <w:szCs w:val="16"/>
          <w:color w:val="auto"/>
        </w:rPr>
      </w:pPr>
    </w:p>
    <w:p>
      <w:pPr>
        <w:ind w:left="282" w:right="20" w:hanging="282"/>
        <w:spacing w:after="0" w:line="268"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“pre-IPO owners” refers, collectively, to the Sponsors, the Founders, and the management and other equity holders who were the owners of ZoomInfo OpCo immediately prior to the Transactions (as defined herein).</w:t>
      </w:r>
    </w:p>
    <w:p>
      <w:pPr>
        <w:spacing w:after="0" w:line="109"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“Proxy Statement” refers to our definitive proxy statement on Schedule 14A in connection with our 2021 annual meeting of stockholders filed on March 16, 2021.</w:t>
      </w:r>
    </w:p>
    <w:p>
      <w:pPr>
        <w:spacing w:after="0" w:line="158" w:lineRule="exact"/>
        <w:rPr>
          <w:rFonts w:ascii="Arial" w:cs="Arial" w:eastAsia="Arial" w:hAnsi="Arial"/>
          <w:sz w:val="15"/>
          <w:szCs w:val="15"/>
          <w:color w:val="auto"/>
        </w:rPr>
      </w:pPr>
    </w:p>
    <w:p>
      <w:pPr>
        <w:ind w:left="282" w:right="20" w:hanging="282"/>
        <w:spacing w:after="0" w:line="268"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“Quarterly Reports” refers to our quarterly reports on Form 10-Q for the quarterly periods ended March 31, 2021, filed on May 3, 2021, and June 30, 2021, filed on August 2, 2021.</w:t>
      </w:r>
    </w:p>
    <w:p>
      <w:pPr>
        <w:spacing w:after="0" w:line="109"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“Reorganization Tax Receivable Agreement” refers to the tax receivable agreement entered into with the Pre-IPO Blocker Holders.</w:t>
      </w:r>
    </w:p>
    <w:p>
      <w:pPr>
        <w:spacing w:after="0" w:line="147" w:lineRule="exact"/>
        <w:rPr>
          <w:rFonts w:ascii="Arial" w:cs="Arial" w:eastAsia="Arial" w:hAnsi="Arial"/>
          <w:sz w:val="16"/>
          <w:szCs w:val="16"/>
          <w:color w:val="auto"/>
        </w:rPr>
      </w:pPr>
    </w:p>
    <w:p>
      <w:pPr>
        <w:jc w:val="both"/>
        <w:ind w:left="282" w:hanging="282"/>
        <w:spacing w:after="0" w:line="282" w:lineRule="auto"/>
        <w:tabs>
          <w:tab w:leader="none" w:pos="278" w:val="left"/>
        </w:tabs>
        <w:numPr>
          <w:ilvl w:val="0"/>
          <w:numId w:val="3"/>
        </w:numPr>
        <w:rPr>
          <w:rFonts w:ascii="Arial" w:cs="Arial" w:eastAsia="Arial" w:hAnsi="Arial"/>
          <w:sz w:val="15"/>
          <w:szCs w:val="15"/>
          <w:color w:val="auto"/>
        </w:rPr>
      </w:pPr>
      <w:r>
        <w:rPr>
          <w:rFonts w:ascii="Arial" w:cs="Arial" w:eastAsia="Arial" w:hAnsi="Arial"/>
          <w:sz w:val="15"/>
          <w:szCs w:val="15"/>
          <w:color w:val="auto"/>
        </w:rPr>
        <w:t>“Secondary Offerings” refers to (i) the offering by certain selling stockholders, including entities affiliated with the Sponsors, of 17,179,135 shares of Class A common stock of ZoomInfo Technologies Inc. completed on August 24, 2020; and (ii) the offering by certain selling stockholders, including entities affiliated with the Sponsors, of 14,375,000 shares of Class A common stock of ZoomInfo Technologies Inc. completed on December 4, 2020, as applicable.</w:t>
      </w:r>
    </w:p>
    <w:p>
      <w:pPr>
        <w:spacing w:after="0" w:line="101" w:lineRule="exact"/>
        <w:rPr>
          <w:rFonts w:ascii="Arial" w:cs="Arial" w:eastAsia="Arial" w:hAnsi="Arial"/>
          <w:sz w:val="15"/>
          <w:szCs w:val="15"/>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“Sponsors” refers, collectively, to TA Associates, Carlyle, and 22C Capital.</w:t>
      </w:r>
    </w:p>
    <w:p>
      <w:pPr>
        <w:spacing w:after="0" w:line="147"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“TA Associates” refers to investment funds associated with TA Associates.</w:t>
      </w:r>
    </w:p>
    <w:p>
      <w:pPr>
        <w:spacing w:after="0" w:line="147" w:lineRule="exact"/>
        <w:rPr>
          <w:rFonts w:ascii="Arial" w:cs="Arial" w:eastAsia="Arial" w:hAnsi="Arial"/>
          <w:sz w:val="16"/>
          <w:szCs w:val="16"/>
          <w:color w:val="auto"/>
        </w:rPr>
      </w:pPr>
    </w:p>
    <w:p>
      <w:pPr>
        <w:ind w:left="282" w:hanging="282"/>
        <w:spacing w:after="0"/>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“tax receivable agreements” refers, collectively, to the Exchange Tax Receivable Agreement and the Reorganization Tax Receivable Agreement.</w:t>
      </w:r>
    </w:p>
    <w:p>
      <w:pPr>
        <w:spacing w:after="0" w:line="147" w:lineRule="exact"/>
        <w:rPr>
          <w:rFonts w:ascii="Arial" w:cs="Arial" w:eastAsia="Arial" w:hAnsi="Arial"/>
          <w:sz w:val="16"/>
          <w:szCs w:val="16"/>
          <w:color w:val="auto"/>
        </w:rPr>
      </w:pPr>
    </w:p>
    <w:p>
      <w:pPr>
        <w:ind w:left="282" w:right="20" w:hanging="282"/>
        <w:spacing w:after="0" w:line="268"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“ZoomInfo,” the “Company,” “we,” “us,” and “our” refer, (1) prior to the consummation of the Reorganization Transactions and the IPO Transactions, to ZoomInfo OpCo and its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8"/>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0982"/>
          </w:cols>
          <w:pgMar w:left="598" w:top="1262" w:right="319" w:bottom="1440" w:gutter="0" w:footer="0" w:header="0"/>
        </w:sectPr>
      </w:pPr>
    </w:p>
    <w:bookmarkStart w:id="5" w:name="page6"/>
    <w:bookmarkEnd w:id="5"/>
    <w:p>
      <w:pPr>
        <w:ind w:left="282"/>
        <w:spacing w:after="0" w:line="268" w:lineRule="auto"/>
        <w:rPr>
          <w:sz w:val="20"/>
          <w:szCs w:val="20"/>
          <w:color w:val="auto"/>
        </w:rPr>
      </w:pPr>
      <w:r>
        <w:rPr>
          <w:rFonts w:ascii="Arial" w:cs="Arial" w:eastAsia="Arial" w:hAnsi="Arial"/>
          <w:sz w:val="16"/>
          <w:szCs w:val="16"/>
          <w:color w:val="auto"/>
        </w:rPr>
        <w:t>subsidiaries and, (2) after the consummation of the Reorganization Transactions and the IPO Transactions, to ZoomInfo Technologies Inc. and its consolidated subsidiaries.</w:t>
      </w:r>
    </w:p>
    <w:p>
      <w:pPr>
        <w:spacing w:after="0" w:line="109" w:lineRule="exact"/>
        <w:rPr>
          <w:sz w:val="20"/>
          <w:szCs w:val="20"/>
          <w:color w:val="auto"/>
        </w:rPr>
      </w:pPr>
    </w:p>
    <w:p>
      <w:pPr>
        <w:ind w:left="282" w:hanging="282"/>
        <w:spacing w:after="0" w:line="268" w:lineRule="auto"/>
        <w:tabs>
          <w:tab w:leader="none" w:pos="278" w:val="left"/>
        </w:tabs>
        <w:numPr>
          <w:ilvl w:val="0"/>
          <w:numId w:val="4"/>
        </w:numPr>
        <w:rPr>
          <w:rFonts w:ascii="Arial" w:cs="Arial" w:eastAsia="Arial" w:hAnsi="Arial"/>
          <w:sz w:val="16"/>
          <w:szCs w:val="16"/>
          <w:color w:val="auto"/>
        </w:rPr>
      </w:pPr>
      <w:r>
        <w:rPr>
          <w:rFonts w:ascii="Arial" w:cs="Arial" w:eastAsia="Arial" w:hAnsi="Arial"/>
          <w:sz w:val="16"/>
          <w:szCs w:val="16"/>
          <w:color w:val="auto"/>
        </w:rPr>
        <w:t>“ZoomInfo HoldCo” refers to ZoomInfo Intermediate Holdings LLC, a Delaware limited liability company, and a direct subsidiary of ZoomInfo Technologies Inc. following the Reorganization Transactions.</w:t>
      </w:r>
    </w:p>
    <w:p>
      <w:pPr>
        <w:spacing w:after="0" w:line="109" w:lineRule="exact"/>
        <w:rPr>
          <w:rFonts w:ascii="Arial" w:cs="Arial" w:eastAsia="Arial" w:hAnsi="Arial"/>
          <w:sz w:val="16"/>
          <w:szCs w:val="16"/>
          <w:color w:val="auto"/>
        </w:rPr>
      </w:pPr>
    </w:p>
    <w:p>
      <w:pPr>
        <w:ind w:left="282" w:right="20" w:hanging="282"/>
        <w:spacing w:after="0" w:line="268" w:lineRule="auto"/>
        <w:tabs>
          <w:tab w:leader="none" w:pos="278" w:val="left"/>
        </w:tabs>
        <w:numPr>
          <w:ilvl w:val="0"/>
          <w:numId w:val="4"/>
        </w:numPr>
        <w:rPr>
          <w:rFonts w:ascii="Arial" w:cs="Arial" w:eastAsia="Arial" w:hAnsi="Arial"/>
          <w:sz w:val="16"/>
          <w:szCs w:val="16"/>
          <w:color w:val="auto"/>
        </w:rPr>
      </w:pPr>
      <w:r>
        <w:rPr>
          <w:rFonts w:ascii="Arial" w:cs="Arial" w:eastAsia="Arial" w:hAnsi="Arial"/>
          <w:sz w:val="16"/>
          <w:szCs w:val="16"/>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92710</wp:posOffset>
            </wp:positionV>
            <wp:extent cx="1419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8"/>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0982"/>
          </w:cols>
          <w:pgMar w:left="598" w:top="1262" w:right="319" w:bottom="1440" w:gutter="0" w:footer="0" w:header="0"/>
        </w:sectPr>
      </w:pPr>
    </w:p>
    <w:bookmarkStart w:id="6" w:name="page7"/>
    <w:bookmarkEnd w:id="6"/>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5765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4545" cy="57651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SUMMARY</w:t>
      </w:r>
    </w:p>
    <w:p>
      <w:pPr>
        <w:spacing w:after="0" w:line="151"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6"/>
          <w:szCs w:val="16"/>
          <w:i w:val="1"/>
          <w:iCs w:val="1"/>
          <w:color w:val="auto"/>
        </w:rPr>
        <w:t>This summary highlights information contained or incorporated by reference in this prospectus supplement or the accompanying prospectus. This summary does not contain all of the information you should consider before investing in shares of our Class A common stock. Before you decide to invest in shares of our Class A common stock, you should read this entire prospectus supplement and the accompanying prospectus carefully, including the section entitled “Risk Factors” included elsewhere in this prospectus supplement and the sections entitled “Risk Factors” and “Management’s Discussion and Analysis of Financial Condition and Results of Operations” and our audited consolidated financial statements and the related notes thereto in our Annual Report and the section entitled “Management’s Discussion and Analysis of Financial Condition and Results of Operations” and our unaudited consolidated financial statements and the related notes thereto in our Quarterly Reports, each of which is incorporated by reference herein. This summary contains forward-looking statements that involve risks and uncertainties.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mission is to unlock actionable business information and insights to make organizations more successful.</w:t>
      </w:r>
    </w:p>
    <w:p>
      <w:pPr>
        <w:spacing w:after="0" w:line="147"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ZoomInfo is a leading go-to-market intelligence platform for sales and marketing teams. Our cloud-based go-to-market data and insights platform delivers comprehensive and high-quality intelligence and analytics to provide sales and marketing professionals accurate information and insights on the organizations and professionals they target enabling our customers to shorten sales cycles and increase win rates by enabling sellers and marketers to deliver the right message, to the right person, at the right time.</w:t>
      </w:r>
    </w:p>
    <w:p>
      <w:pPr>
        <w:spacing w:after="0" w:line="123"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ZoomInfo Technologies Inc. in November 2019 for the purposes of facilitating the IPO. On June 8, 2020, ZoomInfo completed the IPO.</w:t>
      </w:r>
    </w:p>
    <w:p>
      <w:pPr>
        <w:spacing w:after="0" w:line="123"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Developments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w:t>
      </w:r>
    </w:p>
    <w:p>
      <w:pPr>
        <w:spacing w:after="0" w:line="147"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We acquired Insent, Inc. in June 2021 for a total purchase consideration of $34.1 million, consisting of $33.0 million in cash consideration and $1.1 million in estimated deferred consideration. The purchase price was primarily comprised of acquired technology and goodwill.</w:t>
      </w:r>
    </w:p>
    <w:p>
      <w:pPr>
        <w:spacing w:after="0" w:line="109"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In July 2021, we acquired substantially all the assets, and certain specified liabilities, of AffectLayer Inc. d/b/a Chorus.ai, a leader in conversation intelligence (the “Chorus Acquisition”). In connection with this acquisition, we paid an aggregate cash consideration, inclusive of $132.0 million relating to certain tax liabilities, of approximately $575.0 million, subject to working capital and other customary adjustments. We funded cash payments made at closing with $225.0 million of revolving credit borrowings under the existing first lien credit agreement, and the remainder with cash on hand.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Unsecured Notes Offering</w:t>
      </w:r>
    </w:p>
    <w:p>
      <w:pPr>
        <w:spacing w:after="0" w:line="147"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In July 2021, ZoomInfo Technologies LLC and ZoomInfo Finance Corp. (collectively, the “Issuers”), indirect subsidiaries of ZoomInfo Technologies Inc., issued and sold $300.0 million in aggregate principal amount of additional 3.875% senior notes due 2029. The notes were issued under the same indenture as the Issuers’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380"/>
          </w:cols>
          <w:pgMar w:left="760" w:top="1440" w:right="759" w:bottom="1440" w:gutter="0" w:footer="0" w:header="0"/>
        </w:sectPr>
      </w:pPr>
    </w:p>
    <w:bookmarkStart w:id="7" w:name="page8"/>
    <w:bookmarkEnd w:id="7"/>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1830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4545" cy="1830070"/>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6"/>
          <w:szCs w:val="16"/>
          <w:color w:val="auto"/>
        </w:rPr>
        <w:t>$350 million aggregate principal amount of 3.875% senior notes due 2029 (the “Existing Notes”), which were issued in February 2021, and constitute part of the same series as the Existing Notes.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First Lien Credit Agreement Amendment</w:t>
      </w:r>
    </w:p>
    <w:p>
      <w:pPr>
        <w:spacing w:after="0" w:line="147" w:lineRule="exact"/>
        <w:rPr>
          <w:sz w:val="20"/>
          <w:szCs w:val="20"/>
          <w:color w:val="auto"/>
        </w:rPr>
      </w:pPr>
    </w:p>
    <w:p>
      <w:pPr>
        <w:jc w:val="both"/>
        <w:ind w:right="20" w:firstLine="284"/>
        <w:spacing w:after="0" w:line="302" w:lineRule="auto"/>
        <w:rPr>
          <w:sz w:val="20"/>
          <w:szCs w:val="20"/>
          <w:color w:val="auto"/>
        </w:rPr>
      </w:pPr>
      <w:r>
        <w:rPr>
          <w:rFonts w:ascii="Arial" w:cs="Arial" w:eastAsia="Arial" w:hAnsi="Arial"/>
          <w:sz w:val="15"/>
          <w:szCs w:val="15"/>
          <w:color w:val="auto"/>
        </w:rPr>
        <w:t>In July 2021, we entered into an amendment (the “Credit Agreement Amendment”) to our existing first lien credit agreement that provided for, among other things, the incurrence of an additional $200.0 million aggregate principal amount of additional term loans under its existing first lien credit agreement.</w:t>
      </w:r>
    </w:p>
    <w:p>
      <w:pPr>
        <w:spacing w:after="0" w:line="86"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The net proceeds from the Credit Agreement Amendment were used, together with the net proceeds from the offering (the “Offering”) by the Issuers of $300.0 million aggregate principal amount of 3.875% senior notes due 2029, to (i) repay $225 million of outstanding borrowings under the revolving credit facility which were used to pay a portion of the consideration for the Acquisition, and (ii) pay fees and expenses related to the Credit Agreement Amendment, the Offering and the Chorus Acquisition, and the remainder is expected to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380"/>
          </w:cols>
          <w:pgMar w:left="760" w:top="1440" w:right="759" w:bottom="1440" w:gutter="0" w:footer="0" w:header="0"/>
        </w:sectPr>
      </w:pPr>
    </w:p>
    <w:bookmarkStart w:id="8" w:name="page9"/>
    <w:bookmarkEnd w:id="8"/>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5502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4545" cy="5502275"/>
                    </a:xfrm>
                    <a:prstGeom prst="rect">
                      <a:avLst/>
                    </a:prstGeom>
                    <a:noFill/>
                  </pic:spPr>
                </pic:pic>
              </a:graphicData>
            </a:graphic>
          </wp:anchor>
        </w:drawing>
      </w:r>
    </w:p>
    <w:p>
      <w:pPr>
        <w:jc w:val="center"/>
        <w:ind w:right="280"/>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0640"/>
          </w:cols>
          <w:pgMar w:left="760" w:top="1440" w:right="499" w:bottom="1440" w:gutter="0" w:footer="0" w:header="0"/>
        </w:sectPr>
      </w:pPr>
    </w:p>
    <w:p>
      <w:pPr>
        <w:spacing w:after="0" w:line="21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Issuer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ZoomInfo Technologies Inc.</w:t>
      </w:r>
    </w:p>
    <w:p>
      <w:pPr>
        <w:spacing w:after="0" w:line="87" w:lineRule="exact"/>
        <w:rPr>
          <w:sz w:val="20"/>
          <w:szCs w:val="20"/>
          <w:color w:val="auto"/>
        </w:rPr>
      </w:pPr>
    </w:p>
    <w:p>
      <w:pPr>
        <w:sectPr>
          <w:pgSz w:w="11900" w:h="16838" w:orient="portrait"/>
          <w:cols w:equalWidth="0" w:num="2">
            <w:col w:w="4400" w:space="720"/>
            <w:col w:w="5520"/>
          </w:cols>
          <w:pgMar w:left="760" w:top="1440" w:right="499" w:bottom="1440" w:gutter="0" w:footer="0" w:header="0"/>
          <w:type w:val="continuous"/>
        </w:sectPr>
      </w:pPr>
    </w:p>
    <w:p>
      <w:pPr>
        <w:ind w:left="300"/>
        <w:spacing w:after="0"/>
        <w:rPr>
          <w:sz w:val="20"/>
          <w:szCs w:val="20"/>
          <w:color w:val="auto"/>
        </w:rPr>
      </w:pPr>
      <w:r>
        <w:rPr>
          <w:rFonts w:ascii="Arial" w:cs="Arial" w:eastAsia="Arial" w:hAnsi="Arial"/>
          <w:sz w:val="14"/>
          <w:szCs w:val="14"/>
          <w:color w:val="auto"/>
        </w:rPr>
        <w:t>Class A 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27,000,000 shares.</w:t>
      </w:r>
    </w:p>
    <w:p>
      <w:pPr>
        <w:spacing w:after="0" w:line="110" w:lineRule="exact"/>
        <w:rPr>
          <w:sz w:val="20"/>
          <w:szCs w:val="20"/>
          <w:color w:val="auto"/>
        </w:rPr>
      </w:pPr>
    </w:p>
    <w:p>
      <w:pPr>
        <w:sectPr>
          <w:pgSz w:w="11900" w:h="16838" w:orient="portrait"/>
          <w:cols w:equalWidth="0" w:num="2">
            <w:col w:w="4400" w:space="720"/>
            <w:col w:w="5520"/>
          </w:cols>
          <w:pgMar w:left="760" w:top="1440" w:right="499" w:bottom="1440" w:gutter="0" w:footer="0" w:header="0"/>
          <w:type w:val="continuous"/>
        </w:sectPr>
      </w:pPr>
    </w:p>
    <w:p>
      <w:pPr>
        <w:ind w:left="300"/>
        <w:spacing w:after="0"/>
        <w:rPr>
          <w:sz w:val="20"/>
          <w:szCs w:val="20"/>
          <w:color w:val="auto"/>
        </w:rPr>
      </w:pPr>
      <w:r>
        <w:rPr>
          <w:rFonts w:ascii="Arial" w:cs="Arial" w:eastAsia="Arial" w:hAnsi="Arial"/>
          <w:sz w:val="14"/>
          <w:szCs w:val="14"/>
          <w:color w:val="auto"/>
        </w:rPr>
        <w:t>Class A common stock outstanding after giving effect to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149,990,566 shares.</w:t>
      </w:r>
    </w:p>
    <w:p>
      <w:pPr>
        <w:spacing w:after="0" w:line="110" w:lineRule="exact"/>
        <w:rPr>
          <w:sz w:val="20"/>
          <w:szCs w:val="20"/>
          <w:color w:val="auto"/>
        </w:rPr>
      </w:pPr>
    </w:p>
    <w:p>
      <w:pPr>
        <w:sectPr>
          <w:pgSz w:w="11900" w:h="16838" w:orient="portrait"/>
          <w:cols w:equalWidth="0" w:num="2">
            <w:col w:w="4660" w:space="460"/>
            <w:col w:w="5520"/>
          </w:cols>
          <w:pgMar w:left="760" w:top="1440" w:right="49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jc w:val="both"/>
        <w:ind w:firstLine="284"/>
        <w:spacing w:after="0" w:line="226" w:lineRule="auto"/>
        <w:rPr>
          <w:sz w:val="20"/>
          <w:szCs w:val="20"/>
          <w:color w:val="auto"/>
        </w:rPr>
      </w:pPr>
      <w:r>
        <w:rPr>
          <w:rFonts w:ascii="Arial" w:cs="Arial" w:eastAsia="Arial" w:hAnsi="Arial"/>
          <w:sz w:val="15"/>
          <w:szCs w:val="15"/>
          <w:color w:val="auto"/>
        </w:rPr>
        <w:t>The selling stockholders will receive all of the net proceeds from the sale of shares of Class A common stock in this offering. We will not receive any proceeds from the sale of shares of Class A common stock by the selling stockholders. The selling stockholders will bear the underwriting discount attributable to their sale of our Class A common stock, and we will bear the remaining expenses. See “Use of Proceeds.”</w:t>
      </w:r>
    </w:p>
    <w:p>
      <w:pPr>
        <w:spacing w:after="0" w:line="193" w:lineRule="exact"/>
        <w:rPr>
          <w:sz w:val="20"/>
          <w:szCs w:val="20"/>
          <w:color w:val="auto"/>
        </w:rPr>
      </w:pPr>
    </w:p>
    <w:p>
      <w:pPr>
        <w:sectPr>
          <w:pgSz w:w="11900" w:h="16838" w:orient="portrait"/>
          <w:cols w:equalWidth="0" w:num="2">
            <w:col w:w="4120" w:space="720"/>
            <w:col w:w="5800"/>
          </w:cols>
          <w:pgMar w:left="760" w:top="1440" w:right="49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ind w:right="440" w:firstLine="284"/>
        <w:spacing w:after="0" w:line="231" w:lineRule="auto"/>
        <w:rPr>
          <w:sz w:val="20"/>
          <w:szCs w:val="20"/>
          <w:color w:val="auto"/>
        </w:rPr>
      </w:pPr>
      <w:r>
        <w:rPr>
          <w:rFonts w:ascii="Arial" w:cs="Arial" w:eastAsia="Arial" w:hAnsi="Arial"/>
          <w:sz w:val="16"/>
          <w:szCs w:val="16"/>
          <w:color w:val="auto"/>
        </w:rPr>
        <w:t>See “Risk Factors” for a discussion of risks you should carefully consider before deciding to invest in our Class A common stock.</w:t>
      </w:r>
    </w:p>
    <w:p>
      <w:pPr>
        <w:spacing w:after="0" w:line="190" w:lineRule="exact"/>
        <w:rPr>
          <w:sz w:val="20"/>
          <w:szCs w:val="20"/>
          <w:color w:val="auto"/>
        </w:rPr>
      </w:pPr>
    </w:p>
    <w:p>
      <w:pPr>
        <w:sectPr>
          <w:pgSz w:w="11900" w:h="16838" w:orient="portrait"/>
          <w:cols w:equalWidth="0" w:num="2">
            <w:col w:w="4120" w:space="720"/>
            <w:col w:w="5800"/>
          </w:cols>
          <w:pgMar w:left="760" w:top="1440" w:right="499" w:bottom="1440" w:gutter="0" w:footer="0" w:header="0"/>
          <w:type w:val="continuous"/>
        </w:sectPr>
      </w:pPr>
    </w:p>
    <w:p>
      <w:pPr>
        <w:ind w:left="300"/>
        <w:spacing w:after="0"/>
        <w:rPr>
          <w:sz w:val="20"/>
          <w:szCs w:val="20"/>
          <w:color w:val="auto"/>
        </w:rPr>
      </w:pPr>
      <w:r>
        <w:rPr>
          <w:rFonts w:ascii="Arial" w:cs="Arial" w:eastAsia="Arial" w:hAnsi="Arial"/>
          <w:sz w:val="14"/>
          <w:szCs w:val="14"/>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“ZI.”</w:t>
      </w:r>
    </w:p>
    <w:p>
      <w:pPr>
        <w:spacing w:after="0" w:line="200" w:lineRule="exact"/>
        <w:rPr>
          <w:sz w:val="20"/>
          <w:szCs w:val="20"/>
          <w:color w:val="auto"/>
        </w:rPr>
      </w:pPr>
    </w:p>
    <w:p>
      <w:pPr>
        <w:sectPr>
          <w:pgSz w:w="11900" w:h="16838" w:orient="portrait"/>
          <w:cols w:equalWidth="0" w:num="2">
            <w:col w:w="4400" w:space="720"/>
            <w:col w:w="5520"/>
          </w:cols>
          <w:pgMar w:left="760" w:top="1440" w:right="499" w:bottom="1440" w:gutter="0" w:footer="0" w:header="0"/>
          <w:type w:val="continuous"/>
        </w:sectPr>
      </w:pPr>
    </w:p>
    <w:p>
      <w:pPr>
        <w:spacing w:after="0" w:line="172" w:lineRule="exact"/>
        <w:rPr>
          <w:sz w:val="20"/>
          <w:szCs w:val="20"/>
          <w:color w:val="auto"/>
        </w:rPr>
      </w:pPr>
    </w:p>
    <w:p>
      <w:pPr>
        <w:ind w:right="280" w:firstLine="284"/>
        <w:spacing w:after="0" w:line="302" w:lineRule="auto"/>
        <w:rPr>
          <w:sz w:val="20"/>
          <w:szCs w:val="20"/>
          <w:color w:val="auto"/>
        </w:rPr>
      </w:pPr>
      <w:r>
        <w:rPr>
          <w:rFonts w:ascii="Arial" w:cs="Arial" w:eastAsia="Arial" w:hAnsi="Arial"/>
          <w:sz w:val="15"/>
          <w:szCs w:val="15"/>
          <w:color w:val="auto"/>
        </w:rPr>
        <w:t>In this prospectus, unless otherwise indicated, the number of shares of Class A common stock outstanding and the other information based thereon reflects 149,990,566 shares of Class A common stock outstanding as of July 23, 2021, after giving effect to this offering, and does not reflect:</w:t>
      </w:r>
    </w:p>
    <w:p>
      <w:pPr>
        <w:spacing w:after="0" w:line="86" w:lineRule="exact"/>
        <w:rPr>
          <w:sz w:val="20"/>
          <w:szCs w:val="20"/>
          <w:color w:val="auto"/>
        </w:rPr>
      </w:pPr>
    </w:p>
    <w:p>
      <w:pPr>
        <w:jc w:val="both"/>
        <w:ind w:left="560" w:right="260" w:hanging="280"/>
        <w:spacing w:after="0" w:line="257"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175,225,621 shares of Class A common stock issuable upon exchange of 171,958,491 OpCo Units and 3,267,130 HoldCo Units and the related shares of Class B common stock that will be held by the Pre-IPO OpCo Unitholders and the Pre-IPO HoldCo Unitholders, respectively, after giving effect to this offering;</w:t>
      </w:r>
    </w:p>
    <w:p>
      <w:pPr>
        <w:spacing w:after="0" w:line="118" w:lineRule="exact"/>
        <w:rPr>
          <w:rFonts w:ascii="Arial" w:cs="Arial" w:eastAsia="Arial" w:hAnsi="Arial"/>
          <w:sz w:val="16"/>
          <w:szCs w:val="16"/>
          <w:color w:val="auto"/>
        </w:rPr>
      </w:pPr>
    </w:p>
    <w:p>
      <w:pPr>
        <w:ind w:left="560" w:right="280" w:hanging="280"/>
        <w:spacing w:after="0" w:line="268"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65,509,596 shares of Class A common stock issuable upon conversion of 65,509,596 shares of Class C common stock that will be held by the Pre-IPO Blocker Holders after giving effect to this offering;</w:t>
      </w:r>
    </w:p>
    <w:p>
      <w:pPr>
        <w:spacing w:after="0" w:line="109" w:lineRule="exact"/>
        <w:rPr>
          <w:rFonts w:ascii="Arial" w:cs="Arial" w:eastAsia="Arial" w:hAnsi="Arial"/>
          <w:sz w:val="16"/>
          <w:szCs w:val="16"/>
          <w:color w:val="auto"/>
        </w:rPr>
      </w:pPr>
    </w:p>
    <w:p>
      <w:pPr>
        <w:jc w:val="both"/>
        <w:ind w:left="560" w:right="260" w:hanging="280"/>
        <w:spacing w:after="0" w:line="257"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12,845,551 shares of Class A common stock issuable upon exchange of 14,313,813 Class P Units (assuming such Class P Units are fully vested and based on the closing price of our Class A common stock of $53.84 per share as reported on Nasdaq on July 23, 2021) that are held by the Continuing Class P Unitholders; or</w:t>
      </w:r>
    </w:p>
    <w:p>
      <w:pPr>
        <w:spacing w:after="0" w:line="118" w:lineRule="exact"/>
        <w:rPr>
          <w:rFonts w:ascii="Arial" w:cs="Arial" w:eastAsia="Arial" w:hAnsi="Arial"/>
          <w:sz w:val="16"/>
          <w:szCs w:val="16"/>
          <w:color w:val="auto"/>
        </w:rPr>
      </w:pPr>
    </w:p>
    <w:p>
      <w:pPr>
        <w:ind w:left="560" w:right="280" w:hanging="280"/>
        <w:spacing w:after="0" w:line="268" w:lineRule="auto"/>
        <w:tabs>
          <w:tab w:leader="none" w:pos="556" w:val="left"/>
        </w:tabs>
        <w:numPr>
          <w:ilvl w:val="0"/>
          <w:numId w:val="5"/>
        </w:numPr>
        <w:rPr>
          <w:rFonts w:ascii="Arial" w:cs="Arial" w:eastAsia="Arial" w:hAnsi="Arial"/>
          <w:sz w:val="16"/>
          <w:szCs w:val="16"/>
          <w:color w:val="auto"/>
        </w:rPr>
      </w:pPr>
      <w:r>
        <w:rPr>
          <w:rFonts w:ascii="Arial" w:cs="Arial" w:eastAsia="Arial" w:hAnsi="Arial"/>
          <w:sz w:val="16"/>
          <w:szCs w:val="16"/>
          <w:color w:val="auto"/>
        </w:rPr>
        <w:t>18,650,000 shares of Class A common stock that may be granted under our 2020 Omnibus Incentive Plan, which includes shares of Class A common stock underlying the following employee equity grants outstanding as of July 23, 2021:</w:t>
      </w:r>
    </w:p>
    <w:p>
      <w:pPr>
        <w:spacing w:after="0" w:line="109" w:lineRule="exact"/>
        <w:rPr>
          <w:rFonts w:ascii="Arial" w:cs="Arial" w:eastAsia="Arial" w:hAnsi="Arial"/>
          <w:sz w:val="16"/>
          <w:szCs w:val="16"/>
          <w:color w:val="auto"/>
        </w:rPr>
      </w:pPr>
    </w:p>
    <w:p>
      <w:pPr>
        <w:ind w:left="840" w:hanging="276"/>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1,286,716 restricted stock units;</w:t>
      </w:r>
    </w:p>
    <w:p>
      <w:pPr>
        <w:spacing w:after="0" w:line="147" w:lineRule="exact"/>
        <w:rPr>
          <w:rFonts w:ascii="Arial" w:cs="Arial" w:eastAsia="Arial" w:hAnsi="Arial"/>
          <w:sz w:val="16"/>
          <w:szCs w:val="16"/>
          <w:color w:val="auto"/>
        </w:rPr>
      </w:pPr>
    </w:p>
    <w:p>
      <w:pPr>
        <w:ind w:left="840" w:hanging="276"/>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247,045 LTIP Units;</w:t>
      </w:r>
    </w:p>
    <w:p>
      <w:pPr>
        <w:spacing w:after="0" w:line="147" w:lineRule="exact"/>
        <w:rPr>
          <w:rFonts w:ascii="Arial" w:cs="Arial" w:eastAsia="Arial" w:hAnsi="Arial"/>
          <w:sz w:val="16"/>
          <w:szCs w:val="16"/>
          <w:color w:val="auto"/>
        </w:rPr>
      </w:pPr>
    </w:p>
    <w:p>
      <w:pPr>
        <w:ind w:left="840" w:right="280" w:hanging="276"/>
        <w:spacing w:after="0" w:line="268" w:lineRule="auto"/>
        <w:tabs>
          <w:tab w:leader="none" w:pos="837" w:val="left"/>
        </w:tabs>
        <w:numPr>
          <w:ilvl w:val="1"/>
          <w:numId w:val="5"/>
        </w:numPr>
        <w:rPr>
          <w:rFonts w:ascii="Arial" w:cs="Arial" w:eastAsia="Arial" w:hAnsi="Arial"/>
          <w:sz w:val="16"/>
          <w:szCs w:val="16"/>
          <w:color w:val="auto"/>
        </w:rPr>
      </w:pPr>
      <w:r>
        <w:rPr>
          <w:rFonts w:ascii="Arial" w:cs="Arial" w:eastAsia="Arial" w:hAnsi="Arial"/>
          <w:sz w:val="16"/>
          <w:szCs w:val="16"/>
          <w:color w:val="auto"/>
        </w:rPr>
        <w:t>522,106 stock options, which we refer to as “leverage restoration options,” with a strike price equal to the IPO public offering price per share of Class A common stock; and</w:t>
      </w:r>
    </w:p>
    <w:p>
      <w:pPr>
        <w:spacing w:after="0" w:line="109" w:lineRule="exact"/>
        <w:rPr>
          <w:rFonts w:ascii="Arial" w:cs="Arial" w:eastAsia="Arial" w:hAnsi="Arial"/>
          <w:sz w:val="16"/>
          <w:szCs w:val="16"/>
          <w:color w:val="auto"/>
        </w:rPr>
      </w:pPr>
    </w:p>
    <w:p>
      <w:pPr>
        <w:ind w:left="840" w:hanging="276"/>
        <w:spacing w:after="0"/>
        <w:tabs>
          <w:tab w:leader="none" w:pos="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630,000 Class P Units with a participation threshold (i.e., strike price) equal to the IPO public offering price per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640"/>
          </w:cols>
          <w:pgMar w:left="760" w:top="1440" w:right="4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RISK FACTORS</w:t>
      </w:r>
    </w:p>
    <w:p>
      <w:pPr>
        <w:spacing w:after="0" w:line="151" w:lineRule="exact"/>
        <w:rPr>
          <w:sz w:val="20"/>
          <w:szCs w:val="20"/>
          <w:color w:val="auto"/>
        </w:rPr>
      </w:pPr>
    </w:p>
    <w:p>
      <w:pPr>
        <w:jc w:val="both"/>
        <w:ind w:firstLine="284"/>
        <w:spacing w:after="0" w:line="296" w:lineRule="auto"/>
        <w:rPr>
          <w:sz w:val="20"/>
          <w:szCs w:val="20"/>
          <w:color w:val="auto"/>
        </w:rPr>
      </w:pPr>
      <w:r>
        <w:rPr>
          <w:rFonts w:ascii="Arial" w:cs="Arial" w:eastAsia="Arial" w:hAnsi="Arial"/>
          <w:sz w:val="14"/>
          <w:szCs w:val="14"/>
          <w:i w:val="1"/>
          <w:iCs w:val="1"/>
          <w:color w:val="auto"/>
        </w:rPr>
        <w:t>An investment in shares of our Class A common stock involves risks. You should carefully consider the following information about these risks, as well as those contained in our Annual Report, including the section entitled “Risk Factors,” together with the other information contained or incorporated by reference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this Offering and Ownership of Our Class A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parties to our stockholders agreement control us, and their interests may conflict with ours or yours in the future.</w:t>
      </w:r>
    </w:p>
    <w:p>
      <w:pPr>
        <w:spacing w:after="0" w:line="147" w:lineRule="exact"/>
        <w:rPr>
          <w:sz w:val="20"/>
          <w:szCs w:val="20"/>
          <w:color w:val="auto"/>
        </w:rPr>
      </w:pPr>
    </w:p>
    <w:p>
      <w:pPr>
        <w:jc w:val="both"/>
        <w:ind w:firstLine="284"/>
        <w:spacing w:after="0" w:line="285" w:lineRule="auto"/>
        <w:rPr>
          <w:sz w:val="20"/>
          <w:szCs w:val="20"/>
          <w:color w:val="auto"/>
        </w:rPr>
      </w:pPr>
      <w:r>
        <w:rPr>
          <w:rFonts w:ascii="Arial" w:cs="Arial" w:eastAsia="Arial" w:hAnsi="Arial"/>
          <w:sz w:val="14"/>
          <w:szCs w:val="14"/>
          <w:color w:val="auto"/>
        </w:rPr>
        <w:t>Immediately following this offering, the parties to our stockholders agreement will beneficially own approximately 85.4% of the combined voting power of our Class A, Class B, and Class C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“Transactions with Related Persons—Stockholders Agreement” from our Proxy Statement incorporated by reference herein.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0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5"/>
          <w:szCs w:val="15"/>
          <w:color w:val="auto"/>
        </w:rPr>
        <w:t>In addition, immediately following this offering, the Pre-IPO OpCo Unitholders will own 43.9% of the OpCo Units.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into in connection with the IPO, whether and when to incur new or refinance existing indebtedness and whether and when ZoomInfo Technologies Inc. should terminate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60"/>
          </w:cols>
          <w:pgMar w:left="320" w:top="1258" w:right="31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6"/>
          <w:szCs w:val="16"/>
          <w:color w:val="auto"/>
        </w:rPr>
        <w:t>agreements and accelerate its obligations thereunder. In addition, the structuring of future transactions may take into consideration our pre-IPO owners’ tax or other considerations even where no similar benefit would accrue to us. See “Transactions with Related Persons—Tax Receivable Agreements” from our Proxy Statement incorporated by reference herein.</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qualify for, and intend to rely on, exemptions and relief from certain corporate governance requirements. You will not have the same protections afforded to stockholders of companies that are subject to such requirements.</w:t>
      </w:r>
    </w:p>
    <w:p>
      <w:pPr>
        <w:spacing w:after="0" w:line="86"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After the completion of this offering, certain affiliates of TA Associates, Carlyle, and our Founders will beneficially own approximately 85.4% of the combined voting power of our Class A, Class B, and Class C common stock and are parties, among others, to a stockholders agreement described in “Transactions with Related Persons—Stockholders Agreement” from our Proxy Statement incorporated by reference herein.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23" w:lineRule="exact"/>
        <w:rPr>
          <w:sz w:val="20"/>
          <w:szCs w:val="20"/>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board that is composed of a majority of “independent directors,” as defined under the Nasdaq rules;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compensation committee that is composed entirely of independent directors; and</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color w:val="auto"/>
        </w:rPr>
        <w:t>director nominations be made, or recommended to the full board of directors, by its independent directors, or by a nominations/governance committee that is composed entirely of independent directors.</w:t>
      </w:r>
    </w:p>
    <w:p>
      <w:pPr>
        <w:spacing w:after="0" w:line="109"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We intend to continue to utilize these exemptions for as long as we continue to qualify as a “controlled company.” Accordingly, you will not have the same protections afforded to stockholders of companies that are subject to all of the corporate governance requirements of the Nasdaq.</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be diluted by the future issuance of additional Class A common stock or OpCo Units in connection with our incentive plans, acquisitions, or otherwise.</w:t>
      </w:r>
    </w:p>
    <w:p>
      <w:pPr>
        <w:spacing w:after="0" w:line="170" w:lineRule="exact"/>
        <w:rPr>
          <w:sz w:val="20"/>
          <w:szCs w:val="20"/>
          <w:color w:val="auto"/>
        </w:rPr>
      </w:pPr>
    </w:p>
    <w:p>
      <w:pPr>
        <w:jc w:val="both"/>
        <w:ind w:firstLine="284"/>
        <w:spacing w:after="0" w:line="265" w:lineRule="auto"/>
        <w:rPr>
          <w:sz w:val="20"/>
          <w:szCs w:val="20"/>
          <w:color w:val="auto"/>
        </w:rPr>
      </w:pPr>
      <w:r>
        <w:rPr>
          <w:rFonts w:ascii="Arial" w:cs="Arial" w:eastAsia="Arial" w:hAnsi="Arial"/>
          <w:sz w:val="15"/>
          <w:szCs w:val="15"/>
          <w:color w:val="auto"/>
        </w:rPr>
        <w:t>As of July 23, 2021, after giving effect to this offering, we would have had 2,350,009,434 shares of Class A common stock authorized but unissued, including 175,225,621 shares of Class A common stock issuable upon exchange of OpCo Units or HoldCo Units that are held by the Pre-IPO OpCo Unitholders or the Pre-IPO HoldCo Unitholders, respectively, 65,509,596 shares of Class A common stock issuable upon conversion of 65,509,596 shares of Class C common stock that are held by the Pre-IPO Blocker Holders, and 12,845,551 shares of Class A common stock (based on the closing price of our Class A common stock of $53.84 per share as reported on Nasdaq on July 23, 2021) issuable upon the vesting and conversion of 14,313,813 Class P Units held by the Continuing Class P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IPO public offering price per share of Class A common stock, and 630,000 Class P Units with a participation threshold (i.e., strike price) equal to the IPO public offering price per share of Class A common stock were granted under our 2020 Omnibus Incentive Plan. Any 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260"/>
          </w:cols>
          <w:pgMar w:left="320" w:top="1262" w:right="319" w:bottom="1440" w:gutter="0" w:footer="0" w:header="0"/>
        </w:sectPr>
      </w:pPr>
    </w:p>
    <w:bookmarkStart w:id="11" w:name="page12"/>
    <w:bookmarkEnd w:id="11"/>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0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5"/>
          <w:szCs w:val="15"/>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149,990,566 shares of our Class A common stock outstanding. Of these shares, all of the shares of our Class A common stock sold in this offering, the IPO, and the Secondary Offerings (totaling 78,175,000 shares of our Class A common stock) will be freely tradable without restriction or further registration under the Securities Act of 1933, as amended (the “Securities Act”), by persons other than our “affiliates,” as that term is defined under Rule 144 of the Securities Act (“Rule 144”). The remaining shares of our Class A common stock will be “restricted securities,” as defined in Rule 144, and may not be sold absent registration under the Securities Act or compliance with Rule 144 thereunder or in reliance on another exemption from registration. See “Shares Eligible for Future Sale.”</w:t>
      </w:r>
    </w:p>
    <w:p>
      <w:pPr>
        <w:spacing w:after="0" w:line="115" w:lineRule="exact"/>
        <w:rPr>
          <w:sz w:val="20"/>
          <w:szCs w:val="20"/>
          <w:color w:val="auto"/>
        </w:rPr>
      </w:pPr>
    </w:p>
    <w:p>
      <w:pPr>
        <w:jc w:val="both"/>
        <w:ind w:firstLine="284"/>
        <w:spacing w:after="0" w:line="287" w:lineRule="auto"/>
        <w:rPr>
          <w:sz w:val="20"/>
          <w:szCs w:val="20"/>
          <w:color w:val="auto"/>
        </w:rPr>
      </w:pPr>
      <w:r>
        <w:rPr>
          <w:rFonts w:ascii="Arial" w:cs="Arial" w:eastAsia="Arial" w:hAnsi="Arial"/>
          <w:sz w:val="14"/>
          <w:szCs w:val="14"/>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06" w:lineRule="exact"/>
        <w:rPr>
          <w:sz w:val="20"/>
          <w:szCs w:val="20"/>
          <w:color w:val="auto"/>
        </w:rPr>
      </w:pPr>
    </w:p>
    <w:p>
      <w:pPr>
        <w:jc w:val="both"/>
        <w:ind w:firstLine="284"/>
        <w:spacing w:after="0" w:line="273" w:lineRule="auto"/>
        <w:rPr>
          <w:sz w:val="20"/>
          <w:szCs w:val="20"/>
          <w:color w:val="auto"/>
        </w:rPr>
      </w:pPr>
      <w:r>
        <w:rPr>
          <w:rFonts w:ascii="Arial" w:cs="Arial" w:eastAsia="Arial" w:hAnsi="Arial"/>
          <w:sz w:val="15"/>
          <w:szCs w:val="15"/>
          <w:color w:val="auto"/>
        </w:rPr>
        <w:t>As of July 23, 2021, after giving effect to this offering (subject to the terms of the applicable limited liability company agreement), an aggregate of 171,958,491 OpCo Units and an aggregate of 3,267,130 HoldCo Units would be exchangeable for shares of our Class A common stock and an aggregate of 65,509,596 shares of Class C common stock would be convertible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w:t>
      </w:r>
    </w:p>
    <w:p>
      <w:pPr>
        <w:spacing w:after="0" w:line="107"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We, certain of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30 days from the date of this prospectus, except with certain underwriter’s prior written consent. See “Underwriting.”</w:t>
      </w:r>
    </w:p>
    <w:p>
      <w:pPr>
        <w:spacing w:after="0" w:line="122"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Subject to certain limitations and exceptions, pursuant to the terms of the amended and restated limited liability company agreement of ZoomInfo OpCo, the holders of 14,313,813 Class P Units, which have a weighted-average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of $5.52 per Class P Unit, will be able to exchange their Class P Units into shares of our Class A common stock, as described in “Organizational Structure—Reclassification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260"/>
          </w:cols>
          <w:pgMar w:left="320" w:top="1262" w:right="319" w:bottom="1440" w:gutter="0" w:footer="0" w:header="0"/>
        </w:sectPr>
      </w:pPr>
    </w:p>
    <w:bookmarkStart w:id="12" w:name="page13"/>
    <w:bookmarkEnd w:id="12"/>
    <w:p>
      <w:pPr>
        <w:jc w:val="both"/>
        <w:ind w:right="20"/>
        <w:spacing w:after="0" w:line="302" w:lineRule="auto"/>
        <w:rPr>
          <w:sz w:val="20"/>
          <w:szCs w:val="20"/>
          <w:color w:val="auto"/>
        </w:rPr>
      </w:pPr>
      <w:r>
        <w:rPr>
          <w:rFonts w:ascii="Arial" w:cs="Arial" w:eastAsia="Arial" w:hAnsi="Arial"/>
          <w:sz w:val="15"/>
          <w:szCs w:val="15"/>
          <w:color w:val="auto"/>
        </w:rPr>
        <w:t>Amendment and Restatement of Limited Liability Company Agreement of ZoomInfo OpCo” included in the accompanying prospectus and “Transactions with Related Persons— ZoomInfo OpCo Amended and Restated Limited Liability Company Agreement” from our Proxy Statement incorporated by reference herein.</w:t>
      </w:r>
    </w:p>
    <w:p>
      <w:pPr>
        <w:spacing w:after="0" w:line="86"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23"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4"/>
          <w:szCs w:val="14"/>
          <w:color w:val="auto"/>
        </w:rPr>
        <w:t>However, subject to the expiration or waiver of the 30-day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 shares covered by registration rights would represent approximately 58.2% of our total Class A common stock outstanding,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 See “Shares Eligible for Future Sale— Registration Rights” included herein and “Transactions with Related Persons—Registration Rights Agreement” from our Proxy Statement incorporated by reference herein.</w:t>
      </w:r>
    </w:p>
    <w:p>
      <w:pPr>
        <w:spacing w:after="0" w:line="100"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123" w:lineRule="exact"/>
        <w:rPr>
          <w:sz w:val="20"/>
          <w:szCs w:val="20"/>
          <w:color w:val="auto"/>
        </w:rPr>
      </w:pPr>
    </w:p>
    <w:p>
      <w:pPr>
        <w:jc w:val="both"/>
        <w:ind w:firstLine="284"/>
        <w:spacing w:after="0" w:line="296" w:lineRule="auto"/>
        <w:rPr>
          <w:sz w:val="20"/>
          <w:szCs w:val="20"/>
          <w:color w:val="auto"/>
        </w:rPr>
      </w:pPr>
      <w:r>
        <w:rPr>
          <w:rFonts w:ascii="Arial" w:cs="Arial" w:eastAsia="Arial" w:hAnsi="Arial"/>
          <w:sz w:val="14"/>
          <w:szCs w:val="14"/>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260"/>
          </w:cols>
          <w:pgMar w:left="320" w:top="1262"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51"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6"/>
          <w:szCs w:val="16"/>
          <w:color w:val="auto"/>
        </w:rPr>
        <w:t>This prospectus supplement (including the information incorporated or deemed to be incorporated by reference in this prospectus supplement and any free writing prospectus that we may provide to you in connection with the offering of our Class A common stock described in this prospectus supplement)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supplement and the accompanying prospectus, including in the section entitled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27" w:lineRule="exact"/>
        <w:rPr>
          <w:sz w:val="20"/>
          <w:szCs w:val="20"/>
          <w:color w:val="auto"/>
        </w:rPr>
      </w:pPr>
    </w:p>
    <w:p>
      <w:pPr>
        <w:jc w:val="both"/>
        <w:ind w:firstLine="284"/>
        <w:spacing w:after="0" w:line="282" w:lineRule="auto"/>
        <w:rPr>
          <w:sz w:val="20"/>
          <w:szCs w:val="20"/>
          <w:color w:val="auto"/>
        </w:rPr>
      </w:pPr>
      <w:r>
        <w:rPr>
          <w:rFonts w:ascii="Arial" w:cs="Arial" w:eastAsia="Arial" w:hAnsi="Arial"/>
          <w:sz w:val="15"/>
          <w:szCs w:val="15"/>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02"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The following are some of the factors that could cause actual results to differ from those expressed or implied by our forward-looking statements, including forward-looking statements contained in this prospectus supplement and the accompanying pro:</w:t>
      </w:r>
    </w:p>
    <w:p>
      <w:pPr>
        <w:spacing w:after="0" w:line="109" w:lineRule="exact"/>
        <w:rPr>
          <w:sz w:val="20"/>
          <w:szCs w:val="20"/>
          <w:color w:val="auto"/>
        </w:rPr>
      </w:pPr>
    </w:p>
    <w:p>
      <w:pPr>
        <w:ind w:left="560" w:right="20" w:hanging="282"/>
        <w:spacing w:after="0" w:line="268"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COVID-19 pandemic, including the global economic uncertainty and measures taken in response, could materially impact our business and future results of operations;</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larger well-funded companies may shift their existing business models to become more competitive with us;</w:t>
      </w:r>
    </w:p>
    <w:p>
      <w:pPr>
        <w:spacing w:after="0" w:line="147" w:lineRule="exact"/>
        <w:rPr>
          <w:rFonts w:ascii="Arial" w:cs="Arial" w:eastAsia="Arial" w:hAnsi="Arial"/>
          <w:sz w:val="16"/>
          <w:szCs w:val="16"/>
          <w:color w:val="auto"/>
        </w:rPr>
      </w:pPr>
    </w:p>
    <w:p>
      <w:pPr>
        <w:jc w:val="both"/>
        <w:ind w:left="560" w:right="20" w:hanging="282"/>
        <w:spacing w:after="0" w:line="257"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118" w:lineRule="exact"/>
        <w:rPr>
          <w:rFonts w:ascii="Arial" w:cs="Arial" w:eastAsia="Arial" w:hAnsi="Arial"/>
          <w:sz w:val="16"/>
          <w:szCs w:val="16"/>
          <w:color w:val="auto"/>
        </w:rPr>
      </w:pPr>
    </w:p>
    <w:p>
      <w:pPr>
        <w:ind w:left="560" w:hanging="282"/>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may experience competition from companies that more effectively cater to our customers by offering more tailored products or platforms at lower costs;</w:t>
      </w:r>
    </w:p>
    <w:p>
      <w:pPr>
        <w:spacing w:after="0" w:line="158" w:lineRule="exact"/>
        <w:rPr>
          <w:rFonts w:ascii="Arial" w:cs="Arial" w:eastAsia="Arial" w:hAnsi="Arial"/>
          <w:sz w:val="15"/>
          <w:szCs w:val="15"/>
          <w:color w:val="auto"/>
        </w:rPr>
      </w:pPr>
    </w:p>
    <w:p>
      <w:pPr>
        <w:ind w:left="560" w:hanging="282"/>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adverse general economic and market conditions may reduce spending on sales and marketing, which could harm our revenue, results of operations and cash flows;</w:t>
      </w:r>
    </w:p>
    <w:p>
      <w:pPr>
        <w:spacing w:after="0" w:line="170" w:lineRule="exact"/>
        <w:rPr>
          <w:rFonts w:ascii="Arial" w:cs="Arial" w:eastAsia="Arial" w:hAnsi="Arial"/>
          <w:sz w:val="14"/>
          <w:szCs w:val="14"/>
          <w:color w:val="auto"/>
        </w:rPr>
      </w:pPr>
    </w:p>
    <w:p>
      <w:pPr>
        <w:ind w:left="560" w:hanging="282"/>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decline in demand for sales and marketing subscription platforms could negatively impact our business;</w:t>
      </w:r>
    </w:p>
    <w:p>
      <w:pPr>
        <w:spacing w:after="0" w:line="147"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unable to improve our technology and keep up with new processes for data collection, organization, and cleansing, competing products and services could surpass ours;</w:t>
      </w:r>
    </w:p>
    <w:p>
      <w:pPr>
        <w:spacing w:after="0" w:line="109"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unable to provide a highly accurate, reliable, and comprehensive platform moving forward, which could cause a reduction in demand for our products and services;</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rely on third-party systems that we do not control to integrate with our system and we may be unable to continue to support integration;</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unable to adequately fund research and development, which could limit introduction of new features, integrations, and enhancements, which may limit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260"/>
          </w:cols>
          <w:pgMar w:left="320" w:top="1258" w:right="319" w:bottom="1440" w:gutter="0" w:footer="0" w:header="0"/>
        </w:sectPr>
      </w:pPr>
    </w:p>
    <w:bookmarkStart w:id="14" w:name="page15"/>
    <w:bookmarkEnd w:id="14"/>
    <w:p>
      <w:pPr>
        <w:ind w:left="560" w:hanging="282"/>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unable to attract new customers and expand existing subscriptions, which could harm our revenue growth and profitability;</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decrease in participation in our contributory network or increased opt-out rates could lead to a deterioration in the depth, breadth, and accuracy of our platform;</w:t>
      </w:r>
    </w:p>
    <w:p>
      <w:pPr>
        <w:spacing w:after="0" w:line="158" w:lineRule="exact"/>
        <w:rPr>
          <w:rFonts w:ascii="Arial" w:cs="Arial" w:eastAsia="Arial" w:hAnsi="Arial"/>
          <w:sz w:val="15"/>
          <w:szCs w:val="15"/>
          <w:color w:val="auto"/>
        </w:rPr>
      </w:pPr>
    </w:p>
    <w:p>
      <w:pPr>
        <w:ind w:left="560" w:hanging="282"/>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fail to protect and maintain our brand, which could impair our ability to attract and retain customers;</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achieve and maintain effective internal controls over financial reporting, which has impaired and could continue to impair our ability to produce timely and accurate financial statements;</w:t>
      </w:r>
    </w:p>
    <w:p>
      <w:pPr>
        <w:spacing w:after="0" w:line="109"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unable to successfully integrate acquired businesses, services, databases, and technologies into our operations, which could have an adverse effect on our business;</w:t>
      </w:r>
    </w:p>
    <w:p>
      <w:pPr>
        <w:spacing w:after="0" w:line="109" w:lineRule="exact"/>
        <w:rPr>
          <w:rFonts w:ascii="Arial" w:cs="Arial" w:eastAsia="Arial" w:hAnsi="Arial"/>
          <w:sz w:val="16"/>
          <w:szCs w:val="16"/>
          <w:color w:val="auto"/>
        </w:rPr>
      </w:pPr>
    </w:p>
    <w:p>
      <w:pPr>
        <w:jc w:val="both"/>
        <w:ind w:left="560" w:hanging="282"/>
        <w:spacing w:after="0" w:line="257"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substantial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18" w:lineRule="exact"/>
        <w:rPr>
          <w:rFonts w:ascii="Arial" w:cs="Arial" w:eastAsia="Arial" w:hAnsi="Arial"/>
          <w:sz w:val="16"/>
          <w:szCs w:val="16"/>
          <w:color w:val="auto"/>
        </w:rPr>
      </w:pPr>
    </w:p>
    <w:p>
      <w:pPr>
        <w:ind w:left="560" w:hanging="282"/>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parties to our stockholders agreement control us and their interests may conflict with ours or yours in the future;</w:t>
      </w:r>
    </w:p>
    <w:p>
      <w:pPr>
        <w:spacing w:after="0" w:line="147" w:lineRule="exact"/>
        <w:rPr>
          <w:rFonts w:ascii="Arial" w:cs="Arial" w:eastAsia="Arial" w:hAnsi="Arial"/>
          <w:sz w:val="16"/>
          <w:szCs w:val="16"/>
          <w:color w:val="auto"/>
        </w:rPr>
      </w:pPr>
    </w:p>
    <w:p>
      <w:pPr>
        <w:ind w:left="560" w:hanging="282"/>
        <w:spacing w:after="0" w:line="340" w:lineRule="auto"/>
        <w:tabs>
          <w:tab w:leader="none" w:pos="556"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are a “controlled company” within the meaning of the Nasdaq rules and, as a result, we qualify for exemptions from certain corporate governance requirements, as a result of which our stockholders will not have the same protections afforded to stockholders of companies that are subject to such requirements; and</w:t>
      </w:r>
    </w:p>
    <w:p>
      <w:pPr>
        <w:spacing w:after="0" w:line="64" w:lineRule="exact"/>
        <w:rPr>
          <w:rFonts w:ascii="Arial" w:cs="Arial" w:eastAsia="Arial" w:hAnsi="Arial"/>
          <w:sz w:val="14"/>
          <w:szCs w:val="14"/>
          <w:color w:val="auto"/>
        </w:rPr>
      </w:pPr>
    </w:p>
    <w:p>
      <w:pPr>
        <w:ind w:left="560" w:hanging="282"/>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factors described under “Risk Factors” included herein and “Risk Factors” in our Annual Report incorporated by reference herein.</w:t>
      </w:r>
    </w:p>
    <w:p>
      <w:pPr>
        <w:spacing w:after="0" w:line="147" w:lineRule="exact"/>
        <w:rPr>
          <w:sz w:val="20"/>
          <w:szCs w:val="20"/>
          <w:color w:val="auto"/>
        </w:rPr>
      </w:pPr>
    </w:p>
    <w:p>
      <w:pPr>
        <w:jc w:val="both"/>
        <w:ind w:firstLine="284"/>
        <w:spacing w:after="0" w:line="273"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prospectus supplement.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07" w:lineRule="exact"/>
        <w:rPr>
          <w:sz w:val="20"/>
          <w:szCs w:val="20"/>
          <w:color w:val="auto"/>
        </w:rPr>
      </w:pPr>
    </w:p>
    <w:p>
      <w:pPr>
        <w:jc w:val="both"/>
        <w:ind w:right="20" w:firstLine="284"/>
        <w:spacing w:after="0" w:line="302" w:lineRule="auto"/>
        <w:rPr>
          <w:sz w:val="20"/>
          <w:szCs w:val="20"/>
          <w:color w:val="auto"/>
        </w:rPr>
      </w:pPr>
      <w:r>
        <w:rPr>
          <w:rFonts w:ascii="Arial" w:cs="Arial" w:eastAsia="Arial" w:hAnsi="Arial"/>
          <w:sz w:val="15"/>
          <w:szCs w:val="15"/>
          <w:color w:val="auto"/>
        </w:rPr>
        <w:t>Any forward-looking statement made by us in this prospectus supplement speaks only as of the date of this prospectus supplement.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260"/>
          </w:cols>
          <w:pgMar w:left="320" w:top="1262"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151"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We will not receive any proceeds from the sale of shares of our Class A common stock in this offering by the selling stockholders. The selling stockholders will bear the underwriting discount attributable to their sale of our Class A common stock, and we will bear the remaining expenses. For more information about the selling stockholders, see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240"/>
          </w:cols>
          <w:pgMar w:left="320" w:top="125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151" w:lineRule="exact"/>
        <w:rPr>
          <w:sz w:val="20"/>
          <w:szCs w:val="20"/>
          <w:color w:val="auto"/>
        </w:rPr>
      </w:pPr>
    </w:p>
    <w:p>
      <w:pPr>
        <w:jc w:val="both"/>
        <w:ind w:firstLine="284"/>
        <w:spacing w:after="0" w:line="293" w:lineRule="auto"/>
        <w:rPr>
          <w:sz w:val="20"/>
          <w:szCs w:val="20"/>
          <w:color w:val="auto"/>
        </w:rPr>
      </w:pPr>
      <w:r>
        <w:rPr>
          <w:rFonts w:ascii="Arial" w:cs="Arial" w:eastAsia="Arial" w:hAnsi="Arial"/>
          <w:sz w:val="14"/>
          <w:szCs w:val="14"/>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51"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See “Transactions with Related Persons—ZoomInfo OpCo Amended and Restated Limited Liability Company Agreement” from our Proxy Statement incorporated by reference herein.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78" w:lineRule="exact"/>
        <w:rPr>
          <w:sz w:val="20"/>
          <w:szCs w:val="20"/>
          <w:color w:val="auto"/>
        </w:rPr>
      </w:pPr>
    </w:p>
    <w:p>
      <w:pPr>
        <w:jc w:val="both"/>
        <w:ind w:firstLine="284"/>
        <w:spacing w:after="0" w:line="287" w:lineRule="auto"/>
        <w:rPr>
          <w:sz w:val="20"/>
          <w:szCs w:val="20"/>
          <w:color w:val="auto"/>
        </w:rPr>
      </w:pPr>
      <w:r>
        <w:rPr>
          <w:rFonts w:ascii="Arial" w:cs="Arial" w:eastAsia="Arial" w:hAnsi="Arial"/>
          <w:sz w:val="14"/>
          <w:szCs w:val="14"/>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 from our Annual Report incorporated by reference herein.</w:t>
      </w:r>
    </w:p>
    <w:p>
      <w:pPr>
        <w:spacing w:after="0" w:line="58"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The agreement governing our secured credit facilities contains a number of covenants that restrict, subject to certain exceptions, certain of our subsidiaries’ ability to pay dividends to us. See Note 8 to our audited consolidated financial statements in our Annual Report incorporated by reference herein.</w:t>
      </w:r>
    </w:p>
    <w:p>
      <w:pPr>
        <w:spacing w:after="0" w:line="62"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260"/>
          </w:cols>
          <w:pgMar w:left="320" w:top="1258" w:right="319" w:bottom="1440" w:gutter="0" w:footer="0" w:header="0"/>
        </w:sectPr>
      </w:pPr>
    </w:p>
    <w:bookmarkStart w:id="17" w:name="page18"/>
    <w:bookmarkEnd w:id="17"/>
    <w:p>
      <w:pPr>
        <w:jc w:val="both"/>
        <w:ind w:firstLine="284"/>
        <w:spacing w:after="0" w:line="257" w:lineRule="auto"/>
        <w:rPr>
          <w:sz w:val="20"/>
          <w:szCs w:val="20"/>
          <w:color w:val="auto"/>
        </w:rPr>
      </w:pPr>
      <w:r>
        <w:rPr>
          <w:rFonts w:ascii="Arial" w:cs="Arial" w:eastAsia="Arial" w:hAnsi="Arial"/>
          <w:sz w:val="16"/>
          <w:szCs w:val="16"/>
          <w:color w:val="auto"/>
        </w:rPr>
        <w:t>Since its formation in November 2019, ZoomInfo Technologies Inc. has not paid any dividends to holders of its outstanding common stock. In 2018, 2019, 2020 and during the six months ended June 30, 2021, ZoomInfo OpCo made cash distributions to equity partners in an aggregate amount of $93.4 million, $16.5 million, $9.9 million, and $15.3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240"/>
          </w:cols>
          <w:pgMar w:left="320" w:top="126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SELLING STOCKHOLDERS</w:t>
      </w:r>
    </w:p>
    <w:p>
      <w:pPr>
        <w:spacing w:after="0" w:line="151"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The following tables set forth information regarding the beneficial ownership of shares of our Class A common stock, our Class B common stock, and our Class C common stock by the selling stockholders as of July 23, 2021, the number of shares of our Class A common stock offered hereby by the selling stockholders and information with respect to shares to be beneficially owned by the selling stockholders as of July 23, 2021 after giving effect to the completion of this offering (but not giving effect any exchange of shares of Class B common stock for, or conversion of shares of Class C common stock into, shares of Class A common stock and sales of shares of Class A common stock, in each case after July 23, 2021).</w:t>
      </w:r>
    </w:p>
    <w:p>
      <w:pPr>
        <w:spacing w:after="0" w:line="122" w:lineRule="exact"/>
        <w:rPr>
          <w:sz w:val="20"/>
          <w:szCs w:val="20"/>
          <w:color w:val="auto"/>
        </w:rPr>
      </w:pPr>
    </w:p>
    <w:p>
      <w:pPr>
        <w:jc w:val="both"/>
        <w:ind w:firstLine="284"/>
        <w:spacing w:after="0" w:line="271" w:lineRule="auto"/>
        <w:rPr>
          <w:sz w:val="20"/>
          <w:szCs w:val="20"/>
          <w:color w:val="auto"/>
        </w:rPr>
      </w:pPr>
      <w:r>
        <w:rPr>
          <w:rFonts w:ascii="Arial" w:cs="Arial" w:eastAsia="Arial" w:hAnsi="Arial"/>
          <w:sz w:val="15"/>
          <w:szCs w:val="15"/>
          <w:color w:val="auto"/>
        </w:rPr>
        <w:t>The percentage of beneficial ownership of shares of our Class A common stock, our Class B common stock, and our Class C common stock before and after giving effect to this offering set forth below is based on 122,990,566 shares of Class A common stock outstanding, 190,396,902 shares of Class B common stock outstanding, and 77,338,315 shares of Class C common stock outstanding as of July 23, 2021. As of July 23, 2021, we had six holders of record of our Class A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July 23, 2021, we had 447 holders of record of our Class B common stock and seven holders of record of our Class C common stock.</w:t>
      </w:r>
    </w:p>
    <w:p>
      <w:pPr>
        <w:spacing w:after="0" w:line="109"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The Pre-IPO OpCo Unitholders and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23"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22"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“Transactions with Related Persons—ZoomInfo OpCo Amended and Restated Limited Liability Company Agreement,” “Transactions with Related Persons—ZoomInfo HoldCo Amended and Restated Limited Liability Company Agreement” from our Proxy Statement incorporated by reference herein and “Description of Capital Stock” included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260"/>
          </w:cols>
          <w:pgMar w:left="320" w:top="1258"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gridSpan w:val="7"/>
          </w:tcPr>
          <w:p>
            <w:pPr>
              <w:ind w:left="560"/>
              <w:spacing w:after="0"/>
              <w:rPr>
                <w:sz w:val="20"/>
                <w:szCs w:val="20"/>
                <w:color w:val="auto"/>
              </w:rPr>
            </w:pPr>
            <w:r>
              <w:rPr>
                <w:rFonts w:ascii="Arial" w:cs="Arial" w:eastAsia="Arial" w:hAnsi="Arial"/>
                <w:sz w:val="7"/>
                <w:szCs w:val="7"/>
                <w:b w:val="1"/>
                <w:bCs w:val="1"/>
                <w:color w:val="auto"/>
                <w:w w:val="98"/>
              </w:rPr>
              <w:t>Class A Common Stock Beneficially Owned</w:t>
            </w:r>
            <w:r>
              <w:rPr>
                <w:rFonts w:ascii="Arial" w:cs="Arial" w:eastAsia="Arial" w:hAnsi="Arial"/>
                <w:sz w:val="9"/>
                <w:szCs w:val="9"/>
                <w:b w:val="1"/>
                <w:bCs w:val="1"/>
                <w:color w:val="auto"/>
                <w:w w:val="98"/>
                <w:vertAlign w:val="superscript"/>
              </w:rPr>
              <w:t>(1)(3)</w:t>
            </w:r>
          </w:p>
        </w:tc>
        <w:tc>
          <w:tcPr>
            <w:tcW w:w="220" w:type="dxa"/>
            <w:vAlign w:val="bottom"/>
          </w:tcPr>
          <w:p>
            <w:pPr>
              <w:spacing w:after="0"/>
              <w:rPr>
                <w:sz w:val="8"/>
                <w:szCs w:val="8"/>
                <w:color w:val="auto"/>
              </w:rPr>
            </w:pPr>
          </w:p>
        </w:tc>
        <w:tc>
          <w:tcPr>
            <w:tcW w:w="780" w:type="dxa"/>
            <w:vAlign w:val="bottom"/>
          </w:tcPr>
          <w:p>
            <w:pPr>
              <w:jc w:val="center"/>
              <w:ind w:left="122"/>
              <w:spacing w:after="0"/>
              <w:rPr>
                <w:sz w:val="20"/>
                <w:szCs w:val="20"/>
                <w:color w:val="auto"/>
              </w:rPr>
            </w:pPr>
            <w:r>
              <w:rPr>
                <w:rFonts w:ascii="Arial" w:cs="Arial" w:eastAsia="Arial" w:hAnsi="Arial"/>
                <w:sz w:val="7"/>
                <w:szCs w:val="7"/>
                <w:b w:val="1"/>
                <w:bCs w:val="1"/>
                <w:color w:val="auto"/>
                <w:w w:val="85"/>
              </w:rPr>
              <w:t>Class A</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gridSpan w:val="5"/>
          </w:tcPr>
          <w:p>
            <w:pPr>
              <w:ind w:left="20"/>
              <w:spacing w:after="0"/>
              <w:rPr>
                <w:sz w:val="20"/>
                <w:szCs w:val="20"/>
                <w:color w:val="auto"/>
              </w:rPr>
            </w:pPr>
            <w:r>
              <w:rPr>
                <w:rFonts w:ascii="Arial" w:cs="Arial" w:eastAsia="Arial" w:hAnsi="Arial"/>
                <w:sz w:val="7"/>
                <w:szCs w:val="7"/>
                <w:b w:val="1"/>
                <w:bCs w:val="1"/>
                <w:color w:val="auto"/>
              </w:rPr>
              <w:t>Class B Common Stock Beneficially Owned</w:t>
            </w:r>
            <w:r>
              <w:rPr>
                <w:rFonts w:ascii="Arial" w:cs="Arial" w:eastAsia="Arial" w:hAnsi="Arial"/>
                <w:sz w:val="9"/>
                <w:szCs w:val="9"/>
                <w:b w:val="1"/>
                <w:bCs w:val="1"/>
                <w:color w:val="auto"/>
                <w:vertAlign w:val="superscript"/>
              </w:rPr>
              <w:t>(1)(2)</w:t>
            </w: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5"/>
          </w:tcPr>
          <w:p>
            <w:pPr>
              <w:ind w:left="40"/>
              <w:spacing w:after="0"/>
              <w:rPr>
                <w:sz w:val="20"/>
                <w:szCs w:val="20"/>
                <w:color w:val="auto"/>
              </w:rPr>
            </w:pPr>
            <w:r>
              <w:rPr>
                <w:rFonts w:ascii="Arial" w:cs="Arial" w:eastAsia="Arial" w:hAnsi="Arial"/>
                <w:sz w:val="7"/>
                <w:szCs w:val="7"/>
                <w:b w:val="1"/>
                <w:bCs w:val="1"/>
                <w:color w:val="auto"/>
              </w:rPr>
              <w:t>Class C Common Stock Beneficially Owned</w:t>
            </w:r>
            <w:r>
              <w:rPr>
                <w:rFonts w:ascii="Arial" w:cs="Arial" w:eastAsia="Arial" w:hAnsi="Arial"/>
                <w:sz w:val="9"/>
                <w:szCs w:val="9"/>
                <w:b w:val="1"/>
                <w:bCs w:val="1"/>
                <w:color w:val="auto"/>
                <w:vertAlign w:val="superscript"/>
              </w:rPr>
              <w:t>(3)</w:t>
            </w:r>
          </w:p>
        </w:tc>
        <w:tc>
          <w:tcPr>
            <w:tcW w:w="340" w:type="dxa"/>
            <w:vAlign w:val="bottom"/>
          </w:tcPr>
          <w:p>
            <w:pPr>
              <w:spacing w:after="0"/>
              <w:rPr>
                <w:sz w:val="8"/>
                <w:szCs w:val="8"/>
                <w:color w:val="auto"/>
              </w:rPr>
            </w:pPr>
          </w:p>
        </w:tc>
        <w:tc>
          <w:tcPr>
            <w:tcW w:w="1220" w:type="dxa"/>
            <w:vAlign w:val="bottom"/>
            <w:gridSpan w:val="3"/>
          </w:tcPr>
          <w:p>
            <w:pPr>
              <w:ind w:left="340"/>
              <w:spacing w:after="0"/>
              <w:rPr>
                <w:sz w:val="20"/>
                <w:szCs w:val="20"/>
                <w:color w:val="auto"/>
              </w:rPr>
            </w:pPr>
            <w:r>
              <w:rPr>
                <w:rFonts w:ascii="Arial" w:cs="Arial" w:eastAsia="Arial" w:hAnsi="Arial"/>
                <w:sz w:val="7"/>
                <w:szCs w:val="7"/>
                <w:b w:val="1"/>
                <w:bCs w:val="1"/>
                <w:color w:val="auto"/>
                <w:w w:val="95"/>
              </w:rPr>
              <w:t>Combined Voting Power</w:t>
            </w:r>
            <w:r>
              <w:rPr>
                <w:rFonts w:ascii="Arial" w:cs="Arial" w:eastAsia="Arial" w:hAnsi="Arial"/>
                <w:sz w:val="9"/>
                <w:szCs w:val="9"/>
                <w:b w:val="1"/>
                <w:bCs w:val="1"/>
                <w:color w:val="auto"/>
                <w:w w:val="95"/>
                <w:vertAlign w:val="superscript"/>
              </w:rPr>
              <w:t>(4)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Pr>
          <w:p>
            <w:pPr>
              <w:jc w:val="center"/>
              <w:ind w:right="82"/>
              <w:spacing w:after="0"/>
              <w:rPr>
                <w:sz w:val="20"/>
                <w:szCs w:val="20"/>
                <w:color w:val="auto"/>
              </w:rPr>
            </w:pPr>
            <w:r>
              <w:rPr>
                <w:rFonts w:ascii="Arial" w:cs="Arial" w:eastAsia="Arial" w:hAnsi="Arial"/>
                <w:sz w:val="2"/>
                <w:szCs w:val="2"/>
                <w:b w:val="1"/>
                <w:bCs w:val="1"/>
                <w:color w:val="auto"/>
              </w:rPr>
              <w:t>Common Stock to be</w:t>
            </w: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restart"/>
          </w:tcPr>
          <w:p>
            <w:pPr>
              <w:ind w:left="360"/>
              <w:spacing w:after="0"/>
              <w:rPr>
                <w:sz w:val="20"/>
                <w:szCs w:val="20"/>
                <w:color w:val="auto"/>
              </w:rPr>
            </w:pPr>
            <w:r>
              <w:rPr>
                <w:rFonts w:ascii="Arial" w:cs="Arial" w:eastAsia="Arial" w:hAnsi="Arial"/>
                <w:sz w:val="7"/>
                <w:szCs w:val="7"/>
                <w:b w:val="1"/>
                <w:bCs w:val="1"/>
                <w:color w:val="auto"/>
              </w:rPr>
              <w:t>Prior to this Offering</w:t>
            </w:r>
          </w:p>
        </w:tc>
        <w:tc>
          <w:tcPr>
            <w:tcW w:w="980" w:type="dxa"/>
            <w:vAlign w:val="bottom"/>
            <w:gridSpan w:val="3"/>
            <w:vMerge w:val="restart"/>
          </w:tcPr>
          <w:p>
            <w:pPr>
              <w:ind w:left="400"/>
              <w:spacing w:after="0"/>
              <w:rPr>
                <w:sz w:val="20"/>
                <w:szCs w:val="20"/>
                <w:color w:val="auto"/>
              </w:rPr>
            </w:pPr>
            <w:r>
              <w:rPr>
                <w:rFonts w:ascii="Arial" w:cs="Arial" w:eastAsia="Arial" w:hAnsi="Arial"/>
                <w:sz w:val="7"/>
                <w:szCs w:val="7"/>
                <w:b w:val="1"/>
                <w:bCs w:val="1"/>
                <w:color w:val="auto"/>
                <w:w w:val="93"/>
              </w:rPr>
              <w:t>After this Offering</w:t>
            </w:r>
          </w:p>
        </w:tc>
        <w:tc>
          <w:tcPr>
            <w:tcW w:w="220" w:type="dxa"/>
            <w:vAlign w:val="bottom"/>
          </w:tcPr>
          <w:p>
            <w:pPr>
              <w:spacing w:after="0"/>
              <w:rPr>
                <w:sz w:val="5"/>
                <w:szCs w:val="5"/>
                <w:color w:val="auto"/>
              </w:rPr>
            </w:pPr>
          </w:p>
        </w:tc>
        <w:tc>
          <w:tcPr>
            <w:tcW w:w="780" w:type="dxa"/>
            <w:vAlign w:val="bottom"/>
          </w:tcPr>
          <w:p>
            <w:pPr>
              <w:jc w:val="center"/>
              <w:ind w:right="82"/>
              <w:spacing w:after="0" w:line="63" w:lineRule="exact"/>
              <w:rPr>
                <w:sz w:val="20"/>
                <w:szCs w:val="20"/>
                <w:color w:val="auto"/>
              </w:rPr>
            </w:pPr>
            <w:r>
              <w:rPr>
                <w:rFonts w:ascii="Arial" w:cs="Arial" w:eastAsia="Arial" w:hAnsi="Arial"/>
                <w:sz w:val="7"/>
                <w:szCs w:val="7"/>
                <w:b w:val="1"/>
                <w:bCs w:val="1"/>
                <w:color w:val="auto"/>
                <w:w w:val="91"/>
              </w:rPr>
              <w:t>Sold</w:t>
            </w:r>
          </w:p>
        </w:tc>
        <w:tc>
          <w:tcPr>
            <w:tcW w:w="1440" w:type="dxa"/>
            <w:vAlign w:val="bottom"/>
            <w:gridSpan w:val="4"/>
            <w:vMerge w:val="restart"/>
          </w:tcPr>
          <w:p>
            <w:pPr>
              <w:ind w:left="500"/>
              <w:spacing w:after="0"/>
              <w:rPr>
                <w:sz w:val="20"/>
                <w:szCs w:val="20"/>
                <w:color w:val="auto"/>
              </w:rPr>
            </w:pPr>
            <w:r>
              <w:rPr>
                <w:rFonts w:ascii="Arial" w:cs="Arial" w:eastAsia="Arial" w:hAnsi="Arial"/>
                <w:sz w:val="7"/>
                <w:szCs w:val="7"/>
                <w:b w:val="1"/>
                <w:bCs w:val="1"/>
                <w:color w:val="auto"/>
              </w:rPr>
              <w:t>Prior to this Offering</w:t>
            </w:r>
          </w:p>
        </w:tc>
        <w:tc>
          <w:tcPr>
            <w:tcW w:w="1100" w:type="dxa"/>
            <w:vAlign w:val="bottom"/>
            <w:gridSpan w:val="3"/>
            <w:vMerge w:val="restart"/>
          </w:tcPr>
          <w:p>
            <w:pPr>
              <w:ind w:left="540"/>
              <w:spacing w:after="0"/>
              <w:rPr>
                <w:sz w:val="20"/>
                <w:szCs w:val="20"/>
                <w:color w:val="auto"/>
              </w:rPr>
            </w:pPr>
            <w:r>
              <w:rPr>
                <w:rFonts w:ascii="Arial" w:cs="Arial" w:eastAsia="Arial" w:hAnsi="Arial"/>
                <w:sz w:val="7"/>
                <w:szCs w:val="7"/>
                <w:b w:val="1"/>
                <w:bCs w:val="1"/>
                <w:color w:val="auto"/>
                <w:w w:val="90"/>
              </w:rPr>
              <w:t>After this Offering</w:t>
            </w:r>
          </w:p>
        </w:tc>
        <w:tc>
          <w:tcPr>
            <w:tcW w:w="360" w:type="dxa"/>
            <w:vAlign w:val="bottom"/>
          </w:tcPr>
          <w:p>
            <w:pPr>
              <w:spacing w:after="0"/>
              <w:rPr>
                <w:sz w:val="5"/>
                <w:szCs w:val="5"/>
                <w:color w:val="auto"/>
              </w:rPr>
            </w:pPr>
          </w:p>
        </w:tc>
        <w:tc>
          <w:tcPr>
            <w:tcW w:w="1420" w:type="dxa"/>
            <w:vAlign w:val="bottom"/>
            <w:gridSpan w:val="4"/>
            <w:vMerge w:val="restart"/>
          </w:tcPr>
          <w:p>
            <w:pPr>
              <w:ind w:left="480"/>
              <w:spacing w:after="0"/>
              <w:rPr>
                <w:sz w:val="20"/>
                <w:szCs w:val="20"/>
                <w:color w:val="auto"/>
              </w:rPr>
            </w:pPr>
            <w:r>
              <w:rPr>
                <w:rFonts w:ascii="Arial" w:cs="Arial" w:eastAsia="Arial" w:hAnsi="Arial"/>
                <w:sz w:val="7"/>
                <w:szCs w:val="7"/>
                <w:b w:val="1"/>
                <w:bCs w:val="1"/>
                <w:color w:val="auto"/>
              </w:rPr>
              <w:t>Prior to this Offering</w:t>
            </w:r>
          </w:p>
        </w:tc>
        <w:tc>
          <w:tcPr>
            <w:tcW w:w="1120" w:type="dxa"/>
            <w:vAlign w:val="bottom"/>
            <w:gridSpan w:val="3"/>
            <w:vMerge w:val="restart"/>
          </w:tcPr>
          <w:p>
            <w:pPr>
              <w:ind w:left="560"/>
              <w:spacing w:after="0"/>
              <w:rPr>
                <w:sz w:val="20"/>
                <w:szCs w:val="20"/>
                <w:color w:val="auto"/>
              </w:rPr>
            </w:pPr>
            <w:r>
              <w:rPr>
                <w:rFonts w:ascii="Arial" w:cs="Arial" w:eastAsia="Arial" w:hAnsi="Arial"/>
                <w:sz w:val="7"/>
                <w:szCs w:val="7"/>
                <w:b w:val="1"/>
                <w:bCs w:val="1"/>
                <w:color w:val="auto"/>
                <w:w w:val="90"/>
              </w:rPr>
              <w:t>After this Offering</w:t>
            </w: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jc w:val="center"/>
              <w:ind w:right="82"/>
              <w:spacing w:after="0"/>
              <w:rPr>
                <w:sz w:val="20"/>
                <w:szCs w:val="20"/>
                <w:color w:val="auto"/>
              </w:rPr>
            </w:pPr>
            <w:r>
              <w:rPr>
                <w:rFonts w:ascii="Arial" w:cs="Arial" w:eastAsia="Arial" w:hAnsi="Arial"/>
                <w:sz w:val="7"/>
                <w:szCs w:val="7"/>
                <w:b w:val="1"/>
                <w:bCs w:val="1"/>
                <w:color w:val="auto"/>
                <w:w w:val="92"/>
              </w:rPr>
              <w:t>in this Offering</w:t>
            </w:r>
          </w:p>
        </w:tc>
        <w:tc>
          <w:tcPr>
            <w:tcW w:w="1440" w:type="dxa"/>
            <w:vAlign w:val="bottom"/>
            <w:gridSpan w:val="4"/>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tcPr>
          <w:p>
            <w:pPr>
              <w:spacing w:after="0" w:line="71" w:lineRule="exact"/>
              <w:rPr>
                <w:sz w:val="20"/>
                <w:szCs w:val="20"/>
                <w:color w:val="auto"/>
              </w:rPr>
            </w:pPr>
            <w:r>
              <w:rPr>
                <w:rFonts w:ascii="Arial" w:cs="Arial" w:eastAsia="Arial" w:hAnsi="Arial"/>
                <w:sz w:val="7"/>
                <w:szCs w:val="7"/>
                <w:b w:val="1"/>
                <w:bCs w:val="1"/>
                <w:color w:val="auto"/>
                <w:w w:val="92"/>
              </w:rPr>
              <w:t>Name of Beneficial</w:t>
            </w:r>
          </w:p>
        </w:tc>
        <w:tc>
          <w:tcPr>
            <w:tcW w:w="6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20" w:type="dxa"/>
            <w:vAlign w:val="bottom"/>
            <w:gridSpan w:val="2"/>
          </w:tcPr>
          <w:p>
            <w:pPr>
              <w:ind w:left="300"/>
              <w:spacing w:after="0" w:line="71" w:lineRule="exact"/>
              <w:rPr>
                <w:sz w:val="20"/>
                <w:szCs w:val="20"/>
                <w:color w:val="auto"/>
              </w:rPr>
            </w:pPr>
            <w:r>
              <w:rPr>
                <w:rFonts w:ascii="Arial" w:cs="Arial" w:eastAsia="Arial" w:hAnsi="Arial"/>
                <w:sz w:val="7"/>
                <w:szCs w:val="7"/>
                <w:b w:val="1"/>
                <w:bCs w:val="1"/>
                <w:color w:val="auto"/>
              </w:rPr>
              <w:t>% Prior</w:t>
            </w:r>
          </w:p>
        </w:tc>
        <w:tc>
          <w:tcPr>
            <w:tcW w:w="600" w:type="dxa"/>
            <w:vAlign w:val="bottom"/>
          </w:tcPr>
          <w:p>
            <w:pPr>
              <w:ind w:left="300"/>
              <w:spacing w:after="0" w:line="71" w:lineRule="exact"/>
              <w:rPr>
                <w:sz w:val="20"/>
                <w:szCs w:val="20"/>
                <w:color w:val="auto"/>
              </w:rPr>
            </w:pPr>
            <w:r>
              <w:rPr>
                <w:rFonts w:ascii="Arial" w:cs="Arial" w:eastAsia="Arial" w:hAnsi="Arial"/>
                <w:sz w:val="7"/>
                <w:szCs w:val="7"/>
                <w:b w:val="1"/>
                <w:bCs w:val="1"/>
                <w:color w:val="auto"/>
              </w:rPr>
              <w:t>% After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8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w:t>
            </w:r>
          </w:p>
        </w:tc>
        <w:tc>
          <w:tcPr>
            <w:tcW w:w="5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tcPr>
          <w:p>
            <w:pPr>
              <w:ind w:left="320"/>
              <w:spacing w:after="0" w:line="59" w:lineRule="exact"/>
              <w:rPr>
                <w:sz w:val="20"/>
                <w:szCs w:val="20"/>
                <w:color w:val="auto"/>
              </w:rPr>
            </w:pPr>
            <w:r>
              <w:rPr>
                <w:rFonts w:ascii="Arial" w:cs="Arial" w:eastAsia="Arial" w:hAnsi="Arial"/>
                <w:sz w:val="6"/>
                <w:szCs w:val="6"/>
                <w:b w:val="1"/>
                <w:bCs w:val="1"/>
                <w:color w:val="auto"/>
              </w:rPr>
              <w:t>Number</w:t>
            </w:r>
          </w:p>
        </w:tc>
        <w:tc>
          <w:tcPr>
            <w:tcW w:w="420" w:type="dxa"/>
            <w:vAlign w:val="bottom"/>
          </w:tcPr>
          <w:p>
            <w:pPr>
              <w:jc w:val="center"/>
              <w:ind w:left="256"/>
              <w:spacing w:after="0" w:line="59"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980" w:type="dxa"/>
            <w:vAlign w:val="bottom"/>
            <w:gridSpan w:val="3"/>
          </w:tcPr>
          <w:p>
            <w:pPr>
              <w:ind w:left="320"/>
              <w:spacing w:after="0" w:line="59" w:lineRule="exact"/>
              <w:rPr>
                <w:sz w:val="20"/>
                <w:szCs w:val="20"/>
                <w:color w:val="auto"/>
              </w:rPr>
            </w:pPr>
            <w:r>
              <w:rPr>
                <w:rFonts w:ascii="Arial" w:cs="Arial" w:eastAsia="Arial" w:hAnsi="Arial"/>
                <w:sz w:val="6"/>
                <w:szCs w:val="6"/>
                <w:b w:val="1"/>
                <w:bCs w:val="1"/>
                <w:color w:val="auto"/>
              </w:rPr>
              <w:t>Number</w:t>
            </w:r>
          </w:p>
        </w:tc>
        <w:tc>
          <w:tcPr>
            <w:tcW w:w="220" w:type="dxa"/>
            <w:vAlign w:val="bottom"/>
          </w:tcPr>
          <w:p>
            <w:pPr>
              <w:jc w:val="center"/>
              <w:ind w:right="56"/>
              <w:spacing w:after="0" w:line="59" w:lineRule="exact"/>
              <w:rPr>
                <w:sz w:val="20"/>
                <w:szCs w:val="20"/>
                <w:color w:val="auto"/>
              </w:rPr>
            </w:pPr>
            <w:r>
              <w:rPr>
                <w:rFonts w:ascii="Arial" w:cs="Arial" w:eastAsia="Arial" w:hAnsi="Arial"/>
                <w:sz w:val="6"/>
                <w:szCs w:val="6"/>
                <w:b w:val="1"/>
                <w:bCs w:val="1"/>
                <w:color w:val="auto"/>
              </w:rPr>
              <w:t>%</w:t>
            </w:r>
          </w:p>
        </w:tc>
        <w:tc>
          <w:tcPr>
            <w:tcW w:w="780" w:type="dxa"/>
            <w:vAlign w:val="bottom"/>
          </w:tcPr>
          <w:p>
            <w:pPr>
              <w:jc w:val="center"/>
              <w:ind w:left="122"/>
              <w:spacing w:after="0" w:line="59" w:lineRule="exact"/>
              <w:rPr>
                <w:sz w:val="20"/>
                <w:szCs w:val="20"/>
                <w:color w:val="auto"/>
              </w:rPr>
            </w:pPr>
            <w:r>
              <w:rPr>
                <w:rFonts w:ascii="Arial" w:cs="Arial" w:eastAsia="Arial" w:hAnsi="Arial"/>
                <w:sz w:val="6"/>
                <w:szCs w:val="6"/>
                <w:b w:val="1"/>
                <w:bCs w:val="1"/>
                <w:color w:val="auto"/>
              </w:rPr>
              <w:t>Number</w:t>
            </w:r>
          </w:p>
        </w:tc>
        <w:tc>
          <w:tcPr>
            <w:tcW w:w="800" w:type="dxa"/>
            <w:vAlign w:val="bottom"/>
            <w:gridSpan w:val="2"/>
          </w:tcPr>
          <w:p>
            <w:pPr>
              <w:jc w:val="center"/>
              <w:ind w:left="137"/>
              <w:spacing w:after="0" w:line="59" w:lineRule="exact"/>
              <w:rPr>
                <w:sz w:val="20"/>
                <w:szCs w:val="20"/>
                <w:color w:val="auto"/>
              </w:rPr>
            </w:pPr>
            <w:r>
              <w:rPr>
                <w:rFonts w:ascii="Arial" w:cs="Arial" w:eastAsia="Arial" w:hAnsi="Arial"/>
                <w:sz w:val="6"/>
                <w:szCs w:val="6"/>
                <w:b w:val="1"/>
                <w:bCs w:val="1"/>
                <w:color w:val="auto"/>
              </w:rPr>
              <w:t>Number</w:t>
            </w:r>
          </w:p>
        </w:tc>
        <w:tc>
          <w:tcPr>
            <w:tcW w:w="580" w:type="dxa"/>
            <w:vAlign w:val="bottom"/>
          </w:tcPr>
          <w:p>
            <w:pPr>
              <w:jc w:val="center"/>
              <w:ind w:left="237"/>
              <w:spacing w:after="0" w:line="59" w:lineRule="exact"/>
              <w:rPr>
                <w:sz w:val="20"/>
                <w:szCs w:val="20"/>
                <w:color w:val="auto"/>
              </w:rPr>
            </w:pPr>
            <w:r>
              <w:rPr>
                <w:rFonts w:ascii="Arial" w:cs="Arial" w:eastAsia="Arial" w:hAnsi="Arial"/>
                <w:sz w:val="6"/>
                <w:szCs w:val="6"/>
                <w:b w:val="1"/>
                <w:bCs w:val="1"/>
                <w:color w:val="auto"/>
              </w:rPr>
              <w:t>%</w:t>
            </w:r>
          </w:p>
        </w:tc>
        <w:tc>
          <w:tcPr>
            <w:tcW w:w="60" w:type="dxa"/>
            <w:vAlign w:val="bottom"/>
          </w:tcPr>
          <w:p>
            <w:pPr>
              <w:spacing w:after="0"/>
              <w:rPr>
                <w:sz w:val="5"/>
                <w:szCs w:val="5"/>
                <w:color w:val="auto"/>
              </w:rPr>
            </w:pPr>
          </w:p>
        </w:tc>
        <w:tc>
          <w:tcPr>
            <w:tcW w:w="1100" w:type="dxa"/>
            <w:vAlign w:val="bottom"/>
            <w:gridSpan w:val="3"/>
          </w:tcPr>
          <w:p>
            <w:pPr>
              <w:jc w:val="center"/>
              <w:ind w:right="80"/>
              <w:spacing w:after="0" w:line="59" w:lineRule="exact"/>
              <w:rPr>
                <w:sz w:val="20"/>
                <w:szCs w:val="20"/>
                <w:color w:val="auto"/>
              </w:rPr>
            </w:pPr>
            <w:r>
              <w:rPr>
                <w:rFonts w:ascii="Arial" w:cs="Arial" w:eastAsia="Arial" w:hAnsi="Arial"/>
                <w:sz w:val="6"/>
                <w:szCs w:val="6"/>
                <w:b w:val="1"/>
                <w:bCs w:val="1"/>
                <w:color w:val="auto"/>
              </w:rPr>
              <w:t>Number</w:t>
            </w:r>
          </w:p>
        </w:tc>
        <w:tc>
          <w:tcPr>
            <w:tcW w:w="360" w:type="dxa"/>
            <w:vAlign w:val="bottom"/>
          </w:tcPr>
          <w:p>
            <w:pPr>
              <w:jc w:val="center"/>
              <w:ind w:right="56"/>
              <w:spacing w:after="0" w:line="59" w:lineRule="exact"/>
              <w:rPr>
                <w:sz w:val="20"/>
                <w:szCs w:val="20"/>
                <w:color w:val="auto"/>
              </w:rPr>
            </w:pPr>
            <w:r>
              <w:rPr>
                <w:rFonts w:ascii="Arial" w:cs="Arial" w:eastAsia="Arial" w:hAnsi="Arial"/>
                <w:sz w:val="6"/>
                <w:szCs w:val="6"/>
                <w:b w:val="1"/>
                <w:bCs w:val="1"/>
                <w:color w:val="auto"/>
              </w:rPr>
              <w:t>%</w:t>
            </w:r>
          </w:p>
        </w:tc>
        <w:tc>
          <w:tcPr>
            <w:tcW w:w="800" w:type="dxa"/>
            <w:vAlign w:val="bottom"/>
            <w:gridSpan w:val="2"/>
          </w:tcPr>
          <w:p>
            <w:pPr>
              <w:ind w:left="360"/>
              <w:spacing w:after="0" w:line="59" w:lineRule="exact"/>
              <w:rPr>
                <w:sz w:val="20"/>
                <w:szCs w:val="20"/>
                <w:color w:val="auto"/>
              </w:rPr>
            </w:pPr>
            <w:r>
              <w:rPr>
                <w:rFonts w:ascii="Arial" w:cs="Arial" w:eastAsia="Arial" w:hAnsi="Arial"/>
                <w:sz w:val="6"/>
                <w:szCs w:val="6"/>
                <w:b w:val="1"/>
                <w:bCs w:val="1"/>
                <w:color w:val="auto"/>
              </w:rPr>
              <w:t>Number</w:t>
            </w:r>
          </w:p>
        </w:tc>
        <w:tc>
          <w:tcPr>
            <w:tcW w:w="560" w:type="dxa"/>
            <w:vAlign w:val="bottom"/>
          </w:tcPr>
          <w:p>
            <w:pPr>
              <w:jc w:val="center"/>
              <w:ind w:left="237"/>
              <w:spacing w:after="0" w:line="59" w:lineRule="exact"/>
              <w:rPr>
                <w:sz w:val="20"/>
                <w:szCs w:val="20"/>
                <w:color w:val="auto"/>
              </w:rPr>
            </w:pPr>
            <w:r>
              <w:rPr>
                <w:rFonts w:ascii="Arial" w:cs="Arial" w:eastAsia="Arial" w:hAnsi="Arial"/>
                <w:sz w:val="6"/>
                <w:szCs w:val="6"/>
                <w:b w:val="1"/>
                <w:bCs w:val="1"/>
                <w:color w:val="auto"/>
              </w:rPr>
              <w:t>%</w:t>
            </w:r>
          </w:p>
        </w:tc>
        <w:tc>
          <w:tcPr>
            <w:tcW w:w="60" w:type="dxa"/>
            <w:vAlign w:val="bottom"/>
          </w:tcPr>
          <w:p>
            <w:pPr>
              <w:spacing w:after="0"/>
              <w:rPr>
                <w:sz w:val="5"/>
                <w:szCs w:val="5"/>
                <w:color w:val="auto"/>
              </w:rPr>
            </w:pPr>
          </w:p>
        </w:tc>
        <w:tc>
          <w:tcPr>
            <w:tcW w:w="1120" w:type="dxa"/>
            <w:vAlign w:val="bottom"/>
            <w:gridSpan w:val="3"/>
          </w:tcPr>
          <w:p>
            <w:pPr>
              <w:ind w:left="400"/>
              <w:spacing w:after="0" w:line="59" w:lineRule="exact"/>
              <w:rPr>
                <w:sz w:val="20"/>
                <w:szCs w:val="20"/>
                <w:color w:val="auto"/>
              </w:rPr>
            </w:pPr>
            <w:r>
              <w:rPr>
                <w:rFonts w:ascii="Arial" w:cs="Arial" w:eastAsia="Arial" w:hAnsi="Arial"/>
                <w:sz w:val="6"/>
                <w:szCs w:val="6"/>
                <w:b w:val="1"/>
                <w:bCs w:val="1"/>
                <w:color w:val="auto"/>
              </w:rPr>
              <w:t>Number</w:t>
            </w:r>
          </w:p>
        </w:tc>
        <w:tc>
          <w:tcPr>
            <w:tcW w:w="340" w:type="dxa"/>
            <w:vAlign w:val="bottom"/>
          </w:tcPr>
          <w:p>
            <w:pPr>
              <w:jc w:val="center"/>
              <w:ind w:right="56"/>
              <w:spacing w:after="0" w:line="59" w:lineRule="exact"/>
              <w:rPr>
                <w:sz w:val="20"/>
                <w:szCs w:val="20"/>
                <w:color w:val="auto"/>
              </w:rPr>
            </w:pPr>
            <w:r>
              <w:rPr>
                <w:rFonts w:ascii="Arial" w:cs="Arial" w:eastAsia="Arial" w:hAnsi="Arial"/>
                <w:sz w:val="6"/>
                <w:szCs w:val="6"/>
                <w:b w:val="1"/>
                <w:bCs w:val="1"/>
                <w:color w:val="auto"/>
              </w:rPr>
              <w:t>%</w:t>
            </w:r>
          </w:p>
        </w:tc>
        <w:tc>
          <w:tcPr>
            <w:tcW w:w="62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to this Offering</w:t>
            </w:r>
          </w:p>
        </w:tc>
        <w:tc>
          <w:tcPr>
            <w:tcW w:w="600" w:type="dxa"/>
            <w:vAlign w:val="bottom"/>
          </w:tcPr>
          <w:p>
            <w:pPr>
              <w:ind w:left="100"/>
              <w:spacing w:after="0" w:line="59" w:lineRule="exact"/>
              <w:rPr>
                <w:sz w:val="20"/>
                <w:szCs w:val="20"/>
                <w:color w:val="auto"/>
              </w:rPr>
            </w:pPr>
            <w:r>
              <w:rPr>
                <w:rFonts w:ascii="Arial" w:cs="Arial" w:eastAsia="Arial" w:hAnsi="Arial"/>
                <w:sz w:val="6"/>
                <w:szCs w:val="6"/>
                <w:b w:val="1"/>
                <w:bCs w:val="1"/>
                <w:color w:val="auto"/>
              </w:rPr>
              <w:t>this Offering</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900" w:type="dxa"/>
            <w:vAlign w:val="bottom"/>
            <w:tcBorders>
              <w:right w:val="single" w:sz="8" w:color="auto"/>
            </w:tcBorders>
            <w:gridSpan w:val="4"/>
            <w:shd w:val="clear" w:color="auto" w:fill="CCEEFF"/>
          </w:tcPr>
          <w:p>
            <w:pPr>
              <w:spacing w:after="0" w:line="118" w:lineRule="exact"/>
              <w:rPr>
                <w:sz w:val="20"/>
                <w:szCs w:val="20"/>
                <w:color w:val="auto"/>
              </w:rPr>
            </w:pPr>
            <w:r>
              <w:rPr>
                <w:rFonts w:ascii="Arial" w:cs="Arial" w:eastAsia="Arial" w:hAnsi="Arial"/>
                <w:sz w:val="9"/>
                <w:szCs w:val="9"/>
                <w:color w:val="auto"/>
              </w:rPr>
              <w:t>TA Associates</w:t>
            </w:r>
            <w:r>
              <w:rPr>
                <w:rFonts w:ascii="Arial" w:cs="Arial" w:eastAsia="Arial" w:hAnsi="Arial"/>
                <w:sz w:val="12"/>
                <w:szCs w:val="12"/>
                <w:color w:val="auto"/>
                <w:vertAlign w:val="superscript"/>
              </w:rPr>
              <w:t>(5)(10)</w:t>
            </w:r>
          </w:p>
        </w:tc>
        <w:tc>
          <w:tcPr>
            <w:tcW w:w="680" w:type="dxa"/>
            <w:vAlign w:val="bottom"/>
            <w:gridSpan w:val="2"/>
            <w:shd w:val="clear" w:color="auto" w:fill="CCEEFF"/>
          </w:tcPr>
          <w:p>
            <w:pPr>
              <w:jc w:val="center"/>
              <w:ind w:left="178"/>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left="156"/>
              <w:spacing w:after="0"/>
              <w:rPr>
                <w:sz w:val="20"/>
                <w:szCs w:val="20"/>
                <w:color w:val="auto"/>
              </w:rPr>
            </w:pPr>
            <w:r>
              <w:rPr>
                <w:rFonts w:ascii="Arial" w:cs="Arial" w:eastAsia="Arial" w:hAnsi="Arial"/>
                <w:sz w:val="9"/>
                <w:szCs w:val="9"/>
                <w:color w:val="auto"/>
              </w:rPr>
              <w:t>—</w:t>
            </w:r>
          </w:p>
        </w:tc>
        <w:tc>
          <w:tcPr>
            <w:tcW w:w="980" w:type="dxa"/>
            <w:vAlign w:val="bottom"/>
            <w:gridSpan w:val="3"/>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220" w:type="dxa"/>
            <w:vAlign w:val="bottom"/>
            <w:tcBorders>
              <w:right w:val="single" w:sz="8" w:color="auto"/>
            </w:tcBorders>
            <w:shd w:val="clear" w:color="auto" w:fill="CCEEFF"/>
          </w:tcPr>
          <w:p>
            <w:pPr>
              <w:jc w:val="center"/>
              <w:ind w:right="56"/>
              <w:spacing w:after="0"/>
              <w:rPr>
                <w:sz w:val="20"/>
                <w:szCs w:val="20"/>
                <w:color w:val="auto"/>
              </w:rPr>
            </w:pPr>
            <w:r>
              <w:rPr>
                <w:rFonts w:ascii="Arial" w:cs="Arial" w:eastAsia="Arial" w:hAnsi="Arial"/>
                <w:sz w:val="9"/>
                <w:szCs w:val="9"/>
                <w:color w:val="auto"/>
                <w:w w:val="88"/>
              </w:rPr>
              <w:t>—</w:t>
            </w:r>
          </w:p>
        </w:tc>
        <w:tc>
          <w:tcPr>
            <w:tcW w:w="780" w:type="dxa"/>
            <w:vAlign w:val="bottom"/>
            <w:tcBorders>
              <w:right w:val="single" w:sz="8" w:color="auto"/>
            </w:tcBorders>
            <w:shd w:val="clear" w:color="auto" w:fill="CCEEFF"/>
          </w:tcPr>
          <w:p>
            <w:pPr>
              <w:jc w:val="center"/>
              <w:ind w:left="122"/>
              <w:spacing w:after="0"/>
              <w:rPr>
                <w:sz w:val="20"/>
                <w:szCs w:val="20"/>
                <w:color w:val="auto"/>
              </w:rPr>
            </w:pPr>
            <w:r>
              <w:rPr>
                <w:rFonts w:ascii="Arial" w:cs="Arial" w:eastAsia="Arial" w:hAnsi="Arial"/>
                <w:sz w:val="9"/>
                <w:szCs w:val="9"/>
                <w:color w:val="auto"/>
                <w:w w:val="94"/>
              </w:rPr>
              <w:t>9,625,934</w:t>
            </w:r>
          </w:p>
        </w:tc>
        <w:tc>
          <w:tcPr>
            <w:tcW w:w="740" w:type="dxa"/>
            <w:vAlign w:val="bottom"/>
            <w:shd w:val="clear" w:color="auto" w:fill="CCEEFF"/>
          </w:tcPr>
          <w:p>
            <w:pPr>
              <w:jc w:val="center"/>
              <w:ind w:left="217"/>
              <w:spacing w:after="0"/>
              <w:rPr>
                <w:sz w:val="20"/>
                <w:szCs w:val="20"/>
                <w:color w:val="auto"/>
              </w:rPr>
            </w:pPr>
            <w:r>
              <w:rPr>
                <w:rFonts w:ascii="Arial" w:cs="Arial" w:eastAsia="Arial" w:hAnsi="Arial"/>
                <w:sz w:val="9"/>
                <w:szCs w:val="9"/>
                <w:color w:val="auto"/>
                <w:w w:val="97"/>
              </w:rPr>
              <w:t>66,783,212</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rPr>
              <w:t>35.1%</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93"/>
              </w:rPr>
              <w:t>59,748,080</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60" w:type="dxa"/>
            <w:vAlign w:val="bottom"/>
            <w:tcBorders>
              <w:right w:val="single" w:sz="8" w:color="auto"/>
            </w:tcBorders>
            <w:shd w:val="clear" w:color="auto" w:fill="CCEEFF"/>
          </w:tcPr>
          <w:p>
            <w:pPr>
              <w:jc w:val="center"/>
              <w:ind w:right="76"/>
              <w:spacing w:after="0"/>
              <w:rPr>
                <w:sz w:val="20"/>
                <w:szCs w:val="20"/>
                <w:color w:val="auto"/>
              </w:rPr>
            </w:pPr>
            <w:r>
              <w:rPr>
                <w:rFonts w:ascii="Arial" w:cs="Arial" w:eastAsia="Arial" w:hAnsi="Arial"/>
                <w:sz w:val="9"/>
                <w:szCs w:val="9"/>
                <w:color w:val="auto"/>
                <w:w w:val="93"/>
              </w:rPr>
              <w:t>34.1%</w:t>
            </w:r>
          </w:p>
        </w:tc>
        <w:tc>
          <w:tcPr>
            <w:tcW w:w="72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97"/>
              </w:rPr>
              <w:t>24,549,493</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93"/>
              </w:rPr>
              <w:t>31.7%</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97"/>
              </w:rPr>
              <w:t>21,958,691</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jc w:val="center"/>
              <w:ind w:right="56"/>
              <w:spacing w:after="0"/>
              <w:rPr>
                <w:sz w:val="20"/>
                <w:szCs w:val="20"/>
                <w:color w:val="auto"/>
              </w:rPr>
            </w:pPr>
            <w:r>
              <w:rPr>
                <w:rFonts w:ascii="Arial" w:cs="Arial" w:eastAsia="Arial" w:hAnsi="Arial"/>
                <w:sz w:val="9"/>
                <w:szCs w:val="9"/>
                <w:color w:val="auto"/>
                <w:w w:val="93"/>
              </w:rPr>
              <w:t>33.5%</w:t>
            </w:r>
          </w:p>
        </w:tc>
        <w:tc>
          <w:tcPr>
            <w:tcW w:w="560" w:type="dxa"/>
            <w:vAlign w:val="bottom"/>
            <w:shd w:val="clear" w:color="auto" w:fill="CCEEFF"/>
          </w:tcPr>
          <w:p>
            <w:pPr>
              <w:jc w:val="center"/>
              <w:ind w:left="238"/>
              <w:spacing w:after="0"/>
              <w:rPr>
                <w:sz w:val="20"/>
                <w:szCs w:val="20"/>
                <w:color w:val="auto"/>
              </w:rPr>
            </w:pPr>
            <w:r>
              <w:rPr>
                <w:rFonts w:ascii="Arial" w:cs="Arial" w:eastAsia="Arial" w:hAnsi="Arial"/>
                <w:sz w:val="9"/>
                <w:szCs w:val="9"/>
                <w:color w:val="auto"/>
                <w:w w:val="93"/>
              </w:rPr>
              <w:t>32.6%</w:t>
            </w:r>
          </w:p>
        </w:tc>
        <w:tc>
          <w:tcPr>
            <w:tcW w:w="6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jc w:val="center"/>
              <w:ind w:left="237"/>
              <w:spacing w:after="0"/>
              <w:rPr>
                <w:sz w:val="20"/>
                <w:szCs w:val="20"/>
                <w:color w:val="auto"/>
              </w:rPr>
            </w:pPr>
            <w:r>
              <w:rPr>
                <w:rFonts w:ascii="Arial" w:cs="Arial" w:eastAsia="Arial" w:hAnsi="Arial"/>
                <w:sz w:val="9"/>
                <w:szCs w:val="9"/>
                <w:color w:val="auto"/>
                <w:w w:val="93"/>
              </w:rPr>
              <w:t>31.9%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00" w:type="dxa"/>
            <w:vAlign w:val="bottom"/>
            <w:tcBorders>
              <w:right w:val="single" w:sz="8" w:color="auto"/>
            </w:tcBorders>
            <w:gridSpan w:val="4"/>
          </w:tcPr>
          <w:p>
            <w:pPr>
              <w:spacing w:after="0" w:line="97" w:lineRule="exact"/>
              <w:rPr>
                <w:sz w:val="20"/>
                <w:szCs w:val="20"/>
                <w:color w:val="auto"/>
              </w:rPr>
            </w:pPr>
            <w:r>
              <w:rPr>
                <w:rFonts w:ascii="Arial" w:cs="Arial" w:eastAsia="Arial" w:hAnsi="Arial"/>
                <w:sz w:val="9"/>
                <w:szCs w:val="9"/>
                <w:color w:val="auto"/>
              </w:rPr>
              <w:t>Investment Funds</w:t>
            </w: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00" w:type="dxa"/>
            <w:vAlign w:val="bottom"/>
            <w:tcBorders>
              <w:right w:val="single" w:sz="8" w:color="auto"/>
            </w:tcBorders>
            <w:gridSpan w:val="4"/>
          </w:tcPr>
          <w:p>
            <w:pPr>
              <w:ind w:left="140"/>
              <w:spacing w:after="0" w:line="93" w:lineRule="exact"/>
              <w:rPr>
                <w:sz w:val="20"/>
                <w:szCs w:val="20"/>
                <w:color w:val="auto"/>
              </w:rPr>
            </w:pPr>
            <w:r>
              <w:rPr>
                <w:rFonts w:ascii="Arial" w:cs="Arial" w:eastAsia="Arial" w:hAnsi="Arial"/>
                <w:sz w:val="9"/>
                <w:szCs w:val="9"/>
                <w:color w:val="auto"/>
              </w:rPr>
              <w:t>affiliated with</w:t>
            </w:r>
          </w:p>
        </w:tc>
        <w:tc>
          <w:tcPr>
            <w:tcW w:w="680" w:type="dxa"/>
            <w:vAlign w:val="bottom"/>
            <w:gridSpan w:val="2"/>
            <w:vMerge w:val="restart"/>
          </w:tcPr>
          <w:p>
            <w:pPr>
              <w:jc w:val="center"/>
              <w:ind w:left="178"/>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left="156"/>
              <w:spacing w:after="0"/>
              <w:rPr>
                <w:sz w:val="20"/>
                <w:szCs w:val="20"/>
                <w:color w:val="auto"/>
              </w:rPr>
            </w:pPr>
            <w:r>
              <w:rPr>
                <w:rFonts w:ascii="Arial" w:cs="Arial" w:eastAsia="Arial" w:hAnsi="Arial"/>
                <w:sz w:val="9"/>
                <w:szCs w:val="9"/>
                <w:color w:val="auto"/>
              </w:rPr>
              <w:t>—</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9"/>
                <w:szCs w:val="9"/>
                <w:color w:val="auto"/>
              </w:rPr>
              <w:t>—</w:t>
            </w:r>
          </w:p>
        </w:tc>
        <w:tc>
          <w:tcPr>
            <w:tcW w:w="220" w:type="dxa"/>
            <w:vAlign w:val="bottom"/>
            <w:tcBorders>
              <w:right w:val="single" w:sz="8" w:color="auto"/>
            </w:tcBorders>
            <w:vMerge w:val="restart"/>
          </w:tcPr>
          <w:p>
            <w:pPr>
              <w:jc w:val="center"/>
              <w:ind w:right="56"/>
              <w:spacing w:after="0"/>
              <w:rPr>
                <w:sz w:val="20"/>
                <w:szCs w:val="20"/>
                <w:color w:val="auto"/>
              </w:rPr>
            </w:pPr>
            <w:r>
              <w:rPr>
                <w:rFonts w:ascii="Arial" w:cs="Arial" w:eastAsia="Arial" w:hAnsi="Arial"/>
                <w:sz w:val="9"/>
                <w:szCs w:val="9"/>
                <w:color w:val="auto"/>
                <w:w w:val="88"/>
              </w:rPr>
              <w:t>—</w:t>
            </w:r>
          </w:p>
        </w:tc>
        <w:tc>
          <w:tcPr>
            <w:tcW w:w="780" w:type="dxa"/>
            <w:vAlign w:val="bottom"/>
            <w:tcBorders>
              <w:right w:val="single" w:sz="8" w:color="auto"/>
            </w:tcBorders>
            <w:vMerge w:val="restart"/>
          </w:tcPr>
          <w:p>
            <w:pPr>
              <w:jc w:val="center"/>
              <w:ind w:left="122"/>
              <w:spacing w:after="0"/>
              <w:rPr>
                <w:sz w:val="20"/>
                <w:szCs w:val="20"/>
                <w:color w:val="auto"/>
              </w:rPr>
            </w:pPr>
            <w:r>
              <w:rPr>
                <w:rFonts w:ascii="Arial" w:cs="Arial" w:eastAsia="Arial" w:hAnsi="Arial"/>
                <w:sz w:val="9"/>
                <w:szCs w:val="9"/>
                <w:color w:val="auto"/>
                <w:w w:val="94"/>
              </w:rPr>
              <w:t>9,236,692</w:t>
            </w:r>
          </w:p>
        </w:tc>
        <w:tc>
          <w:tcPr>
            <w:tcW w:w="740" w:type="dxa"/>
            <w:vAlign w:val="bottom"/>
            <w:vMerge w:val="restart"/>
          </w:tcPr>
          <w:p>
            <w:pPr>
              <w:jc w:val="center"/>
              <w:ind w:left="217"/>
              <w:spacing w:after="0"/>
              <w:rPr>
                <w:sz w:val="20"/>
                <w:szCs w:val="20"/>
                <w:color w:val="auto"/>
              </w:rPr>
            </w:pPr>
            <w:r>
              <w:rPr>
                <w:rFonts w:ascii="Arial" w:cs="Arial" w:eastAsia="Arial" w:hAnsi="Arial"/>
                <w:sz w:val="9"/>
                <w:szCs w:val="9"/>
                <w:color w:val="auto"/>
                <w:w w:val="97"/>
              </w:rPr>
              <w:t>37,493,725</w:t>
            </w:r>
          </w:p>
        </w:tc>
        <w:tc>
          <w:tcPr>
            <w:tcW w:w="60" w:type="dxa"/>
            <w:vAlign w:val="bottom"/>
          </w:tcPr>
          <w:p>
            <w:pPr>
              <w:spacing w:after="0"/>
              <w:rPr>
                <w:sz w:val="8"/>
                <w:szCs w:val="8"/>
                <w:color w:val="auto"/>
              </w:rPr>
            </w:pPr>
          </w:p>
        </w:tc>
        <w:tc>
          <w:tcPr>
            <w:tcW w:w="580" w:type="dxa"/>
            <w:vAlign w:val="bottom"/>
            <w:vMerge w:val="restart"/>
          </w:tcPr>
          <w:p>
            <w:pPr>
              <w:jc w:val="center"/>
              <w:ind w:left="237"/>
              <w:spacing w:after="0"/>
              <w:rPr>
                <w:sz w:val="20"/>
                <w:szCs w:val="20"/>
                <w:color w:val="auto"/>
              </w:rPr>
            </w:pPr>
            <w:r>
              <w:rPr>
                <w:rFonts w:ascii="Arial" w:cs="Arial" w:eastAsia="Arial" w:hAnsi="Arial"/>
                <w:sz w:val="9"/>
                <w:szCs w:val="9"/>
                <w:color w:val="auto"/>
              </w:rPr>
              <w:t>19.7%</w:t>
            </w:r>
          </w:p>
        </w:tc>
        <w:tc>
          <w:tcPr>
            <w:tcW w:w="60" w:type="dxa"/>
            <w:vAlign w:val="bottom"/>
          </w:tcPr>
          <w:p>
            <w:pPr>
              <w:spacing w:after="0"/>
              <w:rPr>
                <w:sz w:val="8"/>
                <w:szCs w:val="8"/>
                <w:color w:val="auto"/>
              </w:rPr>
            </w:pPr>
          </w:p>
        </w:tc>
        <w:tc>
          <w:tcPr>
            <w:tcW w:w="740" w:type="dxa"/>
            <w:vAlign w:val="bottom"/>
            <w:vMerge w:val="restart"/>
          </w:tcPr>
          <w:p>
            <w:pPr>
              <w:jc w:val="center"/>
              <w:ind w:left="237"/>
              <w:spacing w:after="0"/>
              <w:rPr>
                <w:sz w:val="20"/>
                <w:szCs w:val="20"/>
                <w:color w:val="auto"/>
              </w:rPr>
            </w:pPr>
            <w:r>
              <w:rPr>
                <w:rFonts w:ascii="Arial" w:cs="Arial" w:eastAsia="Arial" w:hAnsi="Arial"/>
                <w:sz w:val="9"/>
                <w:szCs w:val="9"/>
                <w:color w:val="auto"/>
                <w:w w:val="93"/>
              </w:rPr>
              <w:t>37,493,725</w:t>
            </w: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right w:val="single" w:sz="8" w:color="auto"/>
            </w:tcBorders>
            <w:vMerge w:val="restart"/>
          </w:tcPr>
          <w:p>
            <w:pPr>
              <w:jc w:val="center"/>
              <w:ind w:right="76"/>
              <w:spacing w:after="0"/>
              <w:rPr>
                <w:sz w:val="20"/>
                <w:szCs w:val="20"/>
                <w:color w:val="auto"/>
              </w:rPr>
            </w:pPr>
            <w:r>
              <w:rPr>
                <w:rFonts w:ascii="Arial" w:cs="Arial" w:eastAsia="Arial" w:hAnsi="Arial"/>
                <w:sz w:val="9"/>
                <w:szCs w:val="9"/>
                <w:color w:val="auto"/>
                <w:w w:val="93"/>
              </w:rPr>
              <w:t>21.4%</w:t>
            </w:r>
          </w:p>
        </w:tc>
        <w:tc>
          <w:tcPr>
            <w:tcW w:w="720" w:type="dxa"/>
            <w:vAlign w:val="bottom"/>
            <w:vMerge w:val="restart"/>
          </w:tcPr>
          <w:p>
            <w:pPr>
              <w:jc w:val="center"/>
              <w:ind w:left="237"/>
              <w:spacing w:after="0"/>
              <w:rPr>
                <w:sz w:val="20"/>
                <w:szCs w:val="20"/>
                <w:color w:val="auto"/>
              </w:rPr>
            </w:pPr>
            <w:r>
              <w:rPr>
                <w:rFonts w:ascii="Arial" w:cs="Arial" w:eastAsia="Arial" w:hAnsi="Arial"/>
                <w:sz w:val="9"/>
                <w:szCs w:val="9"/>
                <w:color w:val="auto"/>
                <w:w w:val="97"/>
              </w:rPr>
              <w:t>50,145,784</w:t>
            </w:r>
          </w:p>
        </w:tc>
        <w:tc>
          <w:tcPr>
            <w:tcW w:w="80" w:type="dxa"/>
            <w:vAlign w:val="bottom"/>
          </w:tcPr>
          <w:p>
            <w:pPr>
              <w:spacing w:after="0"/>
              <w:rPr>
                <w:sz w:val="8"/>
                <w:szCs w:val="8"/>
                <w:color w:val="auto"/>
              </w:rPr>
            </w:pPr>
          </w:p>
        </w:tc>
        <w:tc>
          <w:tcPr>
            <w:tcW w:w="560" w:type="dxa"/>
            <w:vAlign w:val="bottom"/>
            <w:vMerge w:val="restart"/>
          </w:tcPr>
          <w:p>
            <w:pPr>
              <w:jc w:val="center"/>
              <w:ind w:left="237"/>
              <w:spacing w:after="0"/>
              <w:rPr>
                <w:sz w:val="20"/>
                <w:szCs w:val="20"/>
                <w:color w:val="auto"/>
              </w:rPr>
            </w:pPr>
            <w:r>
              <w:rPr>
                <w:rFonts w:ascii="Arial" w:cs="Arial" w:eastAsia="Arial" w:hAnsi="Arial"/>
                <w:sz w:val="9"/>
                <w:szCs w:val="9"/>
                <w:color w:val="auto"/>
                <w:w w:val="93"/>
              </w:rPr>
              <w:t>64.8%</w:t>
            </w:r>
          </w:p>
        </w:tc>
        <w:tc>
          <w:tcPr>
            <w:tcW w:w="60" w:type="dxa"/>
            <w:vAlign w:val="bottom"/>
          </w:tcPr>
          <w:p>
            <w:pPr>
              <w:spacing w:after="0"/>
              <w:rPr>
                <w:sz w:val="8"/>
                <w:szCs w:val="8"/>
                <w:color w:val="auto"/>
              </w:rPr>
            </w:pPr>
          </w:p>
        </w:tc>
        <w:tc>
          <w:tcPr>
            <w:tcW w:w="760" w:type="dxa"/>
            <w:vAlign w:val="bottom"/>
            <w:vMerge w:val="restart"/>
          </w:tcPr>
          <w:p>
            <w:pPr>
              <w:jc w:val="center"/>
              <w:ind w:left="237"/>
              <w:spacing w:after="0"/>
              <w:rPr>
                <w:sz w:val="20"/>
                <w:szCs w:val="20"/>
                <w:color w:val="auto"/>
              </w:rPr>
            </w:pPr>
            <w:r>
              <w:rPr>
                <w:rFonts w:ascii="Arial" w:cs="Arial" w:eastAsia="Arial" w:hAnsi="Arial"/>
                <w:sz w:val="9"/>
                <w:szCs w:val="9"/>
                <w:color w:val="auto"/>
                <w:w w:val="97"/>
              </w:rPr>
              <w:t>40,909,092</w:t>
            </w: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right w:val="single" w:sz="8" w:color="auto"/>
            </w:tcBorders>
            <w:vMerge w:val="restart"/>
          </w:tcPr>
          <w:p>
            <w:pPr>
              <w:jc w:val="center"/>
              <w:ind w:right="56"/>
              <w:spacing w:after="0"/>
              <w:rPr>
                <w:sz w:val="20"/>
                <w:szCs w:val="20"/>
                <w:color w:val="auto"/>
              </w:rPr>
            </w:pPr>
            <w:r>
              <w:rPr>
                <w:rFonts w:ascii="Arial" w:cs="Arial" w:eastAsia="Arial" w:hAnsi="Arial"/>
                <w:sz w:val="9"/>
                <w:szCs w:val="9"/>
                <w:color w:val="auto"/>
                <w:w w:val="93"/>
              </w:rPr>
              <w:t>62.4%</w:t>
            </w:r>
          </w:p>
        </w:tc>
        <w:tc>
          <w:tcPr>
            <w:tcW w:w="560" w:type="dxa"/>
            <w:vAlign w:val="bottom"/>
            <w:vMerge w:val="restart"/>
          </w:tcPr>
          <w:p>
            <w:pPr>
              <w:jc w:val="center"/>
              <w:ind w:left="238"/>
              <w:spacing w:after="0"/>
              <w:rPr>
                <w:sz w:val="20"/>
                <w:szCs w:val="20"/>
                <w:color w:val="auto"/>
              </w:rPr>
            </w:pPr>
            <w:r>
              <w:rPr>
                <w:rFonts w:ascii="Arial" w:cs="Arial" w:eastAsia="Arial" w:hAnsi="Arial"/>
                <w:sz w:val="9"/>
                <w:szCs w:val="9"/>
                <w:color w:val="auto"/>
                <w:w w:val="93"/>
              </w:rPr>
              <w:t>31.3%</w:t>
            </w:r>
          </w:p>
        </w:tc>
        <w:tc>
          <w:tcPr>
            <w:tcW w:w="60" w:type="dxa"/>
            <w:vAlign w:val="bottom"/>
          </w:tcPr>
          <w:p>
            <w:pPr>
              <w:spacing w:after="0"/>
              <w:rPr>
                <w:sz w:val="8"/>
                <w:szCs w:val="8"/>
                <w:color w:val="auto"/>
              </w:rPr>
            </w:pPr>
          </w:p>
        </w:tc>
        <w:tc>
          <w:tcPr>
            <w:tcW w:w="600" w:type="dxa"/>
            <w:vAlign w:val="bottom"/>
            <w:tcBorders>
              <w:right w:val="single" w:sz="8" w:color="auto"/>
            </w:tcBorders>
            <w:vMerge w:val="restart"/>
          </w:tcPr>
          <w:p>
            <w:pPr>
              <w:jc w:val="center"/>
              <w:ind w:left="237"/>
              <w:spacing w:after="0"/>
              <w:rPr>
                <w:sz w:val="20"/>
                <w:szCs w:val="20"/>
                <w:color w:val="auto"/>
              </w:rPr>
            </w:pPr>
            <w:r>
              <w:rPr>
                <w:rFonts w:ascii="Arial" w:cs="Arial" w:eastAsia="Arial" w:hAnsi="Arial"/>
                <w:sz w:val="9"/>
                <w:szCs w:val="9"/>
                <w:color w:val="auto"/>
                <w:w w:val="93"/>
              </w:rPr>
              <w:t>30.6%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Borders>
              <w:right w:val="single" w:sz="8" w:color="auto"/>
            </w:tcBorders>
            <w:gridSpan w:val="4"/>
          </w:tcPr>
          <w:p>
            <w:pPr>
              <w:ind w:left="140"/>
              <w:spacing w:after="0" w:line="142" w:lineRule="exact"/>
              <w:rPr>
                <w:sz w:val="20"/>
                <w:szCs w:val="20"/>
                <w:color w:val="auto"/>
              </w:rPr>
            </w:pPr>
            <w:r>
              <w:rPr>
                <w:rFonts w:ascii="Arial" w:cs="Arial" w:eastAsia="Arial" w:hAnsi="Arial"/>
                <w:sz w:val="16"/>
                <w:szCs w:val="16"/>
                <w:color w:val="auto"/>
                <w:vertAlign w:val="subscript"/>
              </w:rPr>
              <w:t>Carlyle</w:t>
            </w:r>
            <w:r>
              <w:rPr>
                <w:rFonts w:ascii="Arial" w:cs="Arial" w:eastAsia="Arial" w:hAnsi="Arial"/>
                <w:sz w:val="6"/>
                <w:szCs w:val="6"/>
                <w:color w:val="auto"/>
              </w:rPr>
              <w:t>(6)(10)</w:t>
            </w:r>
          </w:p>
        </w:tc>
        <w:tc>
          <w:tcPr>
            <w:tcW w:w="68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right w:val="single" w:sz="8" w:color="auto"/>
            </w:tcBorders>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4"/>
            <w:shd w:val="clear" w:color="auto" w:fill="CCEEFF"/>
          </w:tcPr>
          <w:p>
            <w:pPr>
              <w:spacing w:after="0"/>
              <w:rPr>
                <w:sz w:val="20"/>
                <w:szCs w:val="20"/>
                <w:color w:val="auto"/>
              </w:rPr>
            </w:pPr>
            <w:r>
              <w:rPr>
                <w:rFonts w:ascii="Arial" w:cs="Arial" w:eastAsia="Arial" w:hAnsi="Arial"/>
                <w:sz w:val="9"/>
                <w:szCs w:val="9"/>
                <w:color w:val="auto"/>
              </w:rPr>
              <w:t>22C Capital</w:t>
            </w:r>
            <w:r>
              <w:rPr>
                <w:rFonts w:ascii="Arial" w:cs="Arial" w:eastAsia="Arial" w:hAnsi="Arial"/>
                <w:sz w:val="12"/>
                <w:szCs w:val="12"/>
                <w:color w:val="auto"/>
                <w:vertAlign w:val="superscript"/>
              </w:rPr>
              <w:t>(7)(10)</w:t>
            </w:r>
          </w:p>
        </w:tc>
        <w:tc>
          <w:tcPr>
            <w:tcW w:w="620" w:type="dxa"/>
            <w:vAlign w:val="bottom"/>
            <w:shd w:val="clear" w:color="auto" w:fill="CCEEFF"/>
          </w:tcPr>
          <w:p>
            <w:pPr>
              <w:jc w:val="center"/>
              <w:ind w:left="238"/>
              <w:spacing w:after="0"/>
              <w:rPr>
                <w:sz w:val="20"/>
                <w:szCs w:val="20"/>
                <w:color w:val="auto"/>
              </w:rPr>
            </w:pPr>
            <w:r>
              <w:rPr>
                <w:rFonts w:ascii="Arial" w:cs="Arial" w:eastAsia="Arial" w:hAnsi="Arial"/>
                <w:sz w:val="9"/>
                <w:szCs w:val="9"/>
                <w:color w:val="auto"/>
                <w:w w:val="92"/>
              </w:rPr>
              <w:t>997,509</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left="256"/>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92"/>
              </w:rPr>
              <w:t>997,509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jc w:val="center"/>
              <w:ind w:right="56"/>
              <w:spacing w:after="0"/>
              <w:rPr>
                <w:sz w:val="20"/>
                <w:szCs w:val="20"/>
                <w:color w:val="auto"/>
              </w:rPr>
            </w:pPr>
            <w:r>
              <w:rPr>
                <w:rFonts w:ascii="Arial" w:cs="Arial" w:eastAsia="Arial" w:hAnsi="Arial"/>
                <w:sz w:val="9"/>
                <w:szCs w:val="9"/>
                <w:color w:val="auto"/>
              </w:rPr>
              <w:t>*</w:t>
            </w:r>
          </w:p>
        </w:tc>
        <w:tc>
          <w:tcPr>
            <w:tcW w:w="780" w:type="dxa"/>
            <w:vAlign w:val="bottom"/>
            <w:tcBorders>
              <w:right w:val="single" w:sz="8" w:color="auto"/>
            </w:tcBorders>
            <w:shd w:val="clear" w:color="auto" w:fill="CCEEFF"/>
          </w:tcPr>
          <w:p>
            <w:pPr>
              <w:jc w:val="center"/>
              <w:ind w:left="122"/>
              <w:spacing w:after="0"/>
              <w:rPr>
                <w:sz w:val="20"/>
                <w:szCs w:val="20"/>
                <w:color w:val="auto"/>
              </w:rPr>
            </w:pPr>
            <w:r>
              <w:rPr>
                <w:rFonts w:ascii="Arial" w:cs="Arial" w:eastAsia="Arial" w:hAnsi="Arial"/>
                <w:sz w:val="9"/>
                <w:szCs w:val="9"/>
                <w:color w:val="auto"/>
                <w:w w:val="94"/>
              </w:rPr>
              <w:t>1,669,479</w:t>
            </w:r>
          </w:p>
        </w:tc>
        <w:tc>
          <w:tcPr>
            <w:tcW w:w="740" w:type="dxa"/>
            <w:vAlign w:val="bottom"/>
            <w:shd w:val="clear" w:color="auto" w:fill="CCEEFF"/>
          </w:tcPr>
          <w:p>
            <w:pPr>
              <w:jc w:val="center"/>
              <w:ind w:left="217"/>
              <w:spacing w:after="0"/>
              <w:rPr>
                <w:sz w:val="20"/>
                <w:szCs w:val="20"/>
                <w:color w:val="auto"/>
              </w:rPr>
            </w:pPr>
            <w:r>
              <w:rPr>
                <w:rFonts w:ascii="Arial" w:cs="Arial" w:eastAsia="Arial" w:hAnsi="Arial"/>
                <w:sz w:val="9"/>
                <w:szCs w:val="9"/>
                <w:color w:val="auto"/>
                <w:w w:val="97"/>
              </w:rPr>
              <w:t>12,199,786</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87"/>
              </w:rPr>
              <w:t>6.4%</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93"/>
              </w:rPr>
              <w:t>10,531,532</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center"/>
              <w:ind w:right="76"/>
              <w:spacing w:after="0"/>
              <w:rPr>
                <w:sz w:val="20"/>
                <w:szCs w:val="20"/>
                <w:color w:val="auto"/>
              </w:rPr>
            </w:pPr>
            <w:r>
              <w:rPr>
                <w:rFonts w:ascii="Arial" w:cs="Arial" w:eastAsia="Arial" w:hAnsi="Arial"/>
                <w:sz w:val="9"/>
                <w:szCs w:val="9"/>
                <w:color w:val="auto"/>
                <w:w w:val="97"/>
              </w:rPr>
              <w:t>6.0%</w:t>
            </w:r>
          </w:p>
        </w:tc>
        <w:tc>
          <w:tcPr>
            <w:tcW w:w="720" w:type="dxa"/>
            <w:vAlign w:val="bottom"/>
            <w:shd w:val="clear" w:color="auto" w:fill="CCEEFF"/>
          </w:tcPr>
          <w:p>
            <w:pPr>
              <w:jc w:val="center"/>
              <w:ind w:left="217"/>
              <w:spacing w:after="0"/>
              <w:rPr>
                <w:sz w:val="20"/>
                <w:szCs w:val="20"/>
                <w:color w:val="auto"/>
              </w:rPr>
            </w:pPr>
            <w:r>
              <w:rPr>
                <w:rFonts w:ascii="Arial" w:cs="Arial" w:eastAsia="Arial" w:hAnsi="Arial"/>
                <w:sz w:val="9"/>
                <w:szCs w:val="9"/>
                <w:color w:val="auto"/>
                <w:w w:val="94"/>
              </w:rPr>
              <w:t>2,643,038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237"/>
              <w:spacing w:after="0"/>
              <w:rPr>
                <w:sz w:val="20"/>
                <w:szCs w:val="20"/>
                <w:color w:val="auto"/>
              </w:rPr>
            </w:pPr>
            <w:r>
              <w:rPr>
                <w:rFonts w:ascii="Arial" w:cs="Arial" w:eastAsia="Arial" w:hAnsi="Arial"/>
                <w:sz w:val="9"/>
                <w:szCs w:val="9"/>
                <w:color w:val="auto"/>
                <w:w w:val="97"/>
              </w:rPr>
              <w:t>3.4%</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left="257"/>
              <w:spacing w:after="0"/>
              <w:rPr>
                <w:sz w:val="20"/>
                <w:szCs w:val="20"/>
                <w:color w:val="auto"/>
              </w:rPr>
            </w:pPr>
            <w:r>
              <w:rPr>
                <w:rFonts w:ascii="Arial" w:cs="Arial" w:eastAsia="Arial" w:hAnsi="Arial"/>
                <w:sz w:val="9"/>
                <w:szCs w:val="9"/>
                <w:color w:val="auto"/>
                <w:w w:val="94"/>
              </w:rPr>
              <w:t>2,641,813</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jc w:val="center"/>
              <w:ind w:right="56"/>
              <w:spacing w:after="0"/>
              <w:rPr>
                <w:sz w:val="20"/>
                <w:szCs w:val="20"/>
                <w:color w:val="auto"/>
              </w:rPr>
            </w:pPr>
            <w:r>
              <w:rPr>
                <w:rFonts w:ascii="Arial" w:cs="Arial" w:eastAsia="Arial" w:hAnsi="Arial"/>
                <w:sz w:val="9"/>
                <w:szCs w:val="9"/>
                <w:color w:val="auto"/>
                <w:w w:val="97"/>
              </w:rPr>
              <w:t>4.0%</w:t>
            </w:r>
          </w:p>
        </w:tc>
        <w:tc>
          <w:tcPr>
            <w:tcW w:w="560" w:type="dxa"/>
            <w:vAlign w:val="bottom"/>
            <w:shd w:val="clear" w:color="auto" w:fill="CCEEFF"/>
          </w:tcPr>
          <w:p>
            <w:pPr>
              <w:jc w:val="center"/>
              <w:ind w:left="238"/>
              <w:spacing w:after="0"/>
              <w:rPr>
                <w:sz w:val="20"/>
                <w:szCs w:val="20"/>
                <w:color w:val="auto"/>
              </w:rPr>
            </w:pPr>
            <w:r>
              <w:rPr>
                <w:rFonts w:ascii="Arial" w:cs="Arial" w:eastAsia="Arial" w:hAnsi="Arial"/>
                <w:sz w:val="9"/>
                <w:szCs w:val="9"/>
                <w:color w:val="auto"/>
                <w:w w:val="97"/>
              </w:rPr>
              <w:t>5.3%</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ind w:left="237"/>
              <w:spacing w:after="0"/>
              <w:rPr>
                <w:sz w:val="20"/>
                <w:szCs w:val="20"/>
                <w:color w:val="auto"/>
              </w:rPr>
            </w:pPr>
            <w:r>
              <w:rPr>
                <w:rFonts w:ascii="Arial" w:cs="Arial" w:eastAsia="Arial" w:hAnsi="Arial"/>
                <w:sz w:val="9"/>
                <w:szCs w:val="9"/>
                <w:color w:val="auto"/>
                <w:w w:val="97"/>
              </w:rPr>
              <w:t>5.2%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right w:val="single" w:sz="8" w:color="auto"/>
            </w:tcBorders>
            <w:gridSpan w:val="4"/>
          </w:tcPr>
          <w:p>
            <w:pPr>
              <w:spacing w:after="0" w:line="95" w:lineRule="exact"/>
              <w:rPr>
                <w:sz w:val="20"/>
                <w:szCs w:val="20"/>
                <w:color w:val="auto"/>
              </w:rPr>
            </w:pPr>
            <w:r>
              <w:rPr>
                <w:rFonts w:ascii="Arial" w:cs="Arial" w:eastAsia="Arial" w:hAnsi="Arial"/>
                <w:sz w:val="9"/>
                <w:szCs w:val="9"/>
                <w:color w:val="auto"/>
              </w:rPr>
              <w:t>DO Holdings (WA),</w:t>
            </w:r>
          </w:p>
        </w:tc>
        <w:tc>
          <w:tcPr>
            <w:tcW w:w="680" w:type="dxa"/>
            <w:vAlign w:val="bottom"/>
            <w:gridSpan w:val="2"/>
            <w:vMerge w:val="restart"/>
          </w:tcPr>
          <w:p>
            <w:pPr>
              <w:jc w:val="center"/>
              <w:ind w:left="178"/>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left="156"/>
              <w:spacing w:after="0"/>
              <w:rPr>
                <w:sz w:val="20"/>
                <w:szCs w:val="20"/>
                <w:color w:val="auto"/>
              </w:rPr>
            </w:pPr>
            <w:r>
              <w:rPr>
                <w:rFonts w:ascii="Arial" w:cs="Arial" w:eastAsia="Arial" w:hAnsi="Arial"/>
                <w:sz w:val="9"/>
                <w:szCs w:val="9"/>
                <w:color w:val="auto"/>
              </w:rPr>
              <w:t>—</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9"/>
                <w:szCs w:val="9"/>
                <w:color w:val="auto"/>
              </w:rPr>
              <w:t>—</w:t>
            </w:r>
          </w:p>
        </w:tc>
        <w:tc>
          <w:tcPr>
            <w:tcW w:w="220" w:type="dxa"/>
            <w:vAlign w:val="bottom"/>
            <w:tcBorders>
              <w:right w:val="single" w:sz="8" w:color="auto"/>
            </w:tcBorders>
            <w:vMerge w:val="restart"/>
          </w:tcPr>
          <w:p>
            <w:pPr>
              <w:jc w:val="center"/>
              <w:ind w:right="56"/>
              <w:spacing w:after="0"/>
              <w:rPr>
                <w:sz w:val="20"/>
                <w:szCs w:val="20"/>
                <w:color w:val="auto"/>
              </w:rPr>
            </w:pPr>
            <w:r>
              <w:rPr>
                <w:rFonts w:ascii="Arial" w:cs="Arial" w:eastAsia="Arial" w:hAnsi="Arial"/>
                <w:sz w:val="9"/>
                <w:szCs w:val="9"/>
                <w:color w:val="auto"/>
                <w:w w:val="88"/>
              </w:rPr>
              <w:t>—</w:t>
            </w:r>
          </w:p>
        </w:tc>
        <w:tc>
          <w:tcPr>
            <w:tcW w:w="780" w:type="dxa"/>
            <w:vAlign w:val="bottom"/>
            <w:tcBorders>
              <w:right w:val="single" w:sz="8" w:color="auto"/>
            </w:tcBorders>
            <w:vMerge w:val="restart"/>
          </w:tcPr>
          <w:p>
            <w:pPr>
              <w:jc w:val="center"/>
              <w:ind w:left="122"/>
              <w:spacing w:after="0"/>
              <w:rPr>
                <w:sz w:val="20"/>
                <w:szCs w:val="20"/>
                <w:color w:val="auto"/>
              </w:rPr>
            </w:pPr>
            <w:r>
              <w:rPr>
                <w:rFonts w:ascii="Arial" w:cs="Arial" w:eastAsia="Arial" w:hAnsi="Arial"/>
                <w:sz w:val="9"/>
                <w:szCs w:val="9"/>
                <w:color w:val="auto"/>
                <w:w w:val="94"/>
              </w:rPr>
              <w:t>5,920,821</w:t>
            </w:r>
          </w:p>
        </w:tc>
        <w:tc>
          <w:tcPr>
            <w:tcW w:w="740" w:type="dxa"/>
            <w:vAlign w:val="bottom"/>
            <w:vMerge w:val="restart"/>
          </w:tcPr>
          <w:p>
            <w:pPr>
              <w:jc w:val="center"/>
              <w:ind w:left="217"/>
              <w:spacing w:after="0"/>
              <w:rPr>
                <w:sz w:val="20"/>
                <w:szCs w:val="20"/>
                <w:color w:val="auto"/>
              </w:rPr>
            </w:pPr>
            <w:r>
              <w:rPr>
                <w:rFonts w:ascii="Arial" w:cs="Arial" w:eastAsia="Arial" w:hAnsi="Arial"/>
                <w:sz w:val="9"/>
                <w:szCs w:val="9"/>
                <w:color w:val="auto"/>
                <w:w w:val="97"/>
              </w:rPr>
              <w:t>56,177,878</w:t>
            </w:r>
          </w:p>
        </w:tc>
        <w:tc>
          <w:tcPr>
            <w:tcW w:w="60" w:type="dxa"/>
            <w:vAlign w:val="bottom"/>
          </w:tcPr>
          <w:p>
            <w:pPr>
              <w:spacing w:after="0"/>
              <w:rPr>
                <w:sz w:val="8"/>
                <w:szCs w:val="8"/>
                <w:color w:val="auto"/>
              </w:rPr>
            </w:pPr>
          </w:p>
        </w:tc>
        <w:tc>
          <w:tcPr>
            <w:tcW w:w="580" w:type="dxa"/>
            <w:vAlign w:val="bottom"/>
            <w:vMerge w:val="restart"/>
          </w:tcPr>
          <w:p>
            <w:pPr>
              <w:jc w:val="center"/>
              <w:ind w:left="237"/>
              <w:spacing w:after="0"/>
              <w:rPr>
                <w:sz w:val="20"/>
                <w:szCs w:val="20"/>
                <w:color w:val="auto"/>
              </w:rPr>
            </w:pPr>
            <w:r>
              <w:rPr>
                <w:rFonts w:ascii="Arial" w:cs="Arial" w:eastAsia="Arial" w:hAnsi="Arial"/>
                <w:sz w:val="9"/>
                <w:szCs w:val="9"/>
                <w:color w:val="auto"/>
              </w:rPr>
              <w:t>29.5%</w:t>
            </w:r>
          </w:p>
        </w:tc>
        <w:tc>
          <w:tcPr>
            <w:tcW w:w="60" w:type="dxa"/>
            <w:vAlign w:val="bottom"/>
          </w:tcPr>
          <w:p>
            <w:pPr>
              <w:spacing w:after="0"/>
              <w:rPr>
                <w:sz w:val="8"/>
                <w:szCs w:val="8"/>
                <w:color w:val="auto"/>
              </w:rPr>
            </w:pPr>
          </w:p>
        </w:tc>
        <w:tc>
          <w:tcPr>
            <w:tcW w:w="740" w:type="dxa"/>
            <w:vAlign w:val="bottom"/>
            <w:vMerge w:val="restart"/>
          </w:tcPr>
          <w:p>
            <w:pPr>
              <w:jc w:val="center"/>
              <w:ind w:left="237"/>
              <w:spacing w:after="0"/>
              <w:rPr>
                <w:sz w:val="20"/>
                <w:szCs w:val="20"/>
                <w:color w:val="auto"/>
              </w:rPr>
            </w:pPr>
            <w:r>
              <w:rPr>
                <w:rFonts w:ascii="Arial" w:cs="Arial" w:eastAsia="Arial" w:hAnsi="Arial"/>
                <w:sz w:val="9"/>
                <w:szCs w:val="9"/>
                <w:color w:val="auto"/>
                <w:w w:val="93"/>
              </w:rPr>
              <w:t>50,257,057</w:t>
            </w: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right w:val="single" w:sz="8" w:color="auto"/>
            </w:tcBorders>
            <w:vMerge w:val="restart"/>
          </w:tcPr>
          <w:p>
            <w:pPr>
              <w:jc w:val="center"/>
              <w:ind w:right="76"/>
              <w:spacing w:after="0"/>
              <w:rPr>
                <w:sz w:val="20"/>
                <w:szCs w:val="20"/>
                <w:color w:val="auto"/>
              </w:rPr>
            </w:pPr>
            <w:r>
              <w:rPr>
                <w:rFonts w:ascii="Arial" w:cs="Arial" w:eastAsia="Arial" w:hAnsi="Arial"/>
                <w:sz w:val="9"/>
                <w:szCs w:val="9"/>
                <w:color w:val="auto"/>
                <w:w w:val="93"/>
              </w:rPr>
              <w:t>28.7%</w:t>
            </w:r>
          </w:p>
        </w:tc>
        <w:tc>
          <w:tcPr>
            <w:tcW w:w="800" w:type="dxa"/>
            <w:vAlign w:val="bottom"/>
            <w:gridSpan w:val="2"/>
            <w:vMerge w:val="restart"/>
          </w:tcPr>
          <w:p>
            <w:pPr>
              <w:jc w:val="center"/>
              <w:ind w:left="157"/>
              <w:spacing w:after="0"/>
              <w:rPr>
                <w:sz w:val="20"/>
                <w:szCs w:val="20"/>
                <w:color w:val="auto"/>
              </w:rPr>
            </w:pPr>
            <w:r>
              <w:rPr>
                <w:rFonts w:ascii="Arial" w:cs="Arial" w:eastAsia="Arial" w:hAnsi="Arial"/>
                <w:sz w:val="9"/>
                <w:szCs w:val="9"/>
                <w:color w:val="auto"/>
                <w:w w:val="88"/>
              </w:rPr>
              <w:t>—</w:t>
            </w:r>
          </w:p>
        </w:tc>
        <w:tc>
          <w:tcPr>
            <w:tcW w:w="620" w:type="dxa"/>
            <w:vAlign w:val="bottom"/>
            <w:gridSpan w:val="2"/>
            <w:vMerge w:val="restart"/>
          </w:tcPr>
          <w:p>
            <w:pPr>
              <w:jc w:val="center"/>
              <w:ind w:left="177"/>
              <w:spacing w:after="0"/>
              <w:rPr>
                <w:sz w:val="20"/>
                <w:szCs w:val="20"/>
                <w:color w:val="auto"/>
              </w:rPr>
            </w:pPr>
            <w:r>
              <w:rPr>
                <w:rFonts w:ascii="Arial" w:cs="Arial" w:eastAsia="Arial" w:hAnsi="Arial"/>
                <w:sz w:val="9"/>
                <w:szCs w:val="9"/>
                <w:color w:val="auto"/>
                <w:w w:val="88"/>
              </w:rPr>
              <w:t>—</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340" w:type="dxa"/>
            <w:vAlign w:val="bottom"/>
            <w:tcBorders>
              <w:right w:val="single" w:sz="8" w:color="auto"/>
            </w:tcBorders>
            <w:vMerge w:val="restart"/>
          </w:tcPr>
          <w:p>
            <w:pPr>
              <w:jc w:val="center"/>
              <w:ind w:right="36"/>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center"/>
              <w:ind w:left="238"/>
              <w:spacing w:after="0"/>
              <w:rPr>
                <w:sz w:val="20"/>
                <w:szCs w:val="20"/>
                <w:color w:val="auto"/>
              </w:rPr>
            </w:pPr>
            <w:r>
              <w:rPr>
                <w:rFonts w:ascii="Arial" w:cs="Arial" w:eastAsia="Arial" w:hAnsi="Arial"/>
                <w:sz w:val="9"/>
                <w:szCs w:val="9"/>
                <w:color w:val="auto"/>
                <w:w w:val="93"/>
              </w:rPr>
              <w:t>20.1%</w:t>
            </w:r>
          </w:p>
        </w:tc>
        <w:tc>
          <w:tcPr>
            <w:tcW w:w="60" w:type="dxa"/>
            <w:vAlign w:val="bottom"/>
          </w:tcPr>
          <w:p>
            <w:pPr>
              <w:spacing w:after="0"/>
              <w:rPr>
                <w:sz w:val="8"/>
                <w:szCs w:val="8"/>
                <w:color w:val="auto"/>
              </w:rPr>
            </w:pPr>
          </w:p>
        </w:tc>
        <w:tc>
          <w:tcPr>
            <w:tcW w:w="600" w:type="dxa"/>
            <w:vAlign w:val="bottom"/>
            <w:tcBorders>
              <w:right w:val="single" w:sz="8" w:color="auto"/>
            </w:tcBorders>
            <w:vMerge w:val="restart"/>
          </w:tcPr>
          <w:p>
            <w:pPr>
              <w:jc w:val="center"/>
              <w:ind w:left="237"/>
              <w:spacing w:after="0"/>
              <w:rPr>
                <w:sz w:val="20"/>
                <w:szCs w:val="20"/>
                <w:color w:val="auto"/>
              </w:rPr>
            </w:pPr>
            <w:r>
              <w:rPr>
                <w:rFonts w:ascii="Arial" w:cs="Arial" w:eastAsia="Arial" w:hAnsi="Arial"/>
                <w:sz w:val="9"/>
                <w:szCs w:val="9"/>
                <w:color w:val="auto"/>
                <w:w w:val="93"/>
              </w:rPr>
              <w:t>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Borders>
              <w:right w:val="single" w:sz="8" w:color="auto"/>
            </w:tcBorders>
            <w:gridSpan w:val="4"/>
          </w:tcPr>
          <w:p>
            <w:pPr>
              <w:ind w:left="140"/>
              <w:spacing w:after="0" w:line="142" w:lineRule="exact"/>
              <w:rPr>
                <w:sz w:val="20"/>
                <w:szCs w:val="20"/>
                <w:color w:val="auto"/>
              </w:rPr>
            </w:pPr>
            <w:r>
              <w:rPr>
                <w:rFonts w:ascii="Arial" w:cs="Arial" w:eastAsia="Arial" w:hAnsi="Arial"/>
                <w:sz w:val="16"/>
                <w:szCs w:val="16"/>
                <w:color w:val="auto"/>
                <w:vertAlign w:val="subscript"/>
              </w:rPr>
              <w:t>LLC</w:t>
            </w:r>
            <w:r>
              <w:rPr>
                <w:rFonts w:ascii="Arial" w:cs="Arial" w:eastAsia="Arial" w:hAnsi="Arial"/>
                <w:sz w:val="6"/>
                <w:szCs w:val="6"/>
                <w:color w:val="auto"/>
              </w:rPr>
              <w:t>(8)(10)</w:t>
            </w:r>
          </w:p>
        </w:tc>
        <w:tc>
          <w:tcPr>
            <w:tcW w:w="68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40" w:type="dxa"/>
            <w:vAlign w:val="bottom"/>
            <w:tcBorders>
              <w:right w:val="single" w:sz="8" w:color="auto"/>
            </w:tcBorders>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4"/>
            <w:shd w:val="clear" w:color="auto" w:fill="CCEEFF"/>
          </w:tcPr>
          <w:p>
            <w:pPr>
              <w:spacing w:after="0"/>
              <w:rPr>
                <w:sz w:val="20"/>
                <w:szCs w:val="20"/>
                <w:color w:val="auto"/>
              </w:rPr>
            </w:pPr>
            <w:r>
              <w:rPr>
                <w:rFonts w:ascii="Arial" w:cs="Arial" w:eastAsia="Arial" w:hAnsi="Arial"/>
                <w:sz w:val="9"/>
                <w:szCs w:val="9"/>
                <w:color w:val="auto"/>
              </w:rPr>
              <w:t>D. Randall Winn</w:t>
            </w:r>
            <w:r>
              <w:rPr>
                <w:rFonts w:ascii="Arial" w:cs="Arial" w:eastAsia="Arial" w:hAnsi="Arial"/>
                <w:sz w:val="12"/>
                <w:szCs w:val="12"/>
                <w:color w:val="auto"/>
                <w:vertAlign w:val="superscript"/>
              </w:rPr>
              <w:t>(9)</w:t>
            </w:r>
          </w:p>
        </w:tc>
        <w:tc>
          <w:tcPr>
            <w:tcW w:w="620" w:type="dxa"/>
            <w:vAlign w:val="bottom"/>
            <w:tcBorders>
              <w:bottom w:val="single" w:sz="8" w:color="auto"/>
            </w:tcBorders>
            <w:shd w:val="clear" w:color="auto" w:fill="CCEEFF"/>
          </w:tcPr>
          <w:p>
            <w:pPr>
              <w:jc w:val="center"/>
              <w:ind w:left="238"/>
              <w:spacing w:after="0"/>
              <w:rPr>
                <w:sz w:val="20"/>
                <w:szCs w:val="20"/>
                <w:color w:val="auto"/>
              </w:rPr>
            </w:pPr>
            <w:r>
              <w:rPr>
                <w:rFonts w:ascii="Arial" w:cs="Arial" w:eastAsia="Arial" w:hAnsi="Arial"/>
                <w:sz w:val="9"/>
                <w:szCs w:val="9"/>
                <w:color w:val="auto"/>
                <w:w w:val="92"/>
              </w:rPr>
              <w:t>997,509</w:t>
            </w:r>
          </w:p>
        </w:tc>
        <w:tc>
          <w:tcPr>
            <w:tcW w:w="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center"/>
              <w:ind w:left="256"/>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center"/>
              <w:ind w:left="237"/>
              <w:spacing w:after="0"/>
              <w:rPr>
                <w:sz w:val="20"/>
                <w:szCs w:val="20"/>
                <w:color w:val="auto"/>
              </w:rPr>
            </w:pPr>
            <w:r>
              <w:rPr>
                <w:rFonts w:ascii="Arial" w:cs="Arial" w:eastAsia="Arial" w:hAnsi="Arial"/>
                <w:sz w:val="9"/>
                <w:szCs w:val="9"/>
                <w:color w:val="auto"/>
                <w:w w:val="92"/>
              </w:rPr>
              <w:t>997,509</w:t>
            </w: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right w:val="single" w:sz="8" w:color="auto"/>
            </w:tcBorders>
            <w:shd w:val="clear" w:color="auto" w:fill="CCEEFF"/>
          </w:tcPr>
          <w:p>
            <w:pPr>
              <w:jc w:val="center"/>
              <w:ind w:right="56"/>
              <w:spacing w:after="0"/>
              <w:rPr>
                <w:sz w:val="20"/>
                <w:szCs w:val="20"/>
                <w:color w:val="auto"/>
              </w:rPr>
            </w:pPr>
            <w:r>
              <w:rPr>
                <w:rFonts w:ascii="Arial" w:cs="Arial" w:eastAsia="Arial" w:hAnsi="Arial"/>
                <w:sz w:val="9"/>
                <w:szCs w:val="9"/>
                <w:color w:val="auto"/>
              </w:rPr>
              <w:t>*</w:t>
            </w:r>
          </w:p>
        </w:tc>
        <w:tc>
          <w:tcPr>
            <w:tcW w:w="780" w:type="dxa"/>
            <w:vAlign w:val="bottom"/>
            <w:tcBorders>
              <w:bottom w:val="single" w:sz="8" w:color="auto"/>
              <w:right w:val="single" w:sz="8" w:color="auto"/>
            </w:tcBorders>
            <w:shd w:val="clear" w:color="auto" w:fill="CCEEFF"/>
          </w:tcPr>
          <w:p>
            <w:pPr>
              <w:jc w:val="center"/>
              <w:ind w:left="122"/>
              <w:spacing w:after="0"/>
              <w:rPr>
                <w:sz w:val="20"/>
                <w:szCs w:val="20"/>
                <w:color w:val="auto"/>
              </w:rPr>
            </w:pPr>
            <w:r>
              <w:rPr>
                <w:rFonts w:ascii="Arial" w:cs="Arial" w:eastAsia="Arial" w:hAnsi="Arial"/>
                <w:sz w:val="9"/>
                <w:szCs w:val="9"/>
                <w:color w:val="auto"/>
                <w:w w:val="94"/>
              </w:rPr>
              <w:t>2,216,553</w:t>
            </w:r>
          </w:p>
        </w:tc>
        <w:tc>
          <w:tcPr>
            <w:tcW w:w="740" w:type="dxa"/>
            <w:vAlign w:val="bottom"/>
            <w:tcBorders>
              <w:bottom w:val="single" w:sz="8" w:color="auto"/>
            </w:tcBorders>
            <w:shd w:val="clear" w:color="auto" w:fill="CCEEFF"/>
          </w:tcPr>
          <w:p>
            <w:pPr>
              <w:jc w:val="center"/>
              <w:ind w:left="217"/>
              <w:spacing w:after="0"/>
              <w:rPr>
                <w:sz w:val="20"/>
                <w:szCs w:val="20"/>
                <w:color w:val="auto"/>
              </w:rPr>
            </w:pPr>
            <w:r>
              <w:rPr>
                <w:rFonts w:ascii="Arial" w:cs="Arial" w:eastAsia="Arial" w:hAnsi="Arial"/>
                <w:sz w:val="9"/>
                <w:szCs w:val="9"/>
                <w:color w:val="auto"/>
                <w:w w:val="97"/>
              </w:rPr>
              <w:t>17,390,534</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center"/>
              <w:ind w:left="237"/>
              <w:spacing w:after="0"/>
              <w:rPr>
                <w:sz w:val="20"/>
                <w:szCs w:val="20"/>
                <w:color w:val="auto"/>
              </w:rPr>
            </w:pPr>
            <w:r>
              <w:rPr>
                <w:rFonts w:ascii="Arial" w:cs="Arial" w:eastAsia="Arial" w:hAnsi="Arial"/>
                <w:sz w:val="9"/>
                <w:szCs w:val="9"/>
                <w:color w:val="auto"/>
                <w:w w:val="87"/>
              </w:rPr>
              <w:t>9.1%</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center"/>
              <w:ind w:left="237"/>
              <w:spacing w:after="0"/>
              <w:rPr>
                <w:sz w:val="20"/>
                <w:szCs w:val="20"/>
                <w:color w:val="auto"/>
              </w:rPr>
            </w:pPr>
            <w:r>
              <w:rPr>
                <w:rFonts w:ascii="Arial" w:cs="Arial" w:eastAsia="Arial" w:hAnsi="Arial"/>
                <w:sz w:val="9"/>
                <w:szCs w:val="9"/>
                <w:color w:val="auto"/>
                <w:w w:val="93"/>
              </w:rPr>
              <w:t>15,175,206</w:t>
            </w: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right w:val="single" w:sz="8" w:color="auto"/>
            </w:tcBorders>
            <w:shd w:val="clear" w:color="auto" w:fill="CCEEFF"/>
          </w:tcPr>
          <w:p>
            <w:pPr>
              <w:jc w:val="center"/>
              <w:ind w:right="76"/>
              <w:spacing w:after="0"/>
              <w:rPr>
                <w:sz w:val="20"/>
                <w:szCs w:val="20"/>
                <w:color w:val="auto"/>
              </w:rPr>
            </w:pPr>
            <w:r>
              <w:rPr>
                <w:rFonts w:ascii="Arial" w:cs="Arial" w:eastAsia="Arial" w:hAnsi="Arial"/>
                <w:sz w:val="9"/>
                <w:szCs w:val="9"/>
                <w:color w:val="auto"/>
                <w:w w:val="97"/>
              </w:rPr>
              <w:t>8.7%</w:t>
            </w:r>
          </w:p>
        </w:tc>
        <w:tc>
          <w:tcPr>
            <w:tcW w:w="720" w:type="dxa"/>
            <w:vAlign w:val="bottom"/>
            <w:tcBorders>
              <w:bottom w:val="single" w:sz="8" w:color="auto"/>
            </w:tcBorders>
            <w:shd w:val="clear" w:color="auto" w:fill="CCEEFF"/>
          </w:tcPr>
          <w:p>
            <w:pPr>
              <w:jc w:val="center"/>
              <w:ind w:left="217"/>
              <w:spacing w:after="0"/>
              <w:rPr>
                <w:sz w:val="20"/>
                <w:szCs w:val="20"/>
                <w:color w:val="auto"/>
              </w:rPr>
            </w:pPr>
            <w:r>
              <w:rPr>
                <w:rFonts w:ascii="Arial" w:cs="Arial" w:eastAsia="Arial" w:hAnsi="Arial"/>
                <w:sz w:val="9"/>
                <w:szCs w:val="9"/>
                <w:color w:val="auto"/>
                <w:w w:val="94"/>
              </w:rPr>
              <w:t>2,643,038</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center"/>
              <w:ind w:left="237"/>
              <w:spacing w:after="0"/>
              <w:rPr>
                <w:sz w:val="20"/>
                <w:szCs w:val="20"/>
                <w:color w:val="auto"/>
              </w:rPr>
            </w:pPr>
            <w:r>
              <w:rPr>
                <w:rFonts w:ascii="Arial" w:cs="Arial" w:eastAsia="Arial" w:hAnsi="Arial"/>
                <w:sz w:val="9"/>
                <w:szCs w:val="9"/>
                <w:color w:val="auto"/>
                <w:w w:val="97"/>
              </w:rPr>
              <w:t>3.4%</w:t>
            </w:r>
          </w:p>
        </w:tc>
        <w:tc>
          <w:tcPr>
            <w:tcW w:w="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center"/>
              <w:ind w:left="257"/>
              <w:spacing w:after="0"/>
              <w:rPr>
                <w:sz w:val="20"/>
                <w:szCs w:val="20"/>
                <w:color w:val="auto"/>
              </w:rPr>
            </w:pPr>
            <w:r>
              <w:rPr>
                <w:rFonts w:ascii="Arial" w:cs="Arial" w:eastAsia="Arial" w:hAnsi="Arial"/>
                <w:sz w:val="9"/>
                <w:szCs w:val="9"/>
                <w:color w:val="auto"/>
                <w:w w:val="94"/>
              </w:rPr>
              <w:t>2,641,813</w:t>
            </w: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right w:val="single" w:sz="8" w:color="auto"/>
            </w:tcBorders>
            <w:shd w:val="clear" w:color="auto" w:fill="CCEEFF"/>
          </w:tcPr>
          <w:p>
            <w:pPr>
              <w:jc w:val="center"/>
              <w:ind w:right="56"/>
              <w:spacing w:after="0"/>
              <w:rPr>
                <w:sz w:val="20"/>
                <w:szCs w:val="20"/>
                <w:color w:val="auto"/>
              </w:rPr>
            </w:pPr>
            <w:r>
              <w:rPr>
                <w:rFonts w:ascii="Arial" w:cs="Arial" w:eastAsia="Arial" w:hAnsi="Arial"/>
                <w:sz w:val="9"/>
                <w:szCs w:val="9"/>
                <w:color w:val="auto"/>
                <w:w w:val="97"/>
              </w:rPr>
              <w:t>4.0%</w:t>
            </w:r>
          </w:p>
        </w:tc>
        <w:tc>
          <w:tcPr>
            <w:tcW w:w="560" w:type="dxa"/>
            <w:vAlign w:val="bottom"/>
            <w:tcBorders>
              <w:bottom w:val="single" w:sz="8" w:color="auto"/>
            </w:tcBorders>
            <w:shd w:val="clear" w:color="auto" w:fill="CCEEFF"/>
          </w:tcPr>
          <w:p>
            <w:pPr>
              <w:jc w:val="center"/>
              <w:ind w:left="238"/>
              <w:spacing w:after="0"/>
              <w:rPr>
                <w:sz w:val="20"/>
                <w:szCs w:val="20"/>
                <w:color w:val="auto"/>
              </w:rPr>
            </w:pPr>
            <w:r>
              <w:rPr>
                <w:rFonts w:ascii="Arial" w:cs="Arial" w:eastAsia="Arial" w:hAnsi="Arial"/>
                <w:sz w:val="9"/>
                <w:szCs w:val="9"/>
                <w:color w:val="auto"/>
                <w:w w:val="97"/>
              </w:rPr>
              <w:t>7.2%</w:t>
            </w:r>
          </w:p>
        </w:tc>
        <w:tc>
          <w:tcPr>
            <w:tcW w:w="60" w:type="dxa"/>
            <w:vAlign w:val="bottom"/>
            <w:shd w:val="clear" w:color="auto" w:fill="CCEEFF"/>
          </w:tcPr>
          <w:p>
            <w:pPr>
              <w:spacing w:after="0"/>
              <w:rPr>
                <w:sz w:val="12"/>
                <w:szCs w:val="12"/>
                <w:color w:val="auto"/>
              </w:rPr>
            </w:pPr>
          </w:p>
        </w:tc>
        <w:tc>
          <w:tcPr>
            <w:tcW w:w="600" w:type="dxa"/>
            <w:vAlign w:val="bottom"/>
            <w:tcBorders>
              <w:bottom w:val="single" w:sz="8" w:color="auto"/>
              <w:right w:val="single" w:sz="8" w:color="auto"/>
            </w:tcBorders>
            <w:shd w:val="clear" w:color="auto" w:fill="CCEEFF"/>
          </w:tcPr>
          <w:p>
            <w:pPr>
              <w:jc w:val="center"/>
              <w:ind w:left="237"/>
              <w:spacing w:after="0"/>
              <w:rPr>
                <w:sz w:val="20"/>
                <w:szCs w:val="20"/>
                <w:color w:val="auto"/>
              </w:rPr>
            </w:pPr>
            <w:r>
              <w:rPr>
                <w:rFonts w:ascii="Arial" w:cs="Arial" w:eastAsia="Arial" w:hAnsi="Arial"/>
                <w:sz w:val="9"/>
                <w:szCs w:val="9"/>
                <w:color w:val="auto"/>
                <w:w w:val="97"/>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060"/>
          </w:cols>
          <w:pgMar w:left="600" w:top="1432" w:right="239" w:bottom="1440" w:gutter="0" w:footer="0" w:header="0"/>
        </w:sectPr>
      </w:pPr>
    </w:p>
    <w:bookmarkStart w:id="20" w:name="page21"/>
    <w:bookmarkEnd w:id="20"/>
    <w:p>
      <w:pPr>
        <w:ind w:left="5"/>
        <w:spacing w:after="0"/>
        <w:rPr>
          <w:sz w:val="20"/>
          <w:szCs w:val="20"/>
          <w:color w:val="auto"/>
        </w:rPr>
      </w:pPr>
      <w:r>
        <w:rPr>
          <w:rFonts w:ascii="Arial" w:cs="Arial" w:eastAsia="Arial" w:hAnsi="Arial"/>
          <w:sz w:val="13"/>
          <w:szCs w:val="13"/>
          <w:color w:val="auto"/>
        </w:rPr>
        <w:t>________________</w:t>
      </w:r>
    </w:p>
    <w:p>
      <w:pPr>
        <w:ind w:left="285" w:hanging="285"/>
        <w:spacing w:after="0" w:line="231" w:lineRule="auto"/>
        <w:tabs>
          <w:tab w:leader="none" w:pos="285"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less than 1%.</w:t>
      </w:r>
    </w:p>
    <w:p>
      <w:pPr>
        <w:jc w:val="both"/>
        <w:ind w:left="285" w:hanging="285"/>
        <w:spacing w:after="0" w:line="246" w:lineRule="auto"/>
        <w:tabs>
          <w:tab w:leader="none" w:pos="279" w:val="left"/>
        </w:tabs>
        <w:numPr>
          <w:ilvl w:val="0"/>
          <w:numId w:val="10"/>
        </w:numPr>
        <w:rPr>
          <w:rFonts w:ascii="Arial" w:cs="Arial" w:eastAsia="Arial" w:hAnsi="Arial"/>
          <w:sz w:val="12"/>
          <w:szCs w:val="12"/>
          <w:color w:val="auto"/>
        </w:rPr>
      </w:pPr>
      <w:r>
        <w:rPr>
          <w:rFonts w:ascii="Arial" w:cs="Arial" w:eastAsia="Arial" w:hAnsi="Arial"/>
          <w:sz w:val="12"/>
          <w:szCs w:val="12"/>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“Organizational Structure,” “Transactions with Related Persons—ZoomInfo OpCo Amended and Restated Limited Liability Company Agreement” from our Proxy Statement incorporated by reference herein and “Transactions with Related Persons—ZoomInfo HoldCo Amended and Restated Limited Liability Company Agreement” from our Proxy Statement incorporated by reference herein.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2" w:lineRule="exact"/>
        <w:rPr>
          <w:rFonts w:ascii="Arial" w:cs="Arial" w:eastAsia="Arial" w:hAnsi="Arial"/>
          <w:sz w:val="12"/>
          <w:szCs w:val="12"/>
          <w:color w:val="auto"/>
        </w:rPr>
      </w:pPr>
    </w:p>
    <w:p>
      <w:pPr>
        <w:ind w:left="285" w:hanging="285"/>
        <w:spacing w:after="0" w:line="227" w:lineRule="auto"/>
        <w:tabs>
          <w:tab w:leader="none" w:pos="285"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OpCo Units which are paired with an equal number of shares of Class B common stock, except as noted in footnote (7) below.</w:t>
      </w:r>
    </w:p>
    <w:p>
      <w:pPr>
        <w:jc w:val="both"/>
        <w:ind w:left="285" w:hanging="285"/>
        <w:spacing w:after="0" w:line="227" w:lineRule="auto"/>
        <w:tabs>
          <w:tab w:leader="none" w:pos="279" w:val="left"/>
        </w:tabs>
        <w:numPr>
          <w:ilvl w:val="0"/>
          <w:numId w:val="10"/>
        </w:numPr>
        <w:rPr>
          <w:rFonts w:ascii="Arial" w:cs="Arial" w:eastAsia="Arial" w:hAnsi="Arial"/>
          <w:sz w:val="13"/>
          <w:szCs w:val="13"/>
          <w:color w:val="auto"/>
        </w:rPr>
      </w:pPr>
      <w:r>
        <w:rPr>
          <w:rFonts w:ascii="Arial" w:cs="Arial" w:eastAsia="Arial" w:hAnsi="Arial"/>
          <w:sz w:val="13"/>
          <w:szCs w:val="13"/>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spacing w:after="0" w:line="3" w:lineRule="exact"/>
        <w:rPr>
          <w:rFonts w:ascii="Arial" w:cs="Arial" w:eastAsia="Arial" w:hAnsi="Arial"/>
          <w:sz w:val="13"/>
          <w:szCs w:val="13"/>
          <w:color w:val="auto"/>
        </w:rPr>
      </w:pPr>
    </w:p>
    <w:p>
      <w:pPr>
        <w:ind w:left="285" w:right="20" w:hanging="285"/>
        <w:spacing w:after="0" w:line="227" w:lineRule="auto"/>
        <w:tabs>
          <w:tab w:leader="none" w:pos="279"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percentage of voting power of the Class A common stock, Class B common stock, and Class C common stock of ZoomInfo Technologies Inc. voting together as a single class. See “Description of Capital Stock—Common Stock.”</w:t>
      </w:r>
    </w:p>
    <w:p>
      <w:pPr>
        <w:spacing w:after="0" w:line="1" w:lineRule="exact"/>
        <w:rPr>
          <w:rFonts w:ascii="Arial" w:cs="Arial" w:eastAsia="Arial" w:hAnsi="Arial"/>
          <w:sz w:val="13"/>
          <w:szCs w:val="13"/>
          <w:color w:val="auto"/>
        </w:rPr>
      </w:pPr>
    </w:p>
    <w:p>
      <w:pPr>
        <w:jc w:val="both"/>
        <w:ind w:left="285" w:hanging="285"/>
        <w:spacing w:after="0" w:line="269" w:lineRule="auto"/>
        <w:tabs>
          <w:tab w:leader="none" w:pos="279" w:val="left"/>
        </w:tabs>
        <w:numPr>
          <w:ilvl w:val="0"/>
          <w:numId w:val="10"/>
        </w:numPr>
        <w:rPr>
          <w:rFonts w:ascii="Arial" w:cs="Arial" w:eastAsia="Arial" w:hAnsi="Arial"/>
          <w:sz w:val="11"/>
          <w:szCs w:val="11"/>
          <w:color w:val="auto"/>
        </w:rPr>
      </w:pPr>
      <w:r>
        <w:rPr>
          <w:rFonts w:ascii="Arial" w:cs="Arial" w:eastAsia="Arial" w:hAnsi="Arial"/>
          <w:sz w:val="11"/>
          <w:szCs w:val="11"/>
          <w:color w:val="auto"/>
        </w:rPr>
        <w:t>Amounts beneficially owned reflect (i) 43,812,481 OpCo Units (and associated shares of Class B common stock) held by TA XI DO AIV, L.P., (ii) 1,131,033 OpCo Units (and associated shares of Class B common stock) held by TA SDF III DO AIV, L.P., (iii) 7,566,373 OpCo Units (and associated shares of Class B common stock) held by TA Atlantic and Pacific VII-A, L.P., (iv) 1,627,174 OpCo Units (and associated shares of Class B common stock) held by TA Investors IV, L.P., (v) 2,927,439 OpCo Units (and associated shares of Class B common stock) held by TA XI DO AIV II, L.P., (vi) 55,212 OpCo Units (and associated shares of Class B common stock) held by TA SDF III DO AIV II, L.P., (vii) 2,628,368 OpCo Units (and associated shares of Class B common stock) held by TA AP VII-B DO Subsidiary Partnership, L.P., (viii) 11,460,417 shares of Class C common stock held by TA XI DO Feeder, L.P., (ix) 216,323 shares of Class C common stock held by TA SDF III DO Feeder, L.P., and (x) 10,281,951 shares of Class C common stock held by TA Atlantic and Pacific VII-B, L.P. (collectively, the “TA Associates Funds”) in each case, following this offering.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1" w:lineRule="exact"/>
        <w:rPr>
          <w:rFonts w:ascii="Arial" w:cs="Arial" w:eastAsia="Arial" w:hAnsi="Arial"/>
          <w:sz w:val="11"/>
          <w:szCs w:val="11"/>
          <w:color w:val="auto"/>
        </w:rPr>
      </w:pPr>
    </w:p>
    <w:p>
      <w:pPr>
        <w:jc w:val="both"/>
        <w:ind w:left="285" w:hanging="285"/>
        <w:spacing w:after="0" w:line="227" w:lineRule="auto"/>
        <w:tabs>
          <w:tab w:leader="none" w:pos="279"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Carlyle Partners VI Evergreen Holdings, L.P. (“Carlyle Evergreen”) is the record holder of 37,493,725 OpCo Units (and associated shares of Class B common stock) following this offering. CP VI Evergreen Holdings, L.P. (“CP VI Evergreen”) is the record holder of 37,702,342 shares of Class C common stock following this offering. Carlyle Partners VI Dash Holdings, L.P. (together with Carlyle Evergreen and CP VI Evergreen, the “Carlyle Investors”) is the record holder of 3,206,750 shares of Class C common stock following this offering.</w:t>
      </w:r>
    </w:p>
    <w:p>
      <w:pPr>
        <w:spacing w:after="0" w:line="1" w:lineRule="exact"/>
        <w:rPr>
          <w:rFonts w:ascii="Arial" w:cs="Arial" w:eastAsia="Arial" w:hAnsi="Arial"/>
          <w:sz w:val="13"/>
          <w:szCs w:val="13"/>
          <w:color w:val="auto"/>
        </w:rPr>
      </w:pPr>
    </w:p>
    <w:p>
      <w:pPr>
        <w:jc w:val="both"/>
        <w:ind w:left="285"/>
        <w:spacing w:after="0" w:line="246" w:lineRule="auto"/>
        <w:rPr>
          <w:rFonts w:ascii="Arial" w:cs="Arial" w:eastAsia="Arial" w:hAnsi="Arial"/>
          <w:sz w:val="13"/>
          <w:szCs w:val="13"/>
          <w:color w:val="auto"/>
        </w:rPr>
      </w:pPr>
      <w:r>
        <w:rPr>
          <w:rFonts w:ascii="Arial" w:cs="Arial" w:eastAsia="Arial" w:hAnsi="Arial"/>
          <w:sz w:val="12"/>
          <w:szCs w:val="12"/>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1" w:lineRule="exact"/>
        <w:rPr>
          <w:rFonts w:ascii="Arial" w:cs="Arial" w:eastAsia="Arial" w:hAnsi="Arial"/>
          <w:sz w:val="13"/>
          <w:szCs w:val="13"/>
          <w:color w:val="auto"/>
        </w:rPr>
      </w:pPr>
    </w:p>
    <w:p>
      <w:pPr>
        <w:jc w:val="both"/>
        <w:ind w:left="285" w:right="20"/>
        <w:spacing w:after="0" w:line="269" w:lineRule="auto"/>
        <w:rPr>
          <w:rFonts w:ascii="Arial" w:cs="Arial" w:eastAsia="Arial" w:hAnsi="Arial"/>
          <w:sz w:val="13"/>
          <w:szCs w:val="13"/>
          <w:color w:val="auto"/>
        </w:rPr>
      </w:pPr>
      <w:r>
        <w:rPr>
          <w:rFonts w:ascii="Arial" w:cs="Arial" w:eastAsia="Arial" w:hAnsi="Arial"/>
          <w:sz w:val="11"/>
          <w:szCs w:val="11"/>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jc w:val="both"/>
        <w:ind w:left="285"/>
        <w:spacing w:after="0" w:line="246" w:lineRule="auto"/>
        <w:rPr>
          <w:rFonts w:ascii="Arial" w:cs="Arial" w:eastAsia="Arial" w:hAnsi="Arial"/>
          <w:sz w:val="13"/>
          <w:szCs w:val="13"/>
          <w:color w:val="auto"/>
        </w:rPr>
      </w:pPr>
      <w:r>
        <w:rPr>
          <w:rFonts w:ascii="Arial" w:cs="Arial" w:eastAsia="Arial" w:hAnsi="Arial"/>
          <w:sz w:val="12"/>
          <w:szCs w:val="12"/>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spacing w:after="0" w:line="1" w:lineRule="exact"/>
        <w:rPr>
          <w:rFonts w:ascii="Arial" w:cs="Arial" w:eastAsia="Arial" w:hAnsi="Arial"/>
          <w:sz w:val="13"/>
          <w:szCs w:val="13"/>
          <w:color w:val="auto"/>
        </w:rPr>
      </w:pPr>
    </w:p>
    <w:p>
      <w:pPr>
        <w:ind w:left="285" w:right="20"/>
        <w:spacing w:after="0" w:line="246" w:lineRule="auto"/>
        <w:rPr>
          <w:rFonts w:ascii="Arial" w:cs="Arial" w:eastAsia="Arial" w:hAnsi="Arial"/>
          <w:sz w:val="13"/>
          <w:szCs w:val="13"/>
          <w:color w:val="auto"/>
        </w:rPr>
      </w:pPr>
      <w:r>
        <w:rPr>
          <w:rFonts w:ascii="Arial" w:cs="Arial" w:eastAsia="Arial" w:hAnsi="Arial"/>
          <w:sz w:val="12"/>
          <w:szCs w:val="12"/>
          <w:color w:val="auto"/>
        </w:rPr>
        <w:t>The address of each of TC Group Cayman Investment Holdings, L.P. and TC Group Cayman Investment Holdings Sub L.P. is c/o Walkers, 190 Elgin Avenue, George Town, Grand Cayman KY1-9001. The address of each of the other entities named in this footnote is c/o The Carlyle Group Inc., 1001 Pennsylvania Avenue, NW, Suite 220 South, Washington, District of Columbia 20004-2505.</w:t>
      </w:r>
    </w:p>
    <w:p>
      <w:pPr>
        <w:ind w:left="285" w:right="20" w:hanging="285"/>
        <w:spacing w:after="0" w:line="247" w:lineRule="auto"/>
        <w:tabs>
          <w:tab w:leader="none" w:pos="279"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Amounts beneficially owned reflect (i) 2,308,179 shares of Class C common stock and 8,920,127 OpCo Units (and associated shares of Class B common stock) held directly following this offering by 22C Magellan Holdings LLC, whose two principal members are 22C DiscoverOrg Investors, LLC and 22C Capital I, L.P., (ii) 333,634 shares of Class C common stock and 34,649 HoldCo Units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265"/>
          </w:cols>
          <w:pgMar w:left="315" w:top="1259" w:right="319" w:bottom="1440" w:gutter="0" w:footer="0" w:header="0"/>
        </w:sectPr>
      </w:pPr>
    </w:p>
    <w:bookmarkStart w:id="21" w:name="page22"/>
    <w:bookmarkEnd w:id="21"/>
    <w:p>
      <w:pPr>
        <w:jc w:val="both"/>
        <w:ind w:left="285"/>
        <w:spacing w:after="0" w:line="227" w:lineRule="auto"/>
        <w:rPr>
          <w:sz w:val="20"/>
          <w:szCs w:val="20"/>
          <w:color w:val="auto"/>
        </w:rPr>
      </w:pPr>
      <w:r>
        <w:rPr>
          <w:rFonts w:ascii="Arial" w:cs="Arial" w:eastAsia="Arial" w:hAnsi="Arial"/>
          <w:sz w:val="12"/>
          <w:szCs w:val="12"/>
          <w:color w:val="auto"/>
        </w:rPr>
        <w:t>associated shares of Class B common stock) held directly by 22C Capital I-A, L.P. and (iii) 997,509 shares of Class A common stock and 1,576,756 OpCo Units (and associated shares of Class B Common stock) held by 22C DiscoverOrg MM, LLC.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 L.L.C. Eric Edell and D. Randall Winn are co-managing members of 22C DiscoverOrg Advisors, LLC and co-members of 22C Capital GP I MM LLC and, in such capacities, may be deemed to indirectly control each of 22C Magellan Holdings LLC, 22C DiscoverOrg MM, LLC and 22C Capital I-A, L.P. However, Mr. Winn has authorized Mr. Edell to exercise voting and investment decisions with respect to the shares of Class C common stock and OpCo Units (and associated shares of Class B common stock) held directly by 22C Magellan Holdings LLC, the shares of Class C common stock and HoldCo Units (and associated shares of Class B common stock) held directly by 22C Capital I-A, L.P. and the shares of Class A common stock and OpCo Units (and associated shares of Class B common stock) held directly by 22C DiscoverOrg MM, LLC. In addition, following this offering, as disclosed in footnote (9) below, D. Randall Winn exercises voting and investment power over OpCo Units (and associated shares of Class B common stock) held directly by Mr. Winn in his individual capacity, and Mr. Winn may be deemed to control, and Mr. Edell may be deemed to exercise voting and investment power over, OpCo Units (and associated shares of Class B common stock) held directly by FiveW DiscoverOrg LLC. The address of 22C Magellan Holdings LLC, 22C Capital I-A, L.P. and 22C DiscoverOrg MM, LLC is 445 Park Avenue, 13th Floor, New York, New York 10022. The address of Eric Edell and D. Randall Winn is 7900 Glades Road, Suite 540, Boca Raton, Florida 33434.</w:t>
      </w:r>
    </w:p>
    <w:p>
      <w:pPr>
        <w:spacing w:after="0" w:line="5" w:lineRule="exact"/>
        <w:rPr>
          <w:sz w:val="20"/>
          <w:szCs w:val="20"/>
          <w:color w:val="auto"/>
        </w:rPr>
      </w:pPr>
    </w:p>
    <w:p>
      <w:pPr>
        <w:jc w:val="both"/>
        <w:ind w:left="285" w:right="20" w:hanging="285"/>
        <w:spacing w:after="0" w:line="227" w:lineRule="auto"/>
        <w:tabs>
          <w:tab w:leader="none" w:pos="279" w:val="left"/>
        </w:tabs>
        <w:numPr>
          <w:ilvl w:val="0"/>
          <w:numId w:val="11"/>
        </w:numPr>
        <w:rPr>
          <w:rFonts w:ascii="Arial" w:cs="Arial" w:eastAsia="Arial" w:hAnsi="Arial"/>
          <w:sz w:val="13"/>
          <w:szCs w:val="13"/>
          <w:color w:val="auto"/>
        </w:rPr>
      </w:pPr>
      <w:r>
        <w:rPr>
          <w:rFonts w:ascii="Arial" w:cs="Arial" w:eastAsia="Arial" w:hAnsi="Arial"/>
          <w:sz w:val="13"/>
          <w:szCs w:val="13"/>
          <w:color w:val="auto"/>
        </w:rPr>
        <w:t>Amounts beneficially owned reflect OpCo Units (and associated shares of Class B common stock) held directly by DO Holdings (WA), LLC following this offering. DO Holdings (WA), LLC is owned by Henry Schuck and Kirk Brown. Messrs. Schuck and Brown may be deemed to share voting and dispositive power over the securities held by DO Holdings (WA), LLC. The principal business address of DO Holdings (WA), LLC is c/o 805 Broadway Street, Suite 900 Vancouver, Washington 98660.</w:t>
      </w:r>
    </w:p>
    <w:p>
      <w:pPr>
        <w:spacing w:after="0" w:line="1" w:lineRule="exact"/>
        <w:rPr>
          <w:rFonts w:ascii="Arial" w:cs="Arial" w:eastAsia="Arial" w:hAnsi="Arial"/>
          <w:sz w:val="13"/>
          <w:szCs w:val="13"/>
          <w:color w:val="auto"/>
        </w:rPr>
      </w:pPr>
    </w:p>
    <w:p>
      <w:pPr>
        <w:jc w:val="both"/>
        <w:ind w:left="285" w:hanging="285"/>
        <w:spacing w:after="0" w:line="227" w:lineRule="auto"/>
        <w:tabs>
          <w:tab w:leader="none" w:pos="279" w:val="left"/>
        </w:tabs>
        <w:numPr>
          <w:ilvl w:val="0"/>
          <w:numId w:val="11"/>
        </w:numPr>
        <w:rPr>
          <w:rFonts w:ascii="Arial" w:cs="Arial" w:eastAsia="Arial" w:hAnsi="Arial"/>
          <w:sz w:val="13"/>
          <w:szCs w:val="13"/>
          <w:color w:val="auto"/>
        </w:rPr>
      </w:pPr>
      <w:r>
        <w:rPr>
          <w:rFonts w:ascii="Arial" w:cs="Arial" w:eastAsia="Arial" w:hAnsi="Arial"/>
          <w:sz w:val="13"/>
          <w:szCs w:val="13"/>
          <w:color w:val="auto"/>
        </w:rPr>
        <w:t>Amounts beneficially owned reflect: (i) 2,641,813 shares of Class C common stock, 997,509 shares of Class A common stock and 10,496,883 OpCo Units (and associated shares of Class B common stock), and 34,649 HoldCo Units (and associated shares of Class B common stock) beneficially owned by 22C Capital, as disclosed in footnote (7) above; (ii) 1,125,519 OpCo Units (and associated shares of Class B common stock) directly held by Mr. Winn in his individual capacity; and (iii) 3,518,155 OpCo Units (and associated shares of Class B common stock) held directly by FiveW DiscoverOrg LLC, whose managing member is FiveW Capital LLC. Mr. Winn is the managing member of FiveW Capital LLC and, in such capacity, may be deemed to indirectly control FiveW DiscoverOrg, LLC. However, Mr. Winn has authorized Mr. Edell to exercise voting and investment decisions with respect to the shares directly held by FiveW DiscoverOrg, LLC. The address of each of Mr. Edell and Mr. Winn is 7900 Glades Road, Suite 540, Boca Raton, Florida 33434.</w:t>
      </w:r>
    </w:p>
    <w:p>
      <w:pPr>
        <w:spacing w:after="0" w:line="3" w:lineRule="exact"/>
        <w:rPr>
          <w:rFonts w:ascii="Arial" w:cs="Arial" w:eastAsia="Arial" w:hAnsi="Arial"/>
          <w:sz w:val="13"/>
          <w:szCs w:val="13"/>
          <w:color w:val="auto"/>
        </w:rPr>
      </w:pPr>
    </w:p>
    <w:p>
      <w:pPr>
        <w:jc w:val="both"/>
        <w:ind w:left="285" w:hanging="285"/>
        <w:spacing w:after="0" w:line="231" w:lineRule="auto"/>
        <w:tabs>
          <w:tab w:leader="none" w:pos="282"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265"/>
          </w:cols>
          <w:pgMar w:left="315" w:top="1259"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CERTAIN U.S. FEDERAL INCOME AND ESTATE TAX CONSEQUENCES TO NON-U.S. HOLDERS</w:t>
      </w:r>
    </w:p>
    <w:p>
      <w:pPr>
        <w:spacing w:after="0" w:line="151"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1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09" w:lineRule="exact"/>
        <w:rPr>
          <w:sz w:val="20"/>
          <w:szCs w:val="20"/>
          <w:color w:val="auto"/>
        </w:rPr>
      </w:pPr>
    </w:p>
    <w:p>
      <w:pPr>
        <w:ind w:left="560" w:hanging="282"/>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individual citizen or resident of the United States;</w:t>
      </w:r>
    </w:p>
    <w:p>
      <w:pPr>
        <w:spacing w:after="0" w:line="147"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United States federal income tax purposes) created or organized in or under the laws of the United States, any state thereof, or the District of Columbia;</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estate the income of which is subject to United States federal income taxation regardless of its source; or</w:t>
      </w:r>
    </w:p>
    <w:p>
      <w:pPr>
        <w:spacing w:after="0" w:line="147" w:lineRule="exact"/>
        <w:rPr>
          <w:rFonts w:ascii="Arial" w:cs="Arial" w:eastAsia="Arial" w:hAnsi="Arial"/>
          <w:sz w:val="16"/>
          <w:szCs w:val="16"/>
          <w:color w:val="auto"/>
        </w:rPr>
      </w:pPr>
    </w:p>
    <w:p>
      <w:pPr>
        <w:ind w:left="560" w:right="20" w:hanging="282"/>
        <w:spacing w:after="0" w:line="302" w:lineRule="auto"/>
        <w:tabs>
          <w:tab w:leader="none" w:pos="556"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86" w:lineRule="exact"/>
        <w:rPr>
          <w:sz w:val="20"/>
          <w:szCs w:val="20"/>
          <w:color w:val="auto"/>
        </w:rPr>
      </w:pPr>
    </w:p>
    <w:p>
      <w:pPr>
        <w:jc w:val="both"/>
        <w:ind w:firstLine="284"/>
        <w:spacing w:after="0" w:line="267" w:lineRule="auto"/>
        <w:rPr>
          <w:sz w:val="20"/>
          <w:szCs w:val="20"/>
          <w:color w:val="auto"/>
        </w:rPr>
      </w:pPr>
      <w:r>
        <w:rPr>
          <w:rFonts w:ascii="Arial" w:cs="Arial" w:eastAsia="Arial" w:hAnsi="Arial"/>
          <w:sz w:val="15"/>
          <w:szCs w:val="15"/>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15"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5"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51"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S-17</w:t>
      </w:r>
    </w:p>
    <w:p>
      <w:pPr>
        <w:sectPr>
          <w:pgSz w:w="11900" w:h="16838" w:orient="portrait"/>
          <w:cols w:equalWidth="0" w:num="1">
            <w:col w:w="11260"/>
          </w:cols>
          <w:pgMar w:left="320" w:top="1258" w:right="319" w:bottom="1440" w:gutter="0" w:footer="0" w:header="0"/>
        </w:sectPr>
      </w:pPr>
    </w:p>
    <w:bookmarkStart w:id="23" w:name="page24"/>
    <w:bookmarkEnd w:id="23"/>
    <w:p>
      <w:pPr>
        <w:jc w:val="both"/>
        <w:ind w:right="20"/>
        <w:spacing w:after="0" w:line="257" w:lineRule="auto"/>
        <w:rPr>
          <w:sz w:val="20"/>
          <w:szCs w:val="20"/>
          <w:color w:val="auto"/>
        </w:rPr>
      </w:pPr>
      <w:r>
        <w:rPr>
          <w:rFonts w:ascii="Arial" w:cs="Arial" w:eastAsia="Arial" w:hAnsi="Arial"/>
          <w:sz w:val="16"/>
          <w:szCs w:val="16"/>
          <w:color w:val="auto"/>
        </w:rPr>
        <w:t>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119" w:lineRule="exact"/>
        <w:rPr>
          <w:sz w:val="20"/>
          <w:szCs w:val="20"/>
          <w:color w:val="auto"/>
        </w:rPr>
      </w:pPr>
    </w:p>
    <w:p>
      <w:pPr>
        <w:jc w:val="both"/>
        <w:ind w:right="20" w:firstLine="284"/>
        <w:spacing w:after="0" w:line="271" w:lineRule="auto"/>
        <w:rPr>
          <w:sz w:val="20"/>
          <w:szCs w:val="20"/>
          <w:color w:val="auto"/>
        </w:rPr>
      </w:pPr>
      <w:r>
        <w:rPr>
          <w:rFonts w:ascii="Arial" w:cs="Arial" w:eastAsia="Arial" w:hAnsi="Arial"/>
          <w:sz w:val="15"/>
          <w:szCs w:val="15"/>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09"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22"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Gain on Disposition of Class A Common Stock</w:t>
      </w:r>
    </w:p>
    <w:p>
      <w:pPr>
        <w:spacing w:after="0" w:line="151"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09" w:lineRule="exact"/>
        <w:rPr>
          <w:sz w:val="20"/>
          <w:szCs w:val="20"/>
          <w:color w:val="auto"/>
        </w:rPr>
      </w:pPr>
    </w:p>
    <w:p>
      <w:pPr>
        <w:ind w:left="560" w:right="20" w:hanging="282"/>
        <w:spacing w:after="0" w:line="268"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09"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taxable year of that disposition, and certain other conditions are met; or</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for United States federal income tax purposes and certain other conditions are met.</w:t>
      </w:r>
    </w:p>
    <w:p>
      <w:pPr>
        <w:spacing w:after="0" w:line="159"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23" w:lineRule="exact"/>
        <w:rPr>
          <w:sz w:val="20"/>
          <w:szCs w:val="20"/>
          <w:color w:val="auto"/>
        </w:rPr>
      </w:pPr>
    </w:p>
    <w:p>
      <w:pPr>
        <w:jc w:val="both"/>
        <w:ind w:firstLine="284"/>
        <w:spacing w:after="0" w:line="340" w:lineRule="auto"/>
        <w:rPr>
          <w:sz w:val="20"/>
          <w:szCs w:val="20"/>
          <w:color w:val="auto"/>
        </w:rPr>
      </w:pPr>
      <w:r>
        <w:rPr>
          <w:rFonts w:ascii="Arial" w:cs="Arial" w:eastAsia="Arial" w:hAnsi="Arial"/>
          <w:sz w:val="14"/>
          <w:szCs w:val="14"/>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1260"/>
          </w:cols>
          <w:pgMar w:left="320" w:top="1262" w:right="319" w:bottom="1440" w:gutter="0" w:footer="0" w:header="0"/>
        </w:sectPr>
      </w:pPr>
    </w:p>
    <w:bookmarkStart w:id="24" w:name="page25"/>
    <w:bookmarkEnd w:id="24"/>
    <w:p>
      <w:pPr>
        <w:jc w:val="both"/>
        <w:ind w:right="20"/>
        <w:spacing w:after="0" w:line="268" w:lineRule="auto"/>
        <w:rPr>
          <w:sz w:val="20"/>
          <w:szCs w:val="20"/>
          <w:color w:val="auto"/>
        </w:rPr>
      </w:pPr>
      <w:r>
        <w:rPr>
          <w:rFonts w:ascii="Arial" w:cs="Arial" w:eastAsia="Arial" w:hAnsi="Arial"/>
          <w:sz w:val="16"/>
          <w:szCs w:val="16"/>
          <w:color w:val="auto"/>
        </w:rPr>
        <w:t>federal income tax purposes). We believe we are not and do not anticipate becoming a “United States real property holding corporation” for United States federal income tax purposes.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Estate Tax</w:t>
      </w:r>
    </w:p>
    <w:p>
      <w:pPr>
        <w:spacing w:after="0" w:line="151"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151"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19" w:lineRule="exact"/>
        <w:rPr>
          <w:sz w:val="20"/>
          <w:szCs w:val="20"/>
          <w:color w:val="auto"/>
        </w:rPr>
      </w:pPr>
    </w:p>
    <w:p>
      <w:pPr>
        <w:jc w:val="both"/>
        <w:ind w:right="20" w:firstLine="284"/>
        <w:spacing w:after="0" w:line="340" w:lineRule="auto"/>
        <w:rPr>
          <w:sz w:val="20"/>
          <w:szCs w:val="20"/>
          <w:color w:val="auto"/>
        </w:rPr>
      </w:pPr>
      <w:r>
        <w:rPr>
          <w:rFonts w:ascii="Arial" w:cs="Arial" w:eastAsia="Arial" w:hAnsi="Arial"/>
          <w:sz w:val="14"/>
          <w:szCs w:val="14"/>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64"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23"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Withholding Requirements</w:t>
      </w:r>
    </w:p>
    <w:p>
      <w:pPr>
        <w:spacing w:after="0" w:line="151"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4"/>
          <w:szCs w:val="14"/>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S-19</w:t>
      </w:r>
    </w:p>
    <w:p>
      <w:pPr>
        <w:sectPr>
          <w:pgSz w:w="11900" w:h="16838" w:orient="portrait"/>
          <w:cols w:equalWidth="0" w:num="1">
            <w:col w:w="11260"/>
          </w:cols>
          <w:pgMar w:left="320" w:top="1262"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UNDERWRITING</w:t>
      </w:r>
    </w:p>
    <w:p>
      <w:pPr>
        <w:spacing w:after="0" w:line="151"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Morgan Stanley &amp; Co. LLC is acting as the underwriter for this offering. Subject to the terms and conditions set forth in an underwriting agreement among us, the selling stockholders and the underwriter, the selling stockholders have agreed to sell to the underwriter, and the underwriter has agreed to purchase from the selling stockholders, 27,000,000 shares of Class A common stock.</w:t>
      </w:r>
    </w:p>
    <w:p>
      <w:pPr>
        <w:spacing w:after="0" w:line="11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Subject to the terms and conditions set forth in the underwriting agreement, the underwriter has agreed to purchase all of the shares sold under the underwriting agreement if any of these shares are purchased.</w:t>
      </w:r>
    </w:p>
    <w:p>
      <w:pPr>
        <w:spacing w:after="0" w:line="10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We and the selling stockholders have agreed to indemnify the underwriter against certain liabilities, including liabilities under the Securities Act of 1933, as amended, or to contribute to payments the underwriter may be required to make in respect of those liabilities.</w:t>
      </w:r>
    </w:p>
    <w:p>
      <w:pPr>
        <w:spacing w:after="0" w:line="109"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The underwriter is offering the shares, subject to prior sale, when, as and if issued to and accepted by it, subject to approval of legal matters by its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and Discounts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 by the selling stockholders.</w:t>
      </w:r>
    </w:p>
    <w:p>
      <w:pPr>
        <w:spacing w:after="0" w:line="175" w:lineRule="exact"/>
        <w:rPr>
          <w:sz w:val="20"/>
          <w:szCs w:val="20"/>
          <w:color w:val="auto"/>
        </w:rPr>
      </w:pPr>
    </w:p>
    <w:tbl>
      <w:tblPr>
        <w:tblLayout w:type="fixed"/>
        <w:tblInd w:w="280" w:type="dxa"/>
        <w:tblCellMar>
          <w:top w:w="0" w:type="dxa"/>
          <w:left w:w="0" w:type="dxa"/>
          <w:bottom w:w="0" w:type="dxa"/>
          <w:right w:w="0" w:type="dxa"/>
        </w:tblCellMar>
      </w:tblPr>
      <w:tr>
        <w:trPr>
          <w:trHeight w:val="169"/>
        </w:trPr>
        <w:tc>
          <w:tcPr>
            <w:tcW w:w="5760" w:type="dxa"/>
            <w:vAlign w:val="bottom"/>
          </w:tcPr>
          <w:p>
            <w:pPr>
              <w:spacing w:after="0"/>
              <w:rPr>
                <w:sz w:val="14"/>
                <w:szCs w:val="14"/>
                <w:color w:val="auto"/>
              </w:rPr>
            </w:pPr>
          </w:p>
        </w:tc>
        <w:tc>
          <w:tcPr>
            <w:tcW w:w="1660" w:type="dxa"/>
            <w:vAlign w:val="bottom"/>
            <w:gridSpan w:val="2"/>
          </w:tcPr>
          <w:p>
            <w:pPr>
              <w:ind w:left="660"/>
              <w:spacing w:after="0"/>
              <w:rPr>
                <w:sz w:val="20"/>
                <w:szCs w:val="20"/>
                <w:color w:val="auto"/>
              </w:rPr>
            </w:pPr>
            <w:r>
              <w:rPr>
                <w:rFonts w:ascii="Arial" w:cs="Arial" w:eastAsia="Arial" w:hAnsi="Arial"/>
                <w:sz w:val="13"/>
                <w:szCs w:val="13"/>
                <w:b w:val="1"/>
                <w:bCs w:val="1"/>
                <w:color w:val="auto"/>
              </w:rPr>
              <w:t>Per Share</w:t>
            </w:r>
          </w:p>
        </w:tc>
        <w:tc>
          <w:tcPr>
            <w:tcW w:w="1580" w:type="dxa"/>
            <w:vAlign w:val="bottom"/>
          </w:tcPr>
          <w:p>
            <w:pPr>
              <w:jc w:val="right"/>
              <w:ind w:right="425"/>
              <w:spacing w:after="0"/>
              <w:rPr>
                <w:sz w:val="20"/>
                <w:szCs w:val="20"/>
                <w:color w:val="auto"/>
              </w:rPr>
            </w:pPr>
            <w:r>
              <w:rPr>
                <w:rFonts w:ascii="Arial" w:cs="Arial" w:eastAsia="Arial" w:hAnsi="Arial"/>
                <w:sz w:val="13"/>
                <w:szCs w:val="13"/>
                <w:b w:val="1"/>
                <w:bCs w:val="1"/>
                <w:color w:val="auto"/>
              </w:rPr>
              <w:t>Total</w:t>
            </w:r>
          </w:p>
        </w:tc>
      </w:tr>
      <w:tr>
        <w:trPr>
          <w:trHeight w:val="198"/>
        </w:trPr>
        <w:tc>
          <w:tcPr>
            <w:tcW w:w="57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Public offering price</w:t>
            </w:r>
          </w:p>
        </w:tc>
        <w:tc>
          <w:tcPr>
            <w:tcW w:w="1580" w:type="dxa"/>
            <w:vAlign w:val="bottom"/>
            <w:tcBorders>
              <w:top w:val="single" w:sz="8" w:color="auto"/>
            </w:tcBorders>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r>
      <w:tr>
        <w:trPr>
          <w:trHeight w:val="201"/>
        </w:trPr>
        <w:tc>
          <w:tcPr>
            <w:tcW w:w="5760" w:type="dxa"/>
            <w:vAlign w:val="bottom"/>
          </w:tcPr>
          <w:p>
            <w:pPr>
              <w:ind w:left="300"/>
              <w:spacing w:after="0"/>
              <w:rPr>
                <w:sz w:val="20"/>
                <w:szCs w:val="20"/>
                <w:color w:val="auto"/>
              </w:rPr>
            </w:pPr>
            <w:r>
              <w:rPr>
                <w:rFonts w:ascii="Arial" w:cs="Arial" w:eastAsia="Arial" w:hAnsi="Arial"/>
                <w:sz w:val="16"/>
                <w:szCs w:val="16"/>
                <w:color w:val="auto"/>
              </w:rPr>
              <w:t>Underwriting discount to be paid by the selling stockholders</w:t>
            </w:r>
          </w:p>
        </w:tc>
        <w:tc>
          <w:tcPr>
            <w:tcW w:w="158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580" w:type="dxa"/>
            <w:vAlign w:val="bottom"/>
          </w:tcPr>
          <w:p>
            <w:pPr>
              <w:jc w:val="right"/>
              <w:ind w:right="1125"/>
              <w:spacing w:after="0"/>
              <w:rPr>
                <w:sz w:val="20"/>
                <w:szCs w:val="20"/>
                <w:color w:val="auto"/>
              </w:rPr>
            </w:pPr>
            <w:r>
              <w:rPr>
                <w:rFonts w:ascii="Arial" w:cs="Arial" w:eastAsia="Arial" w:hAnsi="Arial"/>
                <w:sz w:val="16"/>
                <w:szCs w:val="16"/>
                <w:color w:val="auto"/>
              </w:rPr>
              <w:t>$</w:t>
            </w:r>
          </w:p>
        </w:tc>
      </w:tr>
      <w:tr>
        <w:trPr>
          <w:trHeight w:val="201"/>
        </w:trPr>
        <w:tc>
          <w:tcPr>
            <w:tcW w:w="5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before expenses, to the selling stockholders</w:t>
            </w:r>
          </w:p>
        </w:tc>
        <w:tc>
          <w:tcPr>
            <w:tcW w:w="1580" w:type="dxa"/>
            <w:vAlign w:val="bottom"/>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r>
    </w:tbl>
    <w:p>
      <w:pPr>
        <w:spacing w:after="0" w:line="212"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Shares sold by the underwriter to the public will initially be offered at the offering price set forth on the cover of this prospectus supplement. Any shares sold by the underwriter to securities dealers may be sold at a discount of up to $ per share from the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Sales of shares made outside the United States may be made by affiliates of the underwriter.</w:t>
      </w:r>
    </w:p>
    <w:p>
      <w:pPr>
        <w:spacing w:after="0" w:line="105"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The estimated offering expenses payable by us, exclusive of the underwriting discount, are approximately $ . The selling stockholders will bear the underwriting discount attributable to their sale of shares of our Class A common stock and we will bear the remaining expenses. We have agreed to reimburse the underwriter for expenses relating to clearance of this offering with the Financial Industry Regulatory Authority, Inc. up to $ .</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Class A common stock is listed on the Nasdaq under the trading symbol “ZI.”</w:t>
      </w:r>
    </w:p>
    <w:p>
      <w:pPr>
        <w:spacing w:after="0" w:line="147"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We, certain of our executive officers, our directors, the holders of all of our Class C common stock, the holders of substantially all of our outstanding OpCo Units, and certain holders of our HoldCo Units have agreed that, without the prior written consent of the underwriter, we and they will not, during the period ending 30 days after the date of this prospectus (the “restricted period”):</w:t>
      </w:r>
    </w:p>
    <w:p>
      <w:pPr>
        <w:spacing w:after="0" w:line="119" w:lineRule="exact"/>
        <w:rPr>
          <w:sz w:val="20"/>
          <w:szCs w:val="20"/>
          <w:color w:val="auto"/>
        </w:rPr>
      </w:pPr>
    </w:p>
    <w:p>
      <w:pPr>
        <w:jc w:val="both"/>
        <w:ind w:left="560" w:hanging="282"/>
        <w:spacing w:after="0" w:line="253" w:lineRule="auto"/>
        <w:tabs>
          <w:tab w:leader="none" w:pos="5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S-20</w:t>
      </w:r>
    </w:p>
    <w:p>
      <w:pPr>
        <w:sectPr>
          <w:pgSz w:w="11900" w:h="16838" w:orient="portrait"/>
          <w:cols w:equalWidth="0" w:num="1">
            <w:col w:w="11260"/>
          </w:cols>
          <w:pgMar w:left="320" w:top="1258" w:right="319" w:bottom="1440" w:gutter="0" w:footer="0" w:header="0"/>
        </w:sectPr>
      </w:pPr>
    </w:p>
    <w:bookmarkStart w:id="26" w:name="page27"/>
    <w:bookmarkEnd w:id="26"/>
    <w:p>
      <w:pPr>
        <w:ind w:left="560" w:hanging="282"/>
        <w:spacing w:after="0" w:line="268"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our case, publicly file any registration statement with the SEC relating to the offering of any such securities;</w:t>
      </w:r>
    </w:p>
    <w:p>
      <w:pPr>
        <w:spacing w:after="0" w:line="14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or, in each case, publicly disclose the intention to undertake any of the foregoing. In addition, each such officer, director, stockholder, or unitholder has agreed that such person will not, without the prior written consent of the underwriter, during the restricted period, make any demand for, or exercise any right with respect to, the registration of any such securities.</w:t>
      </w:r>
    </w:p>
    <w:p>
      <w:pPr>
        <w:spacing w:after="0" w:line="119"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The restrictions described in the immediately preceding paragraph are subject to certain exceptions, including customary exceptions related to open-market transactions in our Class A common stock, issuances or transfers in connection with incentive plans, establishment of, and transactions pursuant to, Rule 10b5-1 plans, exchanges of OpCo Units and HoldCo Units and corresponding number of shares of Class B common stock for shares of Class A common stock, and conversions of shares of Class C common stock into shares of Class A common stock.</w:t>
      </w:r>
    </w:p>
    <w:p>
      <w:pPr>
        <w:spacing w:after="0" w:line="123"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The underwriter, in its sole discretion, may release us or the securities of our officers, directors, stockholders, and unitholders subject to the lock-up agreements described above in whole or in part at any time.</w:t>
      </w:r>
    </w:p>
    <w:p>
      <w:pPr>
        <w:spacing w:after="0" w:line="109"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In order to facilitate the offering of the Class A common stock, the underwriter may engage in transactions that stabilize, maintain, or otherwise affect the price of the Class A common stock. Specifically, the underwriter may sell more shares than it is obligated to purchase under the underwriting agreement, creating a short position. The underwriter must close out any short position by purchasing shares in the open market. A short position is more likely to be created if the underwriter is concerned that there may be downward pressure on the price of our Class A common stock in the open market after pricing that could adversely affect investors who purchase in the offering. As an additional means of facilitating this offering, the underwriter may bid for, and purchase, shares of Class A common stock in the open market to stabilize the price of the Class A common stock. Stabilizing transactions consist of various bids for or purchases of shares of Class A common stock made by the underwriter in the open market prior to the completion of the offering.</w:t>
      </w:r>
    </w:p>
    <w:p>
      <w:pPr>
        <w:spacing w:after="0" w:line="125" w:lineRule="exact"/>
        <w:rPr>
          <w:sz w:val="20"/>
          <w:szCs w:val="20"/>
          <w:color w:val="auto"/>
        </w:rPr>
      </w:pPr>
    </w:p>
    <w:p>
      <w:pPr>
        <w:jc w:val="both"/>
        <w:ind w:firstLine="284"/>
        <w:spacing w:after="0" w:line="311" w:lineRule="auto"/>
        <w:rPr>
          <w:sz w:val="20"/>
          <w:szCs w:val="20"/>
          <w:color w:val="auto"/>
        </w:rPr>
      </w:pPr>
      <w:r>
        <w:rPr>
          <w:rFonts w:ascii="Arial" w:cs="Arial" w:eastAsia="Arial" w:hAnsi="Arial"/>
          <w:sz w:val="14"/>
          <w:szCs w:val="14"/>
          <w:color w:val="auto"/>
        </w:rPr>
        <w:t>Similar to other purchase transactions, the underwriter’s purchases to cover the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 may conduct these transactions on the Nasdaq in the over-the-counter market or otherwise.</w:t>
      </w:r>
    </w:p>
    <w:p>
      <w:pPr>
        <w:spacing w:after="0" w:line="84"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None of us, the selling stockholders or the underwriter make any representation or prediction as to the direction or magnitude of any effect that the transactions described above may have on the price of our Class A common stock. In addition, neither we nor the underwriter make any representation that the underwriter will engage in these transactions or that these transactions, once commenced, will not be discontinued without notice.</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connection with the offering, the underwriter or securities dealers may distribute prospectuses by electronic means, such as e-mail.</w:t>
      </w:r>
    </w:p>
    <w:p>
      <w:pPr>
        <w:spacing w:after="0" w:line="147"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The underwriter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its affiliates have, from time to time, performed, and may in the future perform, various financial advisory and investment banking services for us or our respective affiliates, for which it received or will receive customary fees, commissions, and expenses. Specifically, an affiliate of Morgan Stanley &amp; Co. LLC acts as administrative agent and collateral agent under our secured credit facilities.</w:t>
      </w:r>
    </w:p>
    <w:p>
      <w:pPr>
        <w:spacing w:after="0" w:line="122"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In addition, in the ordinary course of their various business activities, the underwriter and its affiliates may make or hold a broad array of investments and actively trade debt and equity securities (or related derivative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ectPr>
          <w:pgSz w:w="11900" w:h="16838" w:orient="portrait"/>
          <w:cols w:equalWidth="0" w:num="1">
            <w:col w:w="11260"/>
          </w:cols>
          <w:pgMar w:left="320" w:top="1262" w:right="319" w:bottom="1440" w:gutter="0" w:footer="0" w:header="0"/>
        </w:sectPr>
      </w:pPr>
    </w:p>
    <w:bookmarkStart w:id="27" w:name="page28"/>
    <w:bookmarkEnd w:id="27"/>
    <w:p>
      <w:pPr>
        <w:jc w:val="both"/>
        <w:ind w:right="20"/>
        <w:spacing w:after="0" w:line="253" w:lineRule="auto"/>
        <w:rPr>
          <w:sz w:val="20"/>
          <w:szCs w:val="20"/>
          <w:color w:val="auto"/>
        </w:rPr>
      </w:pPr>
      <w:r>
        <w:rPr>
          <w:rFonts w:ascii="Arial" w:cs="Arial" w:eastAsia="Arial" w:hAnsi="Arial"/>
          <w:sz w:val="16"/>
          <w:szCs w:val="16"/>
          <w:color w:val="auto"/>
        </w:rPr>
        <w:t>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 and its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Restrictions</w:t>
      </w:r>
    </w:p>
    <w:p>
      <w:pPr>
        <w:spacing w:after="0" w:line="151"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Other than in the United States, no action has been taken by us, the underwriter, or the selling stockholders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Canada</w:t>
      </w:r>
    </w:p>
    <w:p>
      <w:pPr>
        <w:spacing w:after="0" w:line="147"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or subsection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 are permitted clients, as defined in National Instrument 31-103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shares of our Class A common stock must be made in accordance with an</w:t>
      </w:r>
      <w:r>
        <w:rPr>
          <w:rFonts w:ascii="Arial" w:cs="Arial" w:eastAsia="Arial" w:hAnsi="Arial"/>
          <w:sz w:val="15"/>
          <w:szCs w:val="15"/>
          <w:i w:val="1"/>
          <w:iCs w:val="1"/>
          <w:color w:val="auto"/>
        </w:rPr>
        <w:t xml:space="preserve"> </w:t>
      </w:r>
      <w:r>
        <w:rPr>
          <w:rFonts w:ascii="Arial" w:cs="Arial" w:eastAsia="Arial" w:hAnsi="Arial"/>
          <w:sz w:val="15"/>
          <w:szCs w:val="15"/>
          <w:color w:val="auto"/>
        </w:rPr>
        <w:t>exemption from, or in a transaction not subject to, the prospectus requirements of applicable securities laws.</w:t>
      </w:r>
    </w:p>
    <w:p>
      <w:pPr>
        <w:spacing w:after="0" w:line="105"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3"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 xml:space="preserve">Pursuant to section 3A.3 of National Instrument 33-105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 is not required to comply with the disclosure requirements of NI 33-105 regarding underwriter conflicts of interest in connection with this offering.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147"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In relation to each Member State of the European Economic Area and the United Kingdom (each an “EEA State”), no offer to the public of any shares of our Class A common stock may be made in that Member State, except that an offer to the public in that EEA State of any shares of our Class A common stock may be made at any time under the following exemptions under the EU Prospectus Directive:</w:t>
      </w:r>
    </w:p>
    <w:p>
      <w:pPr>
        <w:spacing w:after="0" w:line="119" w:lineRule="exact"/>
        <w:rPr>
          <w:sz w:val="20"/>
          <w:szCs w:val="20"/>
          <w:color w:val="auto"/>
        </w:rPr>
      </w:pP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EU Prospectus Directive;</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EU Prospectus Directive), as permitted under the EU Prospectus Directive, subject to obtaining the prior consent of the representatives for any such offer; or</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EU Prospectus Directive;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11260"/>
          </w:cols>
          <w:pgMar w:left="320" w:top="1262" w:right="31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6"/>
          <w:szCs w:val="16"/>
          <w:color w:val="auto"/>
        </w:rPr>
        <w:t>provided that no such offer of shares of our Class A common stock shall result in a requirement for the publication by us or any underwriter of a prospectus pursuant to Article 3 of the EU Prospectus Directive, or supplement a prospectus pursuant to Article 16 of the EU Prospectus Directive.</w:t>
      </w:r>
    </w:p>
    <w:p>
      <w:pPr>
        <w:spacing w:after="0" w:line="109" w:lineRule="exact"/>
        <w:rPr>
          <w:sz w:val="20"/>
          <w:szCs w:val="20"/>
          <w:color w:val="auto"/>
        </w:rPr>
      </w:pPr>
    </w:p>
    <w:p>
      <w:pPr>
        <w:jc w:val="both"/>
        <w:ind w:right="20" w:firstLine="284"/>
        <w:spacing w:after="0" w:line="311" w:lineRule="auto"/>
        <w:rPr>
          <w:sz w:val="20"/>
          <w:szCs w:val="20"/>
          <w:color w:val="auto"/>
        </w:rPr>
      </w:pPr>
      <w:r>
        <w:rPr>
          <w:rFonts w:ascii="Arial" w:cs="Arial" w:eastAsia="Arial" w:hAnsi="Arial"/>
          <w:sz w:val="14"/>
          <w:szCs w:val="14"/>
          <w:color w:val="auto"/>
        </w:rPr>
        <w:t>For the purposes of this provision: (i) the expression an “offer to the public” in relation to any shares of our Class A common stock in any EEA State means the communication in any form and by any means of sufficient information on the terms of the offer and any shares of our Class A common stock to be offered so as to enable an investor to decide to purchase any shares of our Class A common stock; and (ii) the expression “EU Prospectus Directive” means Regulation (EU) 2017/1129 (as amended).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Kingdom</w:t>
      </w:r>
    </w:p>
    <w:p>
      <w:pPr>
        <w:spacing w:after="0" w:line="147"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In relation to the United Kingdom, no shares of our Class A common stock have been offered or will be offered pursuant to an offering to the public in the United Kingdom prior to the publication of a prospectus in relation to the shares of our Class A common stock which has been approved by the Financial Conduct Authority in accordance with the UK Prospectus Regulation, except that it may make an offer to the public in the United Kingdom of any shares of our Class A common stock at any time under the following exemptions under the UK Prospectus Regulation:</w:t>
      </w:r>
    </w:p>
    <w:p>
      <w:pPr>
        <w:spacing w:after="0" w:line="123" w:lineRule="exact"/>
        <w:rPr>
          <w:sz w:val="20"/>
          <w:szCs w:val="20"/>
          <w:color w:val="auto"/>
        </w:rPr>
      </w:pPr>
    </w:p>
    <w:p>
      <w:pPr>
        <w:ind w:left="560" w:hanging="282"/>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UK Prospectus Regulation;</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UK Prospectus Regulation), subject to obtaining the prior consent of the representative for any such offer; or</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UK Prospectus Regulation;</w:t>
      </w:r>
    </w:p>
    <w:p>
      <w:pPr>
        <w:spacing w:after="0" w:line="147"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provided that no such offer of the shares of our Class A common stock shall require the issuer or any underwriter to publish a prospectus pursuant to Article 3 of the UK Prospectus Regulation or supplement a prospectus pursuant to Article 23 of the UK Prospectus Regulation.</w:t>
      </w:r>
    </w:p>
    <w:p>
      <w:pPr>
        <w:spacing w:after="0" w:line="109" w:lineRule="exact"/>
        <w:rPr>
          <w:sz w:val="20"/>
          <w:szCs w:val="20"/>
          <w:color w:val="auto"/>
        </w:rPr>
      </w:pPr>
    </w:p>
    <w:p>
      <w:pPr>
        <w:jc w:val="both"/>
        <w:ind w:firstLine="284"/>
        <w:spacing w:after="0" w:line="271" w:lineRule="auto"/>
        <w:rPr>
          <w:sz w:val="20"/>
          <w:szCs w:val="20"/>
          <w:color w:val="auto"/>
        </w:rPr>
      </w:pPr>
      <w:r>
        <w:rPr>
          <w:rFonts w:ascii="Arial" w:cs="Arial" w:eastAsia="Arial" w:hAnsi="Arial"/>
          <w:sz w:val="15"/>
          <w:szCs w:val="15"/>
          <w:color w:val="auto"/>
        </w:rPr>
        <w:t>In the United Kingdom, the offering to the public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09"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of our Class A common stock in the United Kingdom means the communication in any form and by any means of sufficient information on the terms of the offering to the public and any shares of our Class A common stock to be offered so as to enable an investor to decide to purchase or subscribe for any shares of our Class A common stock, and the expression “UK Prospectus Regulation” means the UK version of Regulation (EU) No 2017/1129 as amended by The Prospectus (Amendment etc.) (EU Exit) Regulations 2019, which is part of UK law by virtue of the European Union (Withdrawal) Act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Switzerland</w:t>
      </w:r>
    </w:p>
    <w:p>
      <w:pPr>
        <w:spacing w:after="0" w:line="147" w:lineRule="exact"/>
        <w:rPr>
          <w:sz w:val="20"/>
          <w:szCs w:val="20"/>
          <w:color w:val="auto"/>
        </w:rPr>
      </w:pPr>
    </w:p>
    <w:p>
      <w:pPr>
        <w:jc w:val="both"/>
        <w:ind w:right="20" w:firstLine="284"/>
        <w:spacing w:after="0" w:line="301" w:lineRule="auto"/>
        <w:rPr>
          <w:sz w:val="20"/>
          <w:szCs w:val="20"/>
          <w:color w:val="auto"/>
        </w:rPr>
      </w:pPr>
      <w:r>
        <w:rPr>
          <w:rFonts w:ascii="Arial" w:cs="Arial" w:eastAsia="Arial" w:hAnsi="Arial"/>
          <w:sz w:val="14"/>
          <w:szCs w:val="14"/>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260"/>
          </w:cols>
          <w:pgMar w:left="320" w:top="1262" w:right="319" w:bottom="1440" w:gutter="0" w:footer="0" w:header="0"/>
        </w:sectPr>
      </w:pPr>
    </w:p>
    <w:bookmarkStart w:id="29" w:name="page30"/>
    <w:bookmarkEnd w:id="29"/>
    <w:p>
      <w:pPr>
        <w:ind w:right="1200"/>
        <w:spacing w:after="0" w:line="431" w:lineRule="auto"/>
        <w:rPr>
          <w:sz w:val="20"/>
          <w:szCs w:val="20"/>
          <w:color w:val="auto"/>
        </w:rPr>
      </w:pPr>
      <w:r>
        <w:rPr>
          <w:rFonts w:ascii="Arial" w:cs="Arial" w:eastAsia="Arial" w:hAnsi="Arial"/>
          <w:sz w:val="16"/>
          <w:szCs w:val="16"/>
          <w:color w:val="auto"/>
        </w:rPr>
        <w:t xml:space="preserve">offering or marketing material relating to the shares of Class A common stock may be publicly distributed or otherwise made publicly available in Switzerland. </w:t>
      </w:r>
      <w:r>
        <w:rPr>
          <w:rFonts w:ascii="Arial" w:cs="Arial" w:eastAsia="Arial" w:hAnsi="Arial"/>
          <w:sz w:val="16"/>
          <w:szCs w:val="16"/>
          <w:b w:val="1"/>
          <w:bCs w:val="1"/>
          <w:i w:val="1"/>
          <w:iCs w:val="1"/>
          <w:color w:val="auto"/>
        </w:rPr>
        <w:t>Dubai International Financial Centre</w:t>
      </w:r>
    </w:p>
    <w:p>
      <w:pPr>
        <w:spacing w:after="0" w:line="1"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Hong Kong</w:t>
      </w:r>
    </w:p>
    <w:p>
      <w:pPr>
        <w:spacing w:after="0" w:line="147"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5"/>
          <w:szCs w:val="15"/>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Singapore</w:t>
      </w:r>
    </w:p>
    <w:p>
      <w:pPr>
        <w:spacing w:after="0" w:line="147" w:lineRule="exact"/>
        <w:rPr>
          <w:sz w:val="20"/>
          <w:szCs w:val="20"/>
          <w:color w:val="auto"/>
        </w:rPr>
      </w:pPr>
    </w:p>
    <w:p>
      <w:pPr>
        <w:jc w:val="both"/>
        <w:ind w:right="20" w:firstLine="284"/>
        <w:spacing w:after="0" w:line="25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 the shares of our Class A common stock are subscribed or purchased under Section 275 of the SFA by a relevant person which is:</w:t>
      </w:r>
    </w:p>
    <w:p>
      <w:pPr>
        <w:spacing w:after="0" w:line="147" w:lineRule="exact"/>
        <w:rPr>
          <w:sz w:val="20"/>
          <w:szCs w:val="20"/>
          <w:color w:val="auto"/>
        </w:rPr>
      </w:pPr>
    </w:p>
    <w:p>
      <w:pPr>
        <w:ind w:left="560" w:hanging="282"/>
        <w:spacing w:after="0" w:line="268" w:lineRule="auto"/>
        <w:tabs>
          <w:tab w:leader="none" w:pos="5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6"/>
          <w:szCs w:val="16"/>
          <w:color w:val="auto"/>
        </w:rPr>
      </w:pPr>
    </w:p>
    <w:p>
      <w:pPr>
        <w:ind w:left="560" w:right="20" w:hanging="282"/>
        <w:spacing w:after="0" w:line="268" w:lineRule="auto"/>
        <w:tabs>
          <w:tab w:leader="none" w:pos="5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the sole purpose of which is to hold investments and each beneficiary of the trust is an individual who is an accredited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S-24</w:t>
      </w:r>
    </w:p>
    <w:p>
      <w:pPr>
        <w:sectPr>
          <w:pgSz w:w="11900" w:h="16838" w:orient="portrait"/>
          <w:cols w:equalWidth="0" w:num="1">
            <w:col w:w="11260"/>
          </w:cols>
          <w:pgMar w:left="320" w:top="1262" w:right="319" w:bottom="1440" w:gutter="0" w:footer="0" w:header="0"/>
        </w:sectPr>
      </w:pPr>
    </w:p>
    <w:bookmarkStart w:id="30" w:name="page31"/>
    <w:bookmarkEnd w:id="30"/>
    <w:p>
      <w:pPr>
        <w:ind w:right="20"/>
        <w:spacing w:after="0" w:line="340" w:lineRule="auto"/>
        <w:rPr>
          <w:sz w:val="20"/>
          <w:szCs w:val="20"/>
          <w:color w:val="auto"/>
        </w:rPr>
      </w:pPr>
      <w:r>
        <w:rPr>
          <w:rFonts w:ascii="Arial" w:cs="Arial" w:eastAsia="Arial" w:hAnsi="Arial"/>
          <w:sz w:val="14"/>
          <w:szCs w:val="14"/>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64" w:lineRule="exact"/>
        <w:rPr>
          <w:sz w:val="20"/>
          <w:szCs w:val="20"/>
          <w:color w:val="auto"/>
        </w:rPr>
      </w:pPr>
    </w:p>
    <w:p>
      <w:pPr>
        <w:ind w:left="560" w:right="20" w:hanging="282"/>
        <w:spacing w:after="0" w:line="268" w:lineRule="auto"/>
        <w:tabs>
          <w:tab w:leader="none" w:pos="5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47" w:lineRule="exact"/>
        <w:rPr>
          <w:sz w:val="20"/>
          <w:szCs w:val="20"/>
          <w:color w:val="auto"/>
        </w:rPr>
      </w:pPr>
    </w:p>
    <w:p>
      <w:pPr>
        <w:jc w:val="both"/>
        <w:ind w:right="20" w:firstLine="284"/>
        <w:spacing w:after="0" w:line="276" w:lineRule="auto"/>
        <w:rPr>
          <w:sz w:val="20"/>
          <w:szCs w:val="20"/>
          <w:color w:val="auto"/>
        </w:rPr>
      </w:pPr>
      <w:r>
        <w:rPr>
          <w:rFonts w:ascii="Arial" w:cs="Arial" w:eastAsia="Arial" w:hAnsi="Arial"/>
          <w:sz w:val="15"/>
          <w:szCs w:val="15"/>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Japan</w:t>
      </w:r>
    </w:p>
    <w:p>
      <w:pPr>
        <w:spacing w:after="0" w:line="147"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09"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Qualified Institutional Investors (“QII”)</w:t>
      </w:r>
    </w:p>
    <w:p>
      <w:pPr>
        <w:spacing w:after="0" w:line="147"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Non-QII Investors</w:t>
      </w:r>
    </w:p>
    <w:p>
      <w:pPr>
        <w:spacing w:after="0" w:line="147"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5"/>
          <w:szCs w:val="15"/>
          <w:i w:val="1"/>
          <w:iCs w:val="1"/>
          <w:color w:val="auto"/>
        </w:rPr>
        <w:t>en bloc</w:t>
      </w:r>
      <w:r>
        <w:rPr>
          <w:rFonts w:ascii="Arial" w:cs="Arial" w:eastAsia="Arial" w:hAnsi="Arial"/>
          <w:sz w:val="15"/>
          <w:szCs w:val="15"/>
          <w:color w:val="auto"/>
        </w:rPr>
        <w:t xml:space="preserve"> without subdivision to a single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S-25</w:t>
      </w:r>
    </w:p>
    <w:p>
      <w:pPr>
        <w:sectPr>
          <w:pgSz w:w="11900" w:h="16838" w:orient="portrait"/>
          <w:cols w:equalWidth="0" w:num="1">
            <w:col w:w="11260"/>
          </w:cols>
          <w:pgMar w:left="320" w:top="1262"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Australia</w:t>
      </w:r>
    </w:p>
    <w:p>
      <w:pPr>
        <w:spacing w:after="0" w:line="147"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3"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23"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123" w:lineRule="exact"/>
        <w:rPr>
          <w:sz w:val="20"/>
          <w:szCs w:val="20"/>
          <w:color w:val="auto"/>
        </w:rPr>
      </w:pPr>
    </w:p>
    <w:p>
      <w:pPr>
        <w:jc w:val="both"/>
        <w:ind w:firstLine="284"/>
        <w:spacing w:after="0" w:line="282" w:lineRule="auto"/>
        <w:rPr>
          <w:sz w:val="20"/>
          <w:szCs w:val="20"/>
          <w:color w:val="auto"/>
        </w:rPr>
      </w:pPr>
      <w:r>
        <w:rPr>
          <w:rFonts w:ascii="Arial" w:cs="Arial" w:eastAsia="Arial" w:hAnsi="Arial"/>
          <w:sz w:val="15"/>
          <w:szCs w:val="15"/>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S-26</w:t>
      </w:r>
    </w:p>
    <w:p>
      <w:pPr>
        <w:sectPr>
          <w:pgSz w:w="11900" w:h="16838" w:orient="portrait"/>
          <w:cols w:equalWidth="0" w:num="1">
            <w:col w:w="11260"/>
          </w:cols>
          <w:pgMar w:left="320" w:top="1262"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LEGAL MATTERS</w:t>
      </w:r>
    </w:p>
    <w:p>
      <w:pPr>
        <w:spacing w:after="0" w:line="151"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The validity of the shares of Class A common stock will be passed upon for us by Simpson Thacher &amp; Bartlett LLP, New York, New York. Certain legal matters in connection with this offering will be passed upon for the underwriter by Latham &amp; Watkins LLP, New York, New York.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151"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 xml:space="preserve">The consolidated financial statements of ZoomInfo Technologies Inc. as of December 31, 2020 and 2019, and for each of the years in the three-year period ended December 31, 2020, have been incorporated by reference herein in reliance upon the reports of KPMG LLP, independent registered public accounting firm, incorporated by reference herein, and upon the authority of said firm as experts in accounting and auditing. The audit report covering the December 31, 2020 financial statements refers to a change in the method of accounting for leases due to the adoption of Accounting Standards Codification Topic 842, </w:t>
      </w:r>
      <w:r>
        <w:rPr>
          <w:rFonts w:ascii="Arial" w:cs="Arial" w:eastAsia="Arial" w:hAnsi="Arial"/>
          <w:sz w:val="15"/>
          <w:szCs w:val="15"/>
          <w:i w:val="1"/>
          <w:iCs w:val="1"/>
          <w:color w:val="auto"/>
        </w:rPr>
        <w:t>Leas</w:t>
      </w:r>
      <w:r>
        <w:rPr>
          <w:rFonts w:ascii="Arial" w:cs="Arial" w:eastAsia="Arial" w:hAnsi="Arial"/>
          <w:sz w:val="15"/>
          <w:szCs w:val="15"/>
          <w:color w:val="auto"/>
        </w:rPr>
        <w:t>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151"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 xml:space="preserve">We have filed with the SEC a registration statement on Form S-3 under the Securities Act with respect to the shares of Class A common stock offered by this prospectus supplement and the accompanying prospectus. This prospectus supplement,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6"/>
          <w:szCs w:val="16"/>
          <w:i w:val="1"/>
          <w:iCs w:val="1"/>
          <w:color w:val="auto"/>
        </w:rPr>
        <w:t>http://www.sec.gov.</w:t>
      </w:r>
    </w:p>
    <w:p>
      <w:pPr>
        <w:spacing w:after="0" w:line="125"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 xml:space="preserve">We maintain an internet site at </w:t>
      </w:r>
      <w:r>
        <w:rPr>
          <w:rFonts w:ascii="Arial" w:cs="Arial" w:eastAsia="Arial" w:hAnsi="Arial"/>
          <w:sz w:val="16"/>
          <w:szCs w:val="16"/>
          <w:i w:val="1"/>
          <w:iCs w:val="1"/>
          <w:color w:val="auto"/>
        </w:rPr>
        <w:t>http://www.zoominfo.com</w:t>
      </w:r>
      <w:r>
        <w:rPr>
          <w:rFonts w:ascii="Arial" w:cs="Arial" w:eastAsia="Arial" w:hAnsi="Arial"/>
          <w:sz w:val="16"/>
          <w:szCs w:val="16"/>
          <w:color w:val="auto"/>
        </w:rPr>
        <w:t>. The information on, or accessible from, our website is not part of this prospectus supplement by reference or otherwise.</w:t>
      </w:r>
    </w:p>
    <w:p>
      <w:pPr>
        <w:spacing w:after="0" w:line="109"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 xml:space="preserve">We are subject to the informational requirements of the Exchange Act and are required to file reports and other information with the SEC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You may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151"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and all documents that we subsequently file with the SEC under Sections 13(a), 13(c), 14 or 15(d) of the Exchange Act prior to the termination of the offering of shares by means of this prospectus supplement and the accompanying prospectus will also be incorporated by reference into this prospectus and deemed to be part of this prospectus, from their respective filing dates (in each case, other than any portions thereof, which under the Exchange Act, and applicable SEC rules, are not deemed “filed” under the Exchange Act):</w:t>
      </w:r>
    </w:p>
    <w:p>
      <w:pPr>
        <w:spacing w:after="0" w:line="113" w:lineRule="exact"/>
        <w:rPr>
          <w:sz w:val="20"/>
          <w:szCs w:val="20"/>
          <w:color w:val="auto"/>
        </w:rPr>
      </w:pPr>
    </w:p>
    <w:p>
      <w:pPr>
        <w:ind w:left="560" w:hanging="282"/>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our Annual Report on </w:t>
      </w:r>
      <w:hyperlink r:id="rId18">
        <w:r>
          <w:rPr>
            <w:rFonts w:ascii="Arial" w:cs="Arial" w:eastAsia="Arial" w:hAnsi="Arial"/>
            <w:sz w:val="16"/>
            <w:szCs w:val="16"/>
            <w:u w:val="single" w:color="auto"/>
            <w:color w:val="0000FF"/>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2020, filed on February 26, 2021;</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our Quarterly Reports on Form 10-Q for the quarterly periods ended March 31, 2021, filed on </w:t>
      </w:r>
      <w:hyperlink r:id="rId19">
        <w:r>
          <w:rPr>
            <w:rFonts w:ascii="Arial" w:cs="Arial" w:eastAsia="Arial" w:hAnsi="Arial"/>
            <w:sz w:val="16"/>
            <w:szCs w:val="16"/>
            <w:u w:val="single" w:color="auto"/>
            <w:color w:val="0000FF"/>
          </w:rPr>
          <w:t>May 3, 2021</w:t>
        </w:r>
      </w:hyperlink>
      <w:r>
        <w:rPr>
          <w:rFonts w:ascii="Arial" w:cs="Arial" w:eastAsia="Arial" w:hAnsi="Arial"/>
          <w:sz w:val="16"/>
          <w:szCs w:val="16"/>
          <w:color w:val="auto"/>
        </w:rPr>
        <w:t xml:space="preserve">, and June 30, 2021, filed on </w:t>
      </w:r>
      <w:hyperlink r:id="rId20">
        <w:r>
          <w:rPr>
            <w:rFonts w:ascii="Arial" w:cs="Arial" w:eastAsia="Arial" w:hAnsi="Arial"/>
            <w:sz w:val="16"/>
            <w:szCs w:val="16"/>
            <w:u w:val="single" w:color="auto"/>
            <w:color w:val="0000FF"/>
          </w:rPr>
          <w:t xml:space="preserve">August </w:t>
        </w:r>
      </w:hyperlink>
      <w:r>
        <w:rPr>
          <w:rFonts w:ascii="Arial" w:cs="Arial" w:eastAsia="Arial" w:hAnsi="Arial"/>
          <w:sz w:val="16"/>
          <w:szCs w:val="16"/>
          <w:color w:val="auto"/>
        </w:rPr>
        <w:t xml:space="preserve">2, </w:t>
      </w:r>
      <w:hyperlink r:id="rId20">
        <w:r>
          <w:rPr>
            <w:rFonts w:ascii="Arial" w:cs="Arial" w:eastAsia="Arial" w:hAnsi="Arial"/>
            <w:sz w:val="16"/>
            <w:szCs w:val="16"/>
            <w:u w:val="single" w:color="auto"/>
            <w:color w:val="0000FF"/>
          </w:rPr>
          <w:t>2021</w:t>
        </w:r>
      </w:hyperlink>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those portions of our definitive proxy statement on </w:t>
      </w:r>
      <w:hyperlink r:id="rId21">
        <w:r>
          <w:rPr>
            <w:rFonts w:ascii="Arial" w:cs="Arial" w:eastAsia="Arial" w:hAnsi="Arial"/>
            <w:sz w:val="16"/>
            <w:szCs w:val="16"/>
            <w:u w:val="single" w:color="auto"/>
            <w:color w:val="0000FF"/>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March 16, 2021, in connection with our 2021 annual meeting of stockholders that are incorporated by reference into our Annual Report Form 10-K for the fiscal year ended December 31,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S-27</w:t>
      </w:r>
    </w:p>
    <w:p>
      <w:pPr>
        <w:sectPr>
          <w:pgSz w:w="11900" w:h="16838" w:orient="portrait"/>
          <w:cols w:equalWidth="0" w:num="1">
            <w:col w:w="11260"/>
          </w:cols>
          <w:pgMar w:left="320" w:top="1258" w:right="319" w:bottom="1440" w:gutter="0" w:footer="0" w:header="0"/>
        </w:sectPr>
      </w:pPr>
    </w:p>
    <w:bookmarkStart w:id="33" w:name="page34"/>
    <w:bookmarkEnd w:id="33"/>
    <w:p>
      <w:pPr>
        <w:ind w:left="560" w:right="20" w:hanging="282"/>
        <w:spacing w:after="0" w:line="268" w:lineRule="auto"/>
        <w:tabs>
          <w:tab w:leader="none" w:pos="556" w:val="left"/>
        </w:tabs>
        <w:numPr>
          <w:ilvl w:val="0"/>
          <w:numId w:val="21"/>
        </w:numPr>
        <w:rPr>
          <w:rFonts w:ascii="Arial" w:cs="Arial" w:eastAsia="Arial" w:hAnsi="Arial"/>
          <w:sz w:val="16"/>
          <w:szCs w:val="16"/>
          <w:color w:val="0000FF"/>
        </w:rPr>
      </w:pPr>
      <w:hyperlink r:id="rId22">
        <w:r>
          <w:rPr>
            <w:rFonts w:ascii="Arial" w:cs="Arial" w:eastAsia="Arial" w:hAnsi="Arial"/>
            <w:sz w:val="16"/>
            <w:szCs w:val="16"/>
            <w:color w:val="auto"/>
          </w:rPr>
          <w:t xml:space="preserve">our Current Reports on Form 8-K filed on </w:t>
        </w:r>
        <w:r>
          <w:rPr>
            <w:rFonts w:ascii="Arial" w:cs="Arial" w:eastAsia="Arial" w:hAnsi="Arial"/>
            <w:sz w:val="16"/>
            <w:szCs w:val="16"/>
            <w:u w:val="single" w:color="auto"/>
            <w:color w:val="0000FF"/>
          </w:rPr>
          <w:t>January 25,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February 2,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February 22, 2021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April 28,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June 10,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June 30,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July 13,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July</w:t>
        </w:r>
      </w:hyperlink>
      <w:r>
        <w:rPr>
          <w:rFonts w:ascii="Arial" w:cs="Arial" w:eastAsia="Arial" w:hAnsi="Arial"/>
          <w:sz w:val="16"/>
          <w:szCs w:val="16"/>
          <w:color w:val="auto"/>
        </w:rPr>
        <w:t xml:space="preserve"> </w:t>
      </w:r>
      <w:hyperlink r:id="rId22">
        <w:r>
          <w:rPr>
            <w:rFonts w:ascii="Arial" w:cs="Arial" w:eastAsia="Arial" w:hAnsi="Arial"/>
            <w:sz w:val="16"/>
            <w:szCs w:val="16"/>
            <w:u w:val="single" w:color="auto"/>
            <w:color w:val="0000FF"/>
          </w:rPr>
          <w:t>15, 2021</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hyperlink>
      <w:hyperlink r:id="rId23">
        <w:r>
          <w:rPr>
            <w:rFonts w:ascii="Arial" w:cs="Arial" w:eastAsia="Arial" w:hAnsi="Arial"/>
            <w:sz w:val="16"/>
            <w:szCs w:val="16"/>
            <w:u w:val="single" w:color="auto"/>
            <w:color w:val="0000FF"/>
          </w:rPr>
          <w:t>July 20, 2021</w:t>
        </w:r>
      </w:hyperlink>
      <w:hyperlink r:id="rId22">
        <w:r>
          <w:rPr>
            <w:rFonts w:ascii="Arial" w:cs="Arial" w:eastAsia="Arial" w:hAnsi="Arial"/>
            <w:sz w:val="16"/>
            <w:szCs w:val="16"/>
            <w:color w:val="000000"/>
          </w:rPr>
          <w:t>;</w:t>
        </w:r>
      </w:hyperlink>
    </w:p>
    <w:p>
      <w:pPr>
        <w:spacing w:after="0" w:line="109" w:lineRule="exact"/>
        <w:rPr>
          <w:rFonts w:ascii="Arial" w:cs="Arial" w:eastAsia="Arial" w:hAnsi="Arial"/>
          <w:sz w:val="16"/>
          <w:szCs w:val="16"/>
          <w:color w:val="0000FF"/>
        </w:rPr>
      </w:pPr>
    </w:p>
    <w:p>
      <w:pPr>
        <w:ind w:left="560" w:right="20" w:hanging="282"/>
        <w:spacing w:after="0" w:line="268" w:lineRule="auto"/>
        <w:tabs>
          <w:tab w:leader="none" w:pos="5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24">
        <w:r>
          <w:rPr>
            <w:rFonts w:ascii="Arial" w:cs="Arial" w:eastAsia="Arial" w:hAnsi="Arial"/>
            <w:sz w:val="16"/>
            <w:szCs w:val="16"/>
            <w:u w:val="single" w:color="auto"/>
            <w:color w:val="0000FF"/>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June 3, 2020, including all amendments and reports filed for the purpose of updating such description.</w:t>
      </w:r>
    </w:p>
    <w:p>
      <w:pPr>
        <w:spacing w:after="0" w:line="109" w:lineRule="exact"/>
        <w:rPr>
          <w:rFonts w:ascii="Arial" w:cs="Arial" w:eastAsia="Arial" w:hAnsi="Arial"/>
          <w:sz w:val="16"/>
          <w:szCs w:val="16"/>
          <w:color w:val="0000FF"/>
        </w:rPr>
      </w:pPr>
    </w:p>
    <w:p>
      <w:pPr>
        <w:jc w:val="both"/>
        <w:ind w:firstLine="284"/>
        <w:spacing w:after="0" w:line="253" w:lineRule="auto"/>
        <w:rPr>
          <w:sz w:val="20"/>
          <w:szCs w:val="20"/>
          <w:color w:val="auto"/>
        </w:rPr>
      </w:pPr>
      <w:r>
        <w:rPr>
          <w:rFonts w:ascii="Arial" w:cs="Arial" w:eastAsia="Arial" w:hAnsi="Arial"/>
          <w:sz w:val="16"/>
          <w:szCs w:val="16"/>
          <w:color w:val="auto"/>
        </w:rPr>
        <w:t>Any statement contained in a document incorporated by reference in this prospectus supplement or in the accompanying prospectus shall be deemed to be modified or superseded for purposes of this prospectus supplement to the extent that a statement contained herein or in any other subsequently filed document that also is incorporated by reference in this prospectus supplement modifies or supersedes such statement. Any statement so modified or superseded shall not be deemed, except as so modified or superseded, to constitute a part of this prospectus supplement.</w:t>
      </w:r>
    </w:p>
    <w:p>
      <w:pPr>
        <w:spacing w:after="0" w:line="123" w:lineRule="exact"/>
        <w:rPr>
          <w:rFonts w:ascii="Arial" w:cs="Arial" w:eastAsia="Arial" w:hAnsi="Arial"/>
          <w:sz w:val="16"/>
          <w:szCs w:val="16"/>
          <w:color w:val="0000FF"/>
        </w:rPr>
      </w:pPr>
    </w:p>
    <w:p>
      <w:pPr>
        <w:jc w:val="both"/>
        <w:ind w:firstLine="284"/>
        <w:spacing w:after="0" w:line="273" w:lineRule="auto"/>
        <w:rPr>
          <w:sz w:val="20"/>
          <w:szCs w:val="20"/>
          <w:color w:val="auto"/>
        </w:rPr>
      </w:pPr>
      <w:r>
        <w:rPr>
          <w:rFonts w:ascii="Arial" w:cs="Arial" w:eastAsia="Arial" w:hAnsi="Arial"/>
          <w:sz w:val="15"/>
          <w:szCs w:val="15"/>
          <w:color w:val="auto"/>
        </w:rPr>
        <w:t xml:space="preserve">You can obtain any of the filings incorporated by reference into this prospectus supplement and the accompanying prospectus through us or from the SEC through the SEC’s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We will provide without charge to each person, including any beneficial owner, to whom a copy of this prospectus supplement or the accompanying prospectus is delivered, upon written or oral request of such person, a copy of any or all of the documents referred to above which have been or may be incorporated by reference in this prospectus or the accompanying prospectus. You should direct requests for those documents to ZoomInfo Technologies Inc., 805 Broadway Street, Suite 900, Vancouver, Washington 98660; Attention: Corporate Secretary (telephone: (800) 914-1220).</w:t>
      </w:r>
    </w:p>
    <w:p>
      <w:pPr>
        <w:spacing w:after="0" w:line="107" w:lineRule="exact"/>
        <w:rPr>
          <w:rFonts w:ascii="Arial" w:cs="Arial" w:eastAsia="Arial" w:hAnsi="Arial"/>
          <w:sz w:val="16"/>
          <w:szCs w:val="16"/>
          <w:color w:val="0000FF"/>
        </w:rPr>
      </w:pPr>
    </w:p>
    <w:p>
      <w:pPr>
        <w:jc w:val="both"/>
        <w:ind w:right="20" w:firstLine="284"/>
        <w:spacing w:after="0" w:line="268" w:lineRule="auto"/>
        <w:rPr>
          <w:sz w:val="20"/>
          <w:szCs w:val="20"/>
          <w:color w:val="auto"/>
        </w:rPr>
      </w:pPr>
      <w:r>
        <w:rPr>
          <w:rFonts w:ascii="Arial" w:cs="Arial" w:eastAsia="Arial" w:hAnsi="Arial"/>
          <w:sz w:val="16"/>
          <w:szCs w:val="16"/>
          <w:color w:val="auto"/>
        </w:rPr>
        <w:t>Exhibits to any documents incorporated by reference in this prospectus supplement or the accompanying prospectus will not be sent, however, unless those exhibits have been specifically referenced in this prospectus supplement or the accompanying prospectus.</w:t>
      </w: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14"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6"/>
          <w:szCs w:val="16"/>
          <w:color w:val="auto"/>
        </w:rPr>
        <w:t>S-28</w:t>
      </w:r>
    </w:p>
    <w:p>
      <w:pPr>
        <w:sectPr>
          <w:pgSz w:w="11900" w:h="16838" w:orient="portrait"/>
          <w:cols w:equalWidth="0" w:num="1">
            <w:col w:w="11260"/>
          </w:cols>
          <w:pgMar w:left="320" w:top="1262" w:right="319" w:bottom="1440" w:gutter="0" w:footer="0" w:header="0"/>
        </w:sectPr>
      </w:pPr>
    </w:p>
    <w:bookmarkStart w:id="34" w:name="page35"/>
    <w:bookmarkEnd w:id="34"/>
    <w:p>
      <w:pPr>
        <w:ind w:left="320"/>
        <w:spacing w:after="0"/>
        <w:rPr>
          <w:sz w:val="20"/>
          <w:szCs w:val="20"/>
          <w:color w:val="auto"/>
        </w:rPr>
      </w:pPr>
      <w:r>
        <w:rPr>
          <w:rFonts w:ascii="Arial" w:cs="Arial" w:eastAsia="Arial" w:hAnsi="Arial"/>
          <w:sz w:val="14"/>
          <w:szCs w:val="14"/>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443865</wp:posOffset>
            </wp:positionV>
            <wp:extent cx="1809750" cy="330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809750"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Arial" w:cs="Arial" w:eastAsia="Arial" w:hAnsi="Arial"/>
          <w:sz w:val="27"/>
          <w:szCs w:val="27"/>
          <w:b w:val="1"/>
          <w:bCs w:val="1"/>
          <w:color w:val="auto"/>
        </w:rPr>
        <w:t>ZoomInfo Technologies Inc.</w:t>
      </w:r>
    </w:p>
    <w:p>
      <w:pPr>
        <w:spacing w:after="0" w:line="46"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i w:val="1"/>
          <w:iCs w:val="1"/>
          <w:color w:val="auto"/>
        </w:rPr>
        <w:t>Class A Common Stock</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Certain selling stockholders may offer and sell from time to time shares of our Class A common stock.</w:t>
      </w:r>
    </w:p>
    <w:p>
      <w:pPr>
        <w:spacing w:after="0" w:line="87" w:lineRule="exact"/>
        <w:rPr>
          <w:sz w:val="20"/>
          <w:szCs w:val="20"/>
          <w:color w:val="auto"/>
        </w:rPr>
      </w:pPr>
    </w:p>
    <w:p>
      <w:pPr>
        <w:jc w:val="both"/>
        <w:ind w:left="40" w:firstLine="284"/>
        <w:spacing w:after="0" w:line="256" w:lineRule="auto"/>
        <w:rPr>
          <w:sz w:val="20"/>
          <w:szCs w:val="20"/>
          <w:color w:val="auto"/>
        </w:rPr>
      </w:pPr>
      <w:r>
        <w:rPr>
          <w:rFonts w:ascii="Arial" w:cs="Arial" w:eastAsia="Arial" w:hAnsi="Arial"/>
          <w:sz w:val="13"/>
          <w:szCs w:val="13"/>
          <w:color w:val="auto"/>
        </w:rPr>
        <w:t>The selling stockholders will determine when and how they sell shares of our Class A common stock offered hereby, which may be sold on a continuous or delayed basis directly, to or through agents, dealers, brokers or underwriters as designated from time to time, or through a combination of these methods. The selling stockholders reserve the sole right to accept, and they and any agents, dealers, brokers and underwriters reserve the right to reject, in whole or in part, any proposed purchase of shares of our Class A common stock. If any agents, dealers, brokers or underwriters are involved in the sale of any shares of our Class A common stock, the applicable prospectus will set forth any applicable commissions or discounts payable to them. We are not selling any shares of our Class A common stock under this prospectus and will not receive any proceeds from the sale of the shares by the selling stockholders.</w:t>
      </w:r>
    </w:p>
    <w:p>
      <w:pPr>
        <w:spacing w:after="0" w:line="60" w:lineRule="exact"/>
        <w:rPr>
          <w:sz w:val="20"/>
          <w:szCs w:val="20"/>
          <w:color w:val="auto"/>
        </w:rPr>
      </w:pPr>
    </w:p>
    <w:p>
      <w:pPr>
        <w:ind w:left="40" w:right="80" w:firstLine="284"/>
        <w:spacing w:after="0" w:line="221" w:lineRule="auto"/>
        <w:rPr>
          <w:sz w:val="20"/>
          <w:szCs w:val="20"/>
          <w:color w:val="auto"/>
        </w:rPr>
      </w:pPr>
      <w:r>
        <w:rPr>
          <w:rFonts w:ascii="Arial" w:cs="Arial" w:eastAsia="Arial" w:hAnsi="Arial"/>
          <w:sz w:val="14"/>
          <w:szCs w:val="14"/>
          <w:color w:val="auto"/>
        </w:rPr>
        <w:t>Each time that any selling stockholders sell shares of our Class A common stock using this prospectus, we or such selling stockholders will provide a prospectus supplement and attach it to this prospectus and may also provide you with a free writing prospectus. The prospectus supplement and any free writing prospectus will contain more specific information about the offering and the shares of our Class A common stock being offered, including the names of the selling stockholders and the prices at which the shares of our Class A common stock are sold. The prospectus supplement or free writing prospectus may also add, update, change or clarify information contained in or incorporated by reference into this prospectus. This prospectus may not be used to sell shares of our Class A common stock unless accompanied by a prospectus supplement describing the method and terms of the offering.</w:t>
      </w:r>
    </w:p>
    <w:p>
      <w:pPr>
        <w:spacing w:after="0" w:line="57" w:lineRule="exact"/>
        <w:rPr>
          <w:sz w:val="20"/>
          <w:szCs w:val="20"/>
          <w:color w:val="auto"/>
        </w:rPr>
      </w:pPr>
    </w:p>
    <w:p>
      <w:pPr>
        <w:ind w:left="40" w:right="60" w:firstLine="284"/>
        <w:spacing w:after="0"/>
        <w:rPr>
          <w:sz w:val="20"/>
          <w:szCs w:val="20"/>
          <w:color w:val="auto"/>
        </w:rPr>
      </w:pPr>
      <w:r>
        <w:rPr>
          <w:rFonts w:ascii="Arial" w:cs="Arial" w:eastAsia="Arial" w:hAnsi="Arial"/>
          <w:sz w:val="14"/>
          <w:szCs w:val="14"/>
          <w:color w:val="auto"/>
        </w:rPr>
        <w:t>You should carefully read this prospectus and any applicable prospectus supplement and free writing prospectus, together with any documents we incorporate by reference, before you invest in our Class A common stock.</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Class A common stock is listed and traded on the Nasdaq Global Select Market (the “Nasdaq”) under the trading symbol “ZI.”</w:t>
      </w:r>
    </w:p>
    <w:p>
      <w:pPr>
        <w:spacing w:after="0" w:line="87" w:lineRule="exact"/>
        <w:rPr>
          <w:sz w:val="20"/>
          <w:szCs w:val="20"/>
          <w:color w:val="auto"/>
        </w:rPr>
      </w:pPr>
    </w:p>
    <w:p>
      <w:pPr>
        <w:jc w:val="both"/>
        <w:ind w:left="40" w:firstLine="284"/>
        <w:spacing w:after="0" w:line="251" w:lineRule="auto"/>
        <w:rPr>
          <w:sz w:val="20"/>
          <w:szCs w:val="20"/>
          <w:color w:val="auto"/>
        </w:rPr>
      </w:pPr>
      <w:r>
        <w:rPr>
          <w:rFonts w:ascii="Arial" w:cs="Arial" w:eastAsia="Arial" w:hAnsi="Arial"/>
          <w:sz w:val="13"/>
          <w:szCs w:val="13"/>
          <w:color w:val="auto"/>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w:t>
      </w:r>
    </w:p>
    <w:p>
      <w:pPr>
        <w:spacing w:after="0" w:line="59" w:lineRule="exact"/>
        <w:rPr>
          <w:sz w:val="20"/>
          <w:szCs w:val="20"/>
          <w:color w:val="auto"/>
        </w:rPr>
      </w:pPr>
    </w:p>
    <w:p>
      <w:pPr>
        <w:ind w:left="3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shares of our Class A common stock involves risks. See “Risk Factors” beginning on page </w:t>
      </w:r>
      <w:hyperlink w:anchor="page9">
        <w:r>
          <w:rPr>
            <w:rFonts w:ascii="Arial" w:cs="Arial" w:eastAsia="Arial" w:hAnsi="Arial"/>
            <w:sz w:val="14"/>
            <w:szCs w:val="14"/>
            <w:b w:val="1"/>
            <w:bCs w:val="1"/>
            <w:color w:val="auto"/>
          </w:rPr>
          <w:t>4.</w:t>
        </w:r>
      </w:hyperlink>
    </w:p>
    <w:p>
      <w:pPr>
        <w:spacing w:after="0" w:line="91" w:lineRule="exact"/>
        <w:rPr>
          <w:sz w:val="20"/>
          <w:szCs w:val="20"/>
          <w:color w:val="auto"/>
        </w:rPr>
      </w:pPr>
    </w:p>
    <w:p>
      <w:pPr>
        <w:jc w:val="both"/>
        <w:ind w:left="40" w:firstLine="284"/>
        <w:spacing w:after="0" w:line="258" w:lineRule="auto"/>
        <w:rPr>
          <w:sz w:val="20"/>
          <w:szCs w:val="20"/>
          <w:color w:val="auto"/>
        </w:rPr>
      </w:pPr>
      <w:r>
        <w:rPr>
          <w:rFonts w:ascii="Arial" w:cs="Arial" w:eastAsia="Arial" w:hAnsi="Arial"/>
          <w:sz w:val="14"/>
          <w:szCs w:val="14"/>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The date of this prospectus is August 3, 2021.</w:t>
      </w:r>
    </w:p>
    <w:p>
      <w:pPr>
        <w:sectPr>
          <w:pgSz w:w="11900" w:h="16838" w:orient="portrait"/>
          <w:cols w:equalWidth="0" w:num="1">
            <w:col w:w="9520"/>
          </w:cols>
          <w:pgMar w:left="1440" w:top="1148" w:right="9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20" w:type="dxa"/>
            <w:vAlign w:val="bottom"/>
            <w:gridSpan w:val="3"/>
          </w:tcPr>
          <w:p>
            <w:pPr>
              <w:ind w:left="1260"/>
              <w:spacing w:after="0"/>
              <w:rPr>
                <w:sz w:val="20"/>
                <w:szCs w:val="20"/>
                <w:color w:val="auto"/>
              </w:rPr>
            </w:pPr>
            <w:r>
              <w:rPr>
                <w:rFonts w:ascii="Arial" w:cs="Arial" w:eastAsia="Arial" w:hAnsi="Arial"/>
                <w:sz w:val="16"/>
                <w:szCs w:val="16"/>
                <w:b w:val="1"/>
                <w:bCs w:val="1"/>
                <w:color w:val="auto"/>
              </w:rPr>
              <w:t>Table of Contents</w:t>
            </w:r>
          </w:p>
        </w:tc>
      </w:tr>
      <w:tr>
        <w:trPr>
          <w:trHeight w:val="32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20" w:type="dxa"/>
            <w:vAlign w:val="bottom"/>
            <w:gridSpan w:val="3"/>
          </w:tcPr>
          <w:p>
            <w:pPr>
              <w:ind w:left="6960"/>
              <w:spacing w:after="0"/>
              <w:rPr>
                <w:sz w:val="20"/>
                <w:szCs w:val="20"/>
                <w:color w:val="auto"/>
              </w:rPr>
            </w:pPr>
            <w:r>
              <w:rPr>
                <w:rFonts w:ascii="Arial" w:cs="Arial" w:eastAsia="Arial" w:hAnsi="Arial"/>
                <w:sz w:val="13"/>
                <w:szCs w:val="13"/>
                <w:b w:val="1"/>
                <w:bCs w:val="1"/>
                <w:color w:val="auto"/>
                <w:w w:val="77"/>
              </w:rPr>
              <w:t>Page</w:t>
            </w:r>
          </w:p>
        </w:tc>
      </w:tr>
      <w:tr>
        <w:trPr>
          <w:trHeight w:val="175"/>
        </w:trPr>
        <w:tc>
          <w:tcPr>
            <w:tcW w:w="3760" w:type="dxa"/>
            <w:vAlign w:val="bottom"/>
            <w:gridSpan w:val="12"/>
          </w:tcPr>
          <w:p>
            <w:pP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ZoomInfo</w:t>
              </w:r>
            </w:hyperlink>
          </w:p>
        </w:tc>
        <w:tc>
          <w:tcPr>
            <w:tcW w:w="7120" w:type="dxa"/>
            <w:vAlign w:val="bottom"/>
            <w:gridSpan w:val="2"/>
          </w:tcPr>
          <w:p>
            <w:pPr>
              <w:jc w:val="center"/>
              <w:ind w:left="6963"/>
              <w:spacing w:after="0" w:line="175" w:lineRule="exact"/>
              <w:rPr>
                <w:rFonts w:ascii="Arial" w:cs="Arial" w:eastAsia="Arial" w:hAnsi="Arial"/>
                <w:sz w:val="16"/>
                <w:szCs w:val="16"/>
                <w:color w:val="0000FF"/>
                <w:w w:val="89"/>
              </w:rPr>
            </w:pPr>
            <w:hyperlink w:anchor="page40">
              <w:r>
                <w:rPr>
                  <w:rFonts w:ascii="Arial" w:cs="Arial" w:eastAsia="Arial" w:hAnsi="Arial"/>
                  <w:sz w:val="16"/>
                  <w:szCs w:val="16"/>
                  <w:color w:val="0000FF"/>
                  <w:w w:val="89"/>
                </w:rPr>
                <w:t>1</w:t>
              </w:r>
            </w:hyperlink>
          </w:p>
        </w:tc>
        <w:tc>
          <w:tcPr>
            <w:tcW w:w="100" w:type="dxa"/>
            <w:vAlign w:val="bottom"/>
          </w:tcPr>
          <w:p>
            <w:pPr>
              <w:spacing w:after="0"/>
              <w:rPr>
                <w:sz w:val="15"/>
                <w:szCs w:val="15"/>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3760" w:type="dxa"/>
            <w:vAlign w:val="bottom"/>
            <w:gridSpan w:val="12"/>
          </w:tcPr>
          <w:p>
            <w:pPr>
              <w:spacing w:after="0" w:line="181" w:lineRule="exact"/>
              <w:rPr>
                <w:rFonts w:ascii="Arial" w:cs="Arial" w:eastAsia="Arial" w:hAnsi="Arial"/>
                <w:sz w:val="16"/>
                <w:szCs w:val="16"/>
                <w:color w:val="0000FF"/>
              </w:rPr>
            </w:pPr>
            <w:hyperlink w:anchor="page44">
              <w:r>
                <w:rPr>
                  <w:rFonts w:ascii="Arial" w:cs="Arial" w:eastAsia="Arial" w:hAnsi="Arial"/>
                  <w:sz w:val="16"/>
                  <w:szCs w:val="16"/>
                  <w:color w:val="0000FF"/>
                </w:rPr>
                <w:t>Risk Factors</w:t>
              </w:r>
            </w:hyperlink>
          </w:p>
        </w:tc>
        <w:tc>
          <w:tcPr>
            <w:tcW w:w="7120" w:type="dxa"/>
            <w:vAlign w:val="bottom"/>
            <w:gridSpan w:val="2"/>
          </w:tcPr>
          <w:p>
            <w:pPr>
              <w:jc w:val="center"/>
              <w:ind w:left="6963"/>
              <w:spacing w:after="0" w:line="181" w:lineRule="exact"/>
              <w:rPr>
                <w:rFonts w:ascii="Arial" w:cs="Arial" w:eastAsia="Arial" w:hAnsi="Arial"/>
                <w:sz w:val="16"/>
                <w:szCs w:val="16"/>
                <w:color w:val="0000FF"/>
                <w:w w:val="89"/>
              </w:rPr>
            </w:pPr>
            <w:hyperlink w:anchor="page44">
              <w:r>
                <w:rPr>
                  <w:rFonts w:ascii="Arial" w:cs="Arial" w:eastAsia="Arial" w:hAnsi="Arial"/>
                  <w:sz w:val="16"/>
                  <w:szCs w:val="16"/>
                  <w:color w:val="0000FF"/>
                  <w:w w:val="89"/>
                </w:rPr>
                <w:t>5</w:t>
              </w:r>
            </w:hyperlink>
          </w:p>
        </w:tc>
        <w:tc>
          <w:tcPr>
            <w:tcW w:w="100" w:type="dxa"/>
            <w:vAlign w:val="bottom"/>
          </w:tcPr>
          <w:p>
            <w:pPr>
              <w:spacing w:after="0"/>
              <w:rPr>
                <w:sz w:val="15"/>
                <w:szCs w:val="15"/>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3760" w:type="dxa"/>
            <w:vAlign w:val="bottom"/>
            <w:gridSpan w:val="12"/>
          </w:tcPr>
          <w:p>
            <w:pPr>
              <w:spacing w:after="0" w:line="181" w:lineRule="exact"/>
              <w:rPr>
                <w:rFonts w:ascii="Arial" w:cs="Arial" w:eastAsia="Arial" w:hAnsi="Arial"/>
                <w:sz w:val="16"/>
                <w:szCs w:val="16"/>
                <w:color w:val="0000FF"/>
              </w:rPr>
            </w:pPr>
            <w:hyperlink w:anchor="page45">
              <w:r>
                <w:rPr>
                  <w:rFonts w:ascii="Arial" w:cs="Arial" w:eastAsia="Arial" w:hAnsi="Arial"/>
                  <w:sz w:val="16"/>
                  <w:szCs w:val="16"/>
                  <w:color w:val="0000FF"/>
                </w:rPr>
                <w:t>Forward-Looking Statements</w:t>
              </w:r>
            </w:hyperlink>
          </w:p>
        </w:tc>
        <w:tc>
          <w:tcPr>
            <w:tcW w:w="7120" w:type="dxa"/>
            <w:vAlign w:val="bottom"/>
            <w:gridSpan w:val="2"/>
          </w:tcPr>
          <w:p>
            <w:pPr>
              <w:jc w:val="center"/>
              <w:ind w:left="6963"/>
              <w:spacing w:after="0" w:line="181" w:lineRule="exact"/>
              <w:rPr>
                <w:rFonts w:ascii="Arial" w:cs="Arial" w:eastAsia="Arial" w:hAnsi="Arial"/>
                <w:sz w:val="16"/>
                <w:szCs w:val="16"/>
                <w:color w:val="0000FF"/>
                <w:w w:val="89"/>
              </w:rPr>
            </w:pPr>
            <w:hyperlink w:anchor="page45">
              <w:r>
                <w:rPr>
                  <w:rFonts w:ascii="Arial" w:cs="Arial" w:eastAsia="Arial" w:hAnsi="Arial"/>
                  <w:sz w:val="16"/>
                  <w:szCs w:val="16"/>
                  <w:color w:val="0000FF"/>
                  <w:w w:val="89"/>
                </w:rPr>
                <w:t>6</w:t>
              </w:r>
            </w:hyperlink>
          </w:p>
        </w:tc>
        <w:tc>
          <w:tcPr>
            <w:tcW w:w="100" w:type="dxa"/>
            <w:vAlign w:val="bottom"/>
          </w:tcPr>
          <w:p>
            <w:pPr>
              <w:spacing w:after="0"/>
              <w:rPr>
                <w:sz w:val="15"/>
                <w:szCs w:val="15"/>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1620" w:type="dxa"/>
            <w:vAlign w:val="bottom"/>
            <w:gridSpan w:val="8"/>
          </w:tcPr>
          <w:p>
            <w:pPr>
              <w:spacing w:after="0" w:line="181" w:lineRule="exact"/>
              <w:rPr>
                <w:rFonts w:ascii="Arial" w:cs="Arial" w:eastAsia="Arial" w:hAnsi="Arial"/>
                <w:sz w:val="16"/>
                <w:szCs w:val="16"/>
                <w:color w:val="0000FF"/>
                <w:w w:val="89"/>
              </w:rPr>
            </w:pPr>
            <w:hyperlink w:anchor="page47">
              <w:r>
                <w:rPr>
                  <w:rFonts w:ascii="Arial" w:cs="Arial" w:eastAsia="Arial" w:hAnsi="Arial"/>
                  <w:sz w:val="16"/>
                  <w:szCs w:val="16"/>
                  <w:color w:val="0000FF"/>
                  <w:w w:val="89"/>
                </w:rPr>
                <w:t>Market and Industry Data</w:t>
              </w:r>
            </w:hyperlink>
          </w:p>
        </w:tc>
        <w:tc>
          <w:tcPr>
            <w:tcW w:w="220" w:type="dxa"/>
            <w:vAlign w:val="bottom"/>
            <w:gridSpan w:val="2"/>
          </w:tcPr>
          <w:p>
            <w:pPr>
              <w:spacing w:after="0"/>
              <w:rPr>
                <w:sz w:val="15"/>
                <w:szCs w:val="15"/>
                <w:color w:val="auto"/>
              </w:rPr>
            </w:pPr>
          </w:p>
        </w:tc>
        <w:tc>
          <w:tcPr>
            <w:tcW w:w="1920" w:type="dxa"/>
            <w:vAlign w:val="bottom"/>
            <w:gridSpan w:val="2"/>
          </w:tcPr>
          <w:p>
            <w:pPr>
              <w:spacing w:after="0"/>
              <w:rPr>
                <w:sz w:val="15"/>
                <w:szCs w:val="15"/>
                <w:color w:val="auto"/>
              </w:rPr>
            </w:pPr>
          </w:p>
        </w:tc>
        <w:tc>
          <w:tcPr>
            <w:tcW w:w="7040" w:type="dxa"/>
            <w:vAlign w:val="bottom"/>
          </w:tcPr>
          <w:p>
            <w:pPr>
              <w:spacing w:after="0"/>
              <w:rPr>
                <w:sz w:val="15"/>
                <w:szCs w:val="15"/>
                <w:color w:val="auto"/>
              </w:rPr>
            </w:pPr>
          </w:p>
        </w:tc>
        <w:tc>
          <w:tcPr>
            <w:tcW w:w="80" w:type="dxa"/>
            <w:vAlign w:val="bottom"/>
          </w:tcPr>
          <w:p>
            <w:pPr>
              <w:jc w:val="center"/>
              <w:spacing w:after="0" w:line="181" w:lineRule="exact"/>
              <w:rPr>
                <w:rFonts w:ascii="Arial" w:cs="Arial" w:eastAsia="Arial" w:hAnsi="Arial"/>
                <w:sz w:val="16"/>
                <w:szCs w:val="16"/>
                <w:color w:val="0000FF"/>
                <w:w w:val="89"/>
              </w:rPr>
            </w:pPr>
            <w:hyperlink w:anchor="page47">
              <w:r>
                <w:rPr>
                  <w:rFonts w:ascii="Arial" w:cs="Arial" w:eastAsia="Arial" w:hAnsi="Arial"/>
                  <w:sz w:val="16"/>
                  <w:szCs w:val="16"/>
                  <w:color w:val="0000FF"/>
                  <w:w w:val="89"/>
                </w:rPr>
                <w:t>8</w:t>
              </w:r>
            </w:hyperlink>
          </w:p>
        </w:tc>
        <w:tc>
          <w:tcPr>
            <w:tcW w:w="100" w:type="dxa"/>
            <w:vAlign w:val="bottom"/>
          </w:tcPr>
          <w:p>
            <w:pPr>
              <w:spacing w:after="0"/>
              <w:rPr>
                <w:sz w:val="15"/>
                <w:szCs w:val="15"/>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1020" w:type="dxa"/>
            <w:vAlign w:val="bottom"/>
            <w:gridSpan w:val="5"/>
          </w:tcPr>
          <w:p>
            <w:pPr>
              <w:spacing w:after="0" w:line="181" w:lineRule="exact"/>
              <w:rPr>
                <w:rFonts w:ascii="Arial" w:cs="Arial" w:eastAsia="Arial" w:hAnsi="Arial"/>
                <w:sz w:val="16"/>
                <w:szCs w:val="16"/>
                <w:color w:val="0000FF"/>
                <w:w w:val="84"/>
              </w:rPr>
            </w:pPr>
            <w:hyperlink w:anchor="page48">
              <w:r>
                <w:rPr>
                  <w:rFonts w:ascii="Arial" w:cs="Arial" w:eastAsia="Arial" w:hAnsi="Arial"/>
                  <w:sz w:val="16"/>
                  <w:szCs w:val="16"/>
                  <w:color w:val="0000FF"/>
                  <w:w w:val="84"/>
                </w:rPr>
                <w:t>Use of Proceeds</w:t>
              </w:r>
            </w:hyperlink>
          </w:p>
        </w:tc>
        <w:tc>
          <w:tcPr>
            <w:tcW w:w="600" w:type="dxa"/>
            <w:vAlign w:val="bottom"/>
            <w:gridSpan w:val="3"/>
          </w:tcPr>
          <w:p>
            <w:pPr>
              <w:spacing w:after="0"/>
              <w:rPr>
                <w:sz w:val="15"/>
                <w:szCs w:val="15"/>
                <w:color w:val="auto"/>
              </w:rPr>
            </w:pPr>
          </w:p>
        </w:tc>
        <w:tc>
          <w:tcPr>
            <w:tcW w:w="2140" w:type="dxa"/>
            <w:vAlign w:val="bottom"/>
            <w:gridSpan w:val="4"/>
          </w:tcPr>
          <w:p>
            <w:pPr>
              <w:spacing w:after="0"/>
              <w:rPr>
                <w:sz w:val="15"/>
                <w:szCs w:val="15"/>
                <w:color w:val="auto"/>
              </w:rPr>
            </w:pPr>
          </w:p>
        </w:tc>
        <w:tc>
          <w:tcPr>
            <w:tcW w:w="7040" w:type="dxa"/>
            <w:vAlign w:val="bottom"/>
          </w:tcPr>
          <w:p>
            <w:pPr>
              <w:spacing w:after="0"/>
              <w:rPr>
                <w:sz w:val="15"/>
                <w:szCs w:val="15"/>
                <w:color w:val="auto"/>
              </w:rPr>
            </w:pPr>
          </w:p>
        </w:tc>
        <w:tc>
          <w:tcPr>
            <w:tcW w:w="80" w:type="dxa"/>
            <w:vAlign w:val="bottom"/>
          </w:tcPr>
          <w:p>
            <w:pPr>
              <w:jc w:val="center"/>
              <w:spacing w:after="0" w:line="181" w:lineRule="exact"/>
              <w:rPr>
                <w:rFonts w:ascii="Arial" w:cs="Arial" w:eastAsia="Arial" w:hAnsi="Arial"/>
                <w:sz w:val="16"/>
                <w:szCs w:val="16"/>
                <w:color w:val="0000FF"/>
                <w:w w:val="89"/>
              </w:rPr>
            </w:pPr>
            <w:hyperlink w:anchor="page48">
              <w:r>
                <w:rPr>
                  <w:rFonts w:ascii="Arial" w:cs="Arial" w:eastAsia="Arial" w:hAnsi="Arial"/>
                  <w:sz w:val="16"/>
                  <w:szCs w:val="16"/>
                  <w:color w:val="0000FF"/>
                  <w:w w:val="89"/>
                </w:rPr>
                <w:t>9</w:t>
              </w:r>
            </w:hyperlink>
          </w:p>
        </w:tc>
        <w:tc>
          <w:tcPr>
            <w:tcW w:w="100" w:type="dxa"/>
            <w:vAlign w:val="bottom"/>
          </w:tcPr>
          <w:p>
            <w:pPr>
              <w:spacing w:after="0"/>
              <w:rPr>
                <w:sz w:val="15"/>
                <w:szCs w:val="15"/>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1300" w:type="dxa"/>
            <w:vAlign w:val="bottom"/>
            <w:tcBorders>
              <w:bottom w:val="single" w:sz="8" w:color="0000FF"/>
            </w:tcBorders>
            <w:gridSpan w:val="7"/>
          </w:tcPr>
          <w:p>
            <w:pPr>
              <w:spacing w:after="0" w:line="181" w:lineRule="exact"/>
              <w:rPr>
                <w:rFonts w:ascii="Arial" w:cs="Arial" w:eastAsia="Arial" w:hAnsi="Arial"/>
                <w:sz w:val="16"/>
                <w:szCs w:val="16"/>
                <w:color w:val="0000FF"/>
                <w:w w:val="88"/>
              </w:rPr>
            </w:pPr>
            <w:hyperlink w:anchor="page49">
              <w:r>
                <w:rPr>
                  <w:rFonts w:ascii="Arial" w:cs="Arial" w:eastAsia="Arial" w:hAnsi="Arial"/>
                  <w:sz w:val="16"/>
                  <w:szCs w:val="16"/>
                  <w:color w:val="0000FF"/>
                  <w:w w:val="88"/>
                </w:rPr>
                <w:t>Selling Stockholders</w:t>
              </w:r>
            </w:hyperlink>
          </w:p>
        </w:tc>
        <w:tc>
          <w:tcPr>
            <w:tcW w:w="2460" w:type="dxa"/>
            <w:vAlign w:val="bottom"/>
            <w:gridSpan w:val="5"/>
          </w:tcPr>
          <w:p>
            <w:pPr>
              <w:spacing w:after="0"/>
              <w:rPr>
                <w:sz w:val="15"/>
                <w:szCs w:val="15"/>
                <w:color w:val="auto"/>
              </w:rPr>
            </w:pPr>
          </w:p>
        </w:tc>
        <w:tc>
          <w:tcPr>
            <w:tcW w:w="704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49">
              <w:r>
                <w:rPr>
                  <w:rFonts w:ascii="Arial" w:cs="Arial" w:eastAsia="Arial" w:hAnsi="Arial"/>
                  <w:sz w:val="15"/>
                  <w:szCs w:val="15"/>
                  <w:color w:val="0000FF"/>
                  <w:w w:val="71"/>
                </w:rPr>
                <w:t>10</w:t>
              </w:r>
            </w:hyperlink>
          </w:p>
        </w:tc>
        <w:tc>
          <w:tcPr>
            <w:tcW w:w="100" w:type="dxa"/>
            <w:vAlign w:val="bottom"/>
          </w:tcPr>
          <w:p>
            <w:pPr>
              <w:spacing w:after="0"/>
              <w:rPr>
                <w:sz w:val="15"/>
                <w:szCs w:val="15"/>
                <w:color w:val="auto"/>
              </w:rPr>
            </w:pPr>
          </w:p>
        </w:tc>
      </w:tr>
      <w:tr>
        <w:trPr>
          <w:trHeight w:val="181"/>
        </w:trPr>
        <w:tc>
          <w:tcPr>
            <w:tcW w:w="3760" w:type="dxa"/>
            <w:vAlign w:val="bottom"/>
            <w:gridSpan w:val="12"/>
          </w:tcPr>
          <w:p>
            <w:pPr>
              <w:spacing w:after="0" w:line="181" w:lineRule="exact"/>
              <w:rPr>
                <w:rFonts w:ascii="Arial" w:cs="Arial" w:eastAsia="Arial" w:hAnsi="Arial"/>
                <w:sz w:val="16"/>
                <w:szCs w:val="16"/>
                <w:color w:val="0000FF"/>
              </w:rPr>
            </w:pPr>
            <w:hyperlink w:anchor="page50">
              <w:r>
                <w:rPr>
                  <w:rFonts w:ascii="Arial" w:cs="Arial" w:eastAsia="Arial" w:hAnsi="Arial"/>
                  <w:sz w:val="16"/>
                  <w:szCs w:val="16"/>
                  <w:color w:val="0000FF"/>
                </w:rPr>
                <w:t>Description of Capital Stock</w:t>
              </w:r>
            </w:hyperlink>
          </w:p>
        </w:tc>
        <w:tc>
          <w:tcPr>
            <w:tcW w:w="7120" w:type="dxa"/>
            <w:vAlign w:val="bottom"/>
            <w:gridSpan w:val="2"/>
          </w:tcPr>
          <w:p>
            <w:pPr>
              <w:jc w:val="center"/>
              <w:ind w:left="6883"/>
              <w:spacing w:after="0" w:line="181" w:lineRule="exact"/>
              <w:rPr>
                <w:rFonts w:ascii="Arial" w:cs="Arial" w:eastAsia="Arial" w:hAnsi="Arial"/>
                <w:sz w:val="16"/>
                <w:szCs w:val="16"/>
                <w:color w:val="0000FF"/>
                <w:w w:val="89"/>
              </w:rPr>
            </w:pPr>
            <w:hyperlink w:anchor="page50">
              <w:r>
                <w:rPr>
                  <w:rFonts w:ascii="Arial" w:cs="Arial" w:eastAsia="Arial" w:hAnsi="Arial"/>
                  <w:sz w:val="16"/>
                  <w:szCs w:val="16"/>
                  <w:color w:val="0000FF"/>
                  <w:w w:val="89"/>
                </w:rPr>
                <w:t>11</w:t>
              </w:r>
            </w:hyperlink>
          </w:p>
        </w:tc>
        <w:tc>
          <w:tcPr>
            <w:tcW w:w="100" w:type="dxa"/>
            <w:vAlign w:val="bottom"/>
          </w:tcPr>
          <w:p>
            <w:pPr>
              <w:spacing w:after="0"/>
              <w:rPr>
                <w:sz w:val="15"/>
                <w:szCs w:val="15"/>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1"/>
        </w:trPr>
        <w:tc>
          <w:tcPr>
            <w:tcW w:w="1720" w:type="dxa"/>
            <w:vAlign w:val="bottom"/>
            <w:gridSpan w:val="9"/>
          </w:tcPr>
          <w:p>
            <w:pPr>
              <w:spacing w:after="0" w:line="181" w:lineRule="exact"/>
              <w:rPr>
                <w:rFonts w:ascii="Arial" w:cs="Arial" w:eastAsia="Arial" w:hAnsi="Arial"/>
                <w:sz w:val="16"/>
                <w:szCs w:val="16"/>
                <w:color w:val="0000FF"/>
              </w:rPr>
            </w:pPr>
            <w:hyperlink w:anchor="page59">
              <w:r>
                <w:rPr>
                  <w:rFonts w:ascii="Arial" w:cs="Arial" w:eastAsia="Arial" w:hAnsi="Arial"/>
                  <w:sz w:val="16"/>
                  <w:szCs w:val="16"/>
                  <w:color w:val="0000FF"/>
                </w:rPr>
                <w:t>Plan of Distribution</w:t>
              </w:r>
            </w:hyperlink>
          </w:p>
        </w:tc>
        <w:tc>
          <w:tcPr>
            <w:tcW w:w="2040" w:type="dxa"/>
            <w:vAlign w:val="bottom"/>
            <w:gridSpan w:val="3"/>
          </w:tcPr>
          <w:p>
            <w:pPr>
              <w:spacing w:after="0"/>
              <w:rPr>
                <w:sz w:val="15"/>
                <w:szCs w:val="15"/>
                <w:color w:val="auto"/>
              </w:rPr>
            </w:pPr>
          </w:p>
        </w:tc>
        <w:tc>
          <w:tcPr>
            <w:tcW w:w="7120" w:type="dxa"/>
            <w:vAlign w:val="bottom"/>
            <w:gridSpan w:val="2"/>
          </w:tcPr>
          <w:p>
            <w:pPr>
              <w:jc w:val="center"/>
              <w:ind w:left="6883"/>
              <w:spacing w:after="0" w:line="181" w:lineRule="exact"/>
              <w:rPr>
                <w:rFonts w:ascii="Arial" w:cs="Arial" w:eastAsia="Arial" w:hAnsi="Arial"/>
                <w:sz w:val="16"/>
                <w:szCs w:val="16"/>
                <w:color w:val="0000FF"/>
                <w:w w:val="89"/>
              </w:rPr>
            </w:pPr>
            <w:hyperlink w:anchor="page59">
              <w:r>
                <w:rPr>
                  <w:rFonts w:ascii="Arial" w:cs="Arial" w:eastAsia="Arial" w:hAnsi="Arial"/>
                  <w:sz w:val="16"/>
                  <w:szCs w:val="16"/>
                  <w:color w:val="0000FF"/>
                  <w:w w:val="89"/>
                </w:rPr>
                <w:t>20</w:t>
              </w:r>
            </w:hyperlink>
          </w:p>
        </w:tc>
        <w:tc>
          <w:tcPr>
            <w:tcW w:w="100" w:type="dxa"/>
            <w:vAlign w:val="bottom"/>
          </w:tcPr>
          <w:p>
            <w:pPr>
              <w:spacing w:after="0"/>
              <w:rPr>
                <w:sz w:val="15"/>
                <w:szCs w:val="15"/>
                <w:color w:val="auto"/>
              </w:rPr>
            </w:pPr>
          </w:p>
        </w:tc>
      </w:tr>
      <w:tr>
        <w:trPr>
          <w:trHeight w:val="181"/>
        </w:trPr>
        <w:tc>
          <w:tcPr>
            <w:tcW w:w="1240" w:type="dxa"/>
            <w:vAlign w:val="bottom"/>
            <w:tcBorders>
              <w:top w:val="single" w:sz="8" w:color="0000FF"/>
            </w:tcBorders>
            <w:gridSpan w:val="6"/>
          </w:tcPr>
          <w:p>
            <w:pPr>
              <w:spacing w:after="0" w:line="181" w:lineRule="exact"/>
              <w:rPr>
                <w:rFonts w:ascii="Arial" w:cs="Arial" w:eastAsia="Arial" w:hAnsi="Arial"/>
                <w:sz w:val="16"/>
                <w:szCs w:val="16"/>
                <w:color w:val="0000FF"/>
              </w:rPr>
            </w:pPr>
            <w:hyperlink w:anchor="page62">
              <w:r>
                <w:rPr>
                  <w:rFonts w:ascii="Arial" w:cs="Arial" w:eastAsia="Arial" w:hAnsi="Arial"/>
                  <w:sz w:val="16"/>
                  <w:szCs w:val="16"/>
                  <w:color w:val="0000FF"/>
                </w:rPr>
                <w:t>Legal Matters</w:t>
              </w:r>
            </w:hyperlink>
          </w:p>
        </w:tc>
        <w:tc>
          <w:tcPr>
            <w:tcW w:w="2520" w:type="dxa"/>
            <w:vAlign w:val="bottom"/>
            <w:gridSpan w:val="6"/>
          </w:tcPr>
          <w:p>
            <w:pPr>
              <w:spacing w:after="0"/>
              <w:rPr>
                <w:sz w:val="15"/>
                <w:szCs w:val="15"/>
                <w:color w:val="auto"/>
              </w:rPr>
            </w:pPr>
          </w:p>
        </w:tc>
        <w:tc>
          <w:tcPr>
            <w:tcW w:w="7040" w:type="dxa"/>
            <w:vAlign w:val="bottom"/>
          </w:tcPr>
          <w:p>
            <w:pPr>
              <w:spacing w:after="0"/>
              <w:rPr>
                <w:sz w:val="15"/>
                <w:szCs w:val="15"/>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62">
              <w:r>
                <w:rPr>
                  <w:rFonts w:ascii="Arial" w:cs="Arial" w:eastAsia="Arial" w:hAnsi="Arial"/>
                  <w:sz w:val="15"/>
                  <w:szCs w:val="15"/>
                  <w:color w:val="0000FF"/>
                  <w:w w:val="71"/>
                </w:rPr>
                <w:t>23</w:t>
              </w:r>
            </w:hyperlink>
          </w:p>
        </w:tc>
        <w:tc>
          <w:tcPr>
            <w:tcW w:w="100" w:type="dxa"/>
            <w:vAlign w:val="bottom"/>
          </w:tcPr>
          <w:p>
            <w:pPr>
              <w:spacing w:after="0"/>
              <w:rPr>
                <w:sz w:val="15"/>
                <w:szCs w:val="15"/>
                <w:color w:val="auto"/>
              </w:rPr>
            </w:pPr>
          </w:p>
        </w:tc>
      </w:tr>
      <w:tr>
        <w:trPr>
          <w:trHeight w:val="181"/>
        </w:trPr>
        <w:tc>
          <w:tcPr>
            <w:tcW w:w="480" w:type="dxa"/>
            <w:vAlign w:val="bottom"/>
            <w:tcBorders>
              <w:top w:val="single" w:sz="8" w:color="0000FF"/>
              <w:bottom w:val="single" w:sz="8" w:color="0000FF"/>
            </w:tcBorders>
          </w:tcPr>
          <w:p>
            <w:pPr>
              <w:spacing w:after="0" w:line="181" w:lineRule="exact"/>
              <w:rPr>
                <w:rFonts w:ascii="Arial" w:cs="Arial" w:eastAsia="Arial" w:hAnsi="Arial"/>
                <w:sz w:val="16"/>
                <w:szCs w:val="16"/>
                <w:color w:val="0000FF"/>
                <w:w w:val="84"/>
              </w:rPr>
            </w:pPr>
            <w:hyperlink w:anchor="page63">
              <w:r>
                <w:rPr>
                  <w:rFonts w:ascii="Arial" w:cs="Arial" w:eastAsia="Arial" w:hAnsi="Arial"/>
                  <w:sz w:val="16"/>
                  <w:szCs w:val="16"/>
                  <w:color w:val="0000FF"/>
                  <w:w w:val="84"/>
                </w:rPr>
                <w:t>Experts</w:t>
              </w:r>
            </w:hyperlink>
          </w:p>
        </w:tc>
        <w:tc>
          <w:tcPr>
            <w:tcW w:w="380" w:type="dxa"/>
            <w:vAlign w:val="bottom"/>
            <w:tcBorders>
              <w:top w:val="single" w:sz="8" w:color="0000FF"/>
            </w:tcBorders>
            <w:gridSpan w:val="3"/>
          </w:tcPr>
          <w:p>
            <w:pPr>
              <w:spacing w:after="0"/>
              <w:rPr>
                <w:sz w:val="15"/>
                <w:szCs w:val="15"/>
                <w:color w:val="auto"/>
              </w:rPr>
            </w:pPr>
          </w:p>
        </w:tc>
        <w:tc>
          <w:tcPr>
            <w:tcW w:w="2900" w:type="dxa"/>
            <w:vAlign w:val="bottom"/>
            <w:gridSpan w:val="8"/>
          </w:tcPr>
          <w:p>
            <w:pPr>
              <w:spacing w:after="0"/>
              <w:rPr>
                <w:sz w:val="15"/>
                <w:szCs w:val="15"/>
                <w:color w:val="auto"/>
              </w:rPr>
            </w:pPr>
          </w:p>
        </w:tc>
        <w:tc>
          <w:tcPr>
            <w:tcW w:w="7040" w:type="dxa"/>
            <w:vAlign w:val="bottom"/>
          </w:tcPr>
          <w:p>
            <w:pPr>
              <w:spacing w:after="0"/>
              <w:rPr>
                <w:sz w:val="15"/>
                <w:szCs w:val="15"/>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63">
              <w:r>
                <w:rPr>
                  <w:rFonts w:ascii="Arial" w:cs="Arial" w:eastAsia="Arial" w:hAnsi="Arial"/>
                  <w:sz w:val="15"/>
                  <w:szCs w:val="15"/>
                  <w:color w:val="0000FF"/>
                  <w:w w:val="71"/>
                </w:rPr>
                <w:t>23</w:t>
              </w:r>
            </w:hyperlink>
          </w:p>
        </w:tc>
        <w:tc>
          <w:tcPr>
            <w:tcW w:w="100" w:type="dxa"/>
            <w:vAlign w:val="bottom"/>
          </w:tcPr>
          <w:p>
            <w:pPr>
              <w:spacing w:after="0"/>
              <w:rPr>
                <w:sz w:val="15"/>
                <w:szCs w:val="15"/>
                <w:color w:val="auto"/>
              </w:rPr>
            </w:pPr>
          </w:p>
        </w:tc>
      </w:tr>
      <w:tr>
        <w:trPr>
          <w:trHeight w:val="181"/>
        </w:trPr>
        <w:tc>
          <w:tcPr>
            <w:tcW w:w="3760" w:type="dxa"/>
            <w:vAlign w:val="bottom"/>
            <w:gridSpan w:val="12"/>
          </w:tcPr>
          <w:p>
            <w:pPr>
              <w:spacing w:after="0" w:line="181" w:lineRule="exact"/>
              <w:rPr>
                <w:rFonts w:ascii="Arial" w:cs="Arial" w:eastAsia="Arial" w:hAnsi="Arial"/>
                <w:sz w:val="16"/>
                <w:szCs w:val="16"/>
                <w:color w:val="0000FF"/>
              </w:rPr>
            </w:pPr>
            <w:hyperlink w:anchor="page63">
              <w:r>
                <w:rPr>
                  <w:rFonts w:ascii="Arial" w:cs="Arial" w:eastAsia="Arial" w:hAnsi="Arial"/>
                  <w:sz w:val="16"/>
                  <w:szCs w:val="16"/>
                  <w:color w:val="0000FF"/>
                </w:rPr>
                <w:t>Where You Can Find More Information</w:t>
              </w:r>
            </w:hyperlink>
          </w:p>
        </w:tc>
        <w:tc>
          <w:tcPr>
            <w:tcW w:w="7120" w:type="dxa"/>
            <w:vAlign w:val="bottom"/>
            <w:gridSpan w:val="2"/>
          </w:tcPr>
          <w:p>
            <w:pPr>
              <w:jc w:val="center"/>
              <w:ind w:left="6883"/>
              <w:spacing w:after="0" w:line="181" w:lineRule="exact"/>
              <w:rPr>
                <w:rFonts w:ascii="Arial" w:cs="Arial" w:eastAsia="Arial" w:hAnsi="Arial"/>
                <w:sz w:val="16"/>
                <w:szCs w:val="16"/>
                <w:color w:val="0000FF"/>
                <w:w w:val="89"/>
              </w:rPr>
            </w:pPr>
            <w:hyperlink w:anchor="page63">
              <w:r>
                <w:rPr>
                  <w:rFonts w:ascii="Arial" w:cs="Arial" w:eastAsia="Arial" w:hAnsi="Arial"/>
                  <w:sz w:val="16"/>
                  <w:szCs w:val="16"/>
                  <w:color w:val="0000FF"/>
                  <w:w w:val="89"/>
                </w:rPr>
                <w:t>23</w:t>
              </w:r>
            </w:hyperlink>
          </w:p>
        </w:tc>
        <w:tc>
          <w:tcPr>
            <w:tcW w:w="100" w:type="dxa"/>
            <w:vAlign w:val="bottom"/>
          </w:tcPr>
          <w:p>
            <w:pPr>
              <w:spacing w:after="0"/>
              <w:rPr>
                <w:sz w:val="15"/>
                <w:szCs w:val="15"/>
                <w:color w:val="auto"/>
              </w:rPr>
            </w:pPr>
          </w:p>
        </w:tc>
      </w:tr>
      <w:tr>
        <w:trPr>
          <w:trHeight w:val="181"/>
        </w:trPr>
        <w:tc>
          <w:tcPr>
            <w:tcW w:w="2500" w:type="dxa"/>
            <w:vAlign w:val="bottom"/>
            <w:tcBorders>
              <w:top w:val="single" w:sz="8" w:color="0000FF"/>
            </w:tcBorders>
            <w:gridSpan w:val="11"/>
          </w:tcPr>
          <w:p>
            <w:pPr>
              <w:spacing w:after="0" w:line="181" w:lineRule="exact"/>
              <w:rPr>
                <w:rFonts w:ascii="Arial" w:cs="Arial" w:eastAsia="Arial" w:hAnsi="Arial"/>
                <w:sz w:val="16"/>
                <w:szCs w:val="16"/>
                <w:color w:val="0000FF"/>
              </w:rPr>
            </w:pPr>
            <w:hyperlink w:anchor="page63">
              <w:r>
                <w:rPr>
                  <w:rFonts w:ascii="Arial" w:cs="Arial" w:eastAsia="Arial" w:hAnsi="Arial"/>
                  <w:sz w:val="16"/>
                  <w:szCs w:val="16"/>
                  <w:color w:val="0000FF"/>
                </w:rPr>
                <w:t>Incorporation by Reference</w:t>
              </w:r>
            </w:hyperlink>
          </w:p>
        </w:tc>
        <w:tc>
          <w:tcPr>
            <w:tcW w:w="126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63">
              <w:r>
                <w:rPr>
                  <w:rFonts w:ascii="Arial" w:cs="Arial" w:eastAsia="Arial" w:hAnsi="Arial"/>
                  <w:sz w:val="15"/>
                  <w:szCs w:val="15"/>
                  <w:color w:val="0000FF"/>
                  <w:w w:val="71"/>
                </w:rPr>
                <w:t>23</w:t>
              </w:r>
            </w:hyperlink>
          </w:p>
        </w:tc>
        <w:tc>
          <w:tcPr>
            <w:tcW w:w="100" w:type="dxa"/>
            <w:vAlign w:val="bottom"/>
          </w:tcPr>
          <w:p>
            <w:pPr>
              <w:spacing w:after="0"/>
              <w:rPr>
                <w:sz w:val="15"/>
                <w:szCs w:val="15"/>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112395</wp:posOffset>
            </wp:positionV>
            <wp:extent cx="14192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419225" cy="7620"/>
                    </a:xfrm>
                    <a:prstGeom prst="rect">
                      <a:avLst/>
                    </a:prstGeom>
                    <a:noFill/>
                  </pic:spPr>
                </pic:pic>
              </a:graphicData>
            </a:graphic>
          </wp:anchor>
        </w:drawing>
      </w:r>
    </w:p>
    <w:p>
      <w:pPr>
        <w:spacing w:after="0" w:line="263"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4"/>
          <w:szCs w:val="14"/>
          <w:color w:val="auto"/>
        </w:rPr>
        <w:t>This prospectus is part of a registration statement on Form S-3 that we filed with the Securities and Exchange Commission (the “SEC”), utilizing a “shelf” registration process. Under this shelf process, certain selling stockholders may, from time to time, offer and/or sell shares of Class A common stock described in this prospectus in one or more offerings or resales. Additionally, under the shelf process, in certain circumstances, we may provide a prospectus supplement that will contain certain specific information about the terms of a particular offering by one or more of the selling stockholders. This prospectus provides you with a general description of the shares of our Class A common stock that such selling stockholders may offer. The prospectus supplement and any free writing prospectus will contain more specific information about the offering and the shares of our Class A common stock being offered, including the prices at which the shares of our Class A common stock are sold. The prospectus supplement may also add, update, change or clarify information contained in or incorporated by reference into this prospectus. If there is any inconsistency between the information in this prospectus and the information in the prospectus supplement, you should rely on the information in the prospectus supplement.</w:t>
      </w:r>
    </w:p>
    <w:p>
      <w:pPr>
        <w:spacing w:after="0" w:line="9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THIS PROSPECTUS MAY NOT BE USED TO SELL ANY SHARES OF OUR CLASS A COMMON STOCK UNLESS ACCOMPANIED BY A PROSPECTUS SUPPLEMENT.</w:t>
      </w:r>
    </w:p>
    <w:p>
      <w:pPr>
        <w:spacing w:after="0" w:line="10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5"/>
          <w:szCs w:val="15"/>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See “Incorporation by Reference”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or deemed incorporated by reference as exhibits to the registration statement of which this prospectus is a part. The registration statement, including the exhibits and documents incorporated by reference in this prospectus, can be read on the SEC website or at the SEC offices mentioned under the heading “Where You Can Find More Information.”</w:t>
      </w:r>
    </w:p>
    <w:p>
      <w:pPr>
        <w:spacing w:after="0" w:line="115" w:lineRule="exact"/>
        <w:rPr>
          <w:sz w:val="20"/>
          <w:szCs w:val="20"/>
          <w:color w:val="auto"/>
        </w:rPr>
      </w:pPr>
    </w:p>
    <w:p>
      <w:pPr>
        <w:jc w:val="both"/>
        <w:ind w:firstLine="284"/>
        <w:spacing w:after="0" w:line="293"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any amendment or supplement to this prospectus, or any free writing prospectus we may authorize to be delivered or made available to you. This prospectus is an offer to sell only the shares offered hereby from time to time, but only under the circumstances and in jurisdictions where it is lawful to do so. Neither we nor the selling stockholders have authorized anyone to provide you with information different from that contained or incorporated by reference in this prospectus, any amendment or supplement to this prospectus, or any free writing prospectus prepared by us or on our behalf. Neither we nor the selling stockholders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w:t>
      </w:r>
    </w:p>
    <w:p>
      <w:pPr>
        <w:sectPr>
          <w:pgSz w:w="11900" w:h="16838" w:orient="portrait"/>
          <w:cols w:equalWidth="0" w:num="1">
            <w:col w:w="11260"/>
          </w:cols>
          <w:pgMar w:left="320" w:top="1258" w:right="319" w:bottom="1440" w:gutter="0" w:footer="0" w:header="0"/>
        </w:sectPr>
      </w:pPr>
    </w:p>
    <w:bookmarkStart w:id="36" w:name="page37"/>
    <w:bookmarkEnd w:id="36"/>
    <w:p>
      <w:pPr>
        <w:jc w:val="both"/>
        <w:ind w:right="20"/>
        <w:spacing w:after="0" w:line="257" w:lineRule="auto"/>
        <w:rPr>
          <w:sz w:val="20"/>
          <w:szCs w:val="20"/>
          <w:color w:val="auto"/>
        </w:rPr>
      </w:pPr>
      <w:r>
        <w:rPr>
          <w:rFonts w:ascii="Arial" w:cs="Arial" w:eastAsia="Arial" w:hAnsi="Arial"/>
          <w:sz w:val="16"/>
          <w:szCs w:val="16"/>
          <w:color w:val="auto"/>
        </w:rPr>
        <w:t>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15"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b w:val="1"/>
          <w:bCs w:val="1"/>
          <w:color w:val="auto"/>
        </w:rPr>
        <w:t>For Investors Outside the United States</w:t>
      </w:r>
      <w:r>
        <w:rPr>
          <w:rFonts w:ascii="Arial" w:cs="Arial" w:eastAsia="Arial" w:hAnsi="Arial"/>
          <w:sz w:val="16"/>
          <w:szCs w:val="16"/>
          <w:color w:val="auto"/>
        </w:rPr>
        <w:t>: The selling stockholders are offering to sell from time to time shares of our Class A common stock only in jurisdictions where</w:t>
      </w:r>
      <w:r>
        <w:rPr>
          <w:rFonts w:ascii="Arial" w:cs="Arial" w:eastAsia="Arial" w:hAnsi="Arial"/>
          <w:sz w:val="16"/>
          <w:szCs w:val="16"/>
          <w:b w:val="1"/>
          <w:bCs w:val="1"/>
          <w:color w:val="auto"/>
        </w:rPr>
        <w:t xml:space="preserve"> </w:t>
      </w:r>
      <w:r>
        <w:rPr>
          <w:rFonts w:ascii="Arial" w:cs="Arial" w:eastAsia="Arial" w:hAnsi="Arial"/>
          <w:sz w:val="16"/>
          <w:szCs w:val="16"/>
          <w:color w:val="auto"/>
        </w:rPr>
        <w:t>offers and sales are permitted. Neither we nor the selling stockholders have done anything that would permit the offering from time to time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from time to time and the distribution of this prospectus outside the United States.</w:t>
      </w:r>
    </w:p>
    <w:p>
      <w:pPr>
        <w:sectPr>
          <w:pgSz w:w="11900" w:h="16838" w:orient="portrait"/>
          <w:cols w:equalWidth="0" w:num="1">
            <w:col w:w="11260"/>
          </w:cols>
          <w:pgMar w:left="320" w:top="1262"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About this Prospectus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 Presentation</w:t>
      </w:r>
    </w:p>
    <w:p>
      <w:pPr>
        <w:spacing w:after="0" w:line="151"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4"/>
          <w:szCs w:val="14"/>
          <w:color w:val="auto"/>
        </w:rPr>
        <w:t>This prospectus and the documents incorporated by reference herein include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100"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22"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Definitions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used in this prospectus, unless otherwise noted or the context requires otherwise:</w:t>
      </w:r>
    </w:p>
    <w:p>
      <w:pPr>
        <w:spacing w:after="0" w:line="147" w:lineRule="exact"/>
        <w:rPr>
          <w:sz w:val="20"/>
          <w:szCs w:val="20"/>
          <w:color w:val="auto"/>
        </w:rPr>
      </w:pPr>
    </w:p>
    <w:p>
      <w:pPr>
        <w:ind w:left="560" w:hanging="282"/>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“22C Capital” refers to investment funds associated with 22C Capital LLC and its predecessor.</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“Annual Report” refers to our annual report on Form 10-K for the fiscal year ended December 31, 2020, filed on February 26, 2021.</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“Blocker Companies” refers to certain of our Pre-IPO OpCo Unitholders that are taxable as corporations for U.S. federal income tax purposes.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“Carlyle” refers to investment funds associated with The Carlyle Group.</w:t>
      </w:r>
    </w:p>
    <w:p>
      <w:pPr>
        <w:spacing w:after="0" w:line="147" w:lineRule="exact"/>
        <w:rPr>
          <w:rFonts w:ascii="Arial" w:cs="Arial" w:eastAsia="Arial" w:hAnsi="Arial"/>
          <w:sz w:val="16"/>
          <w:szCs w:val="16"/>
          <w:color w:val="auto"/>
        </w:rPr>
      </w:pPr>
    </w:p>
    <w:p>
      <w:pPr>
        <w:jc w:val="both"/>
        <w:ind w:left="560" w:hanging="282"/>
        <w:spacing w:after="0" w:line="257"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118"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109"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60"/>
          </w:cols>
          <w:pgMar w:left="320" w:top="1258" w:right="319" w:bottom="1440" w:gutter="0" w:footer="0" w:header="0"/>
        </w:sectPr>
      </w:pPr>
    </w:p>
    <w:bookmarkStart w:id="38" w:name="page39"/>
    <w:bookmarkEnd w:id="38"/>
    <w:p>
      <w:pPr>
        <w:ind w:left="282"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“Employee Units” refers to the portion of HoldCo Units into which certain existing Class P Units (including, without limitation, certain indirectly held Class P Units) were converted in the Reorganization Transactions.</w:t>
      </w:r>
    </w:p>
    <w:p>
      <w:pPr>
        <w:spacing w:after="0" w:line="109" w:lineRule="exact"/>
        <w:rPr>
          <w:rFonts w:ascii="Arial" w:cs="Arial" w:eastAsia="Arial" w:hAnsi="Arial"/>
          <w:sz w:val="16"/>
          <w:szCs w:val="16"/>
          <w:color w:val="auto"/>
        </w:rPr>
      </w:pPr>
    </w:p>
    <w:p>
      <w:pPr>
        <w:ind w:left="282" w:hanging="282"/>
        <w:spacing w:after="0"/>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“Founders” refers to Henry Schuck, our Chief Executive Officer, and Kirk Brown.</w:t>
      </w:r>
    </w:p>
    <w:p>
      <w:pPr>
        <w:spacing w:after="0" w:line="147"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109"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109" w:lineRule="exact"/>
        <w:rPr>
          <w:rFonts w:ascii="Arial" w:cs="Arial" w:eastAsia="Arial" w:hAnsi="Arial"/>
          <w:sz w:val="16"/>
          <w:szCs w:val="16"/>
          <w:color w:val="auto"/>
        </w:rPr>
      </w:pPr>
    </w:p>
    <w:p>
      <w:pPr>
        <w:jc w:val="both"/>
        <w:ind w:left="282" w:right="20" w:hanging="282"/>
        <w:spacing w:after="0" w:line="253"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123" w:lineRule="exact"/>
        <w:rPr>
          <w:rFonts w:ascii="Arial" w:cs="Arial" w:eastAsia="Arial" w:hAnsi="Arial"/>
          <w:sz w:val="16"/>
          <w:szCs w:val="16"/>
          <w:color w:val="auto"/>
        </w:rPr>
      </w:pPr>
    </w:p>
    <w:p>
      <w:pPr>
        <w:ind w:left="282" w:right="20"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109"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“Pre-IPO Blocker Holders” refers to the pre-IPO owners that held their interests in us through the Blocker Companies immediately prior to the consummation of the IPO.</w:t>
      </w:r>
    </w:p>
    <w:p>
      <w:pPr>
        <w:spacing w:after="0" w:line="109" w:lineRule="exact"/>
        <w:rPr>
          <w:rFonts w:ascii="Arial" w:cs="Arial" w:eastAsia="Arial" w:hAnsi="Arial"/>
          <w:sz w:val="16"/>
          <w:szCs w:val="16"/>
          <w:color w:val="auto"/>
        </w:rPr>
      </w:pPr>
    </w:p>
    <w:p>
      <w:pPr>
        <w:ind w:left="282" w:hanging="282"/>
        <w:spacing w:after="0"/>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“Pre-IPO HoldCo Unitholders” refers to the pre-IPO owners that held HoldCo Units immediately prior to the consummation of the IPO.</w:t>
      </w:r>
    </w:p>
    <w:p>
      <w:pPr>
        <w:spacing w:after="0" w:line="147" w:lineRule="exact"/>
        <w:rPr>
          <w:rFonts w:ascii="Arial" w:cs="Arial" w:eastAsia="Arial" w:hAnsi="Arial"/>
          <w:sz w:val="16"/>
          <w:szCs w:val="16"/>
          <w:color w:val="auto"/>
        </w:rPr>
      </w:pPr>
    </w:p>
    <w:p>
      <w:pPr>
        <w:ind w:left="282" w:hanging="282"/>
        <w:spacing w:after="0"/>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“Pre-IPO OpCo Unitholders” refers to the pre-IPO owners that held OpCo Units immediately prior to the consummation of the IPO.</w:t>
      </w:r>
    </w:p>
    <w:p>
      <w:pPr>
        <w:spacing w:after="0" w:line="147"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“pre-IPO owners” refers, collectively, to the Sponsors, the Founders, and the management and other equity holders who were the direct or indirect owners of ZoomInfo OpCo immediately prior to the Transactions (as defined herein).</w:t>
      </w:r>
    </w:p>
    <w:p>
      <w:pPr>
        <w:spacing w:after="0" w:line="109" w:lineRule="exact"/>
        <w:rPr>
          <w:rFonts w:ascii="Arial" w:cs="Arial" w:eastAsia="Arial" w:hAnsi="Arial"/>
          <w:sz w:val="16"/>
          <w:szCs w:val="16"/>
          <w:color w:val="auto"/>
        </w:rPr>
      </w:pPr>
    </w:p>
    <w:p>
      <w:pPr>
        <w:ind w:left="282" w:hanging="282"/>
        <w:spacing w:after="0"/>
        <w:tabs>
          <w:tab w:leader="none" w:pos="282"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“Proxy Statement” refers to our definitive proxy statement on Schedule 14A in connection with our 2021 annual meeting of stockholders filed on March 16, 2021.</w:t>
      </w:r>
    </w:p>
    <w:p>
      <w:pPr>
        <w:spacing w:after="0" w:line="158" w:lineRule="exact"/>
        <w:rPr>
          <w:rFonts w:ascii="Arial" w:cs="Arial" w:eastAsia="Arial" w:hAnsi="Arial"/>
          <w:sz w:val="15"/>
          <w:szCs w:val="15"/>
          <w:color w:val="auto"/>
        </w:rPr>
      </w:pPr>
    </w:p>
    <w:p>
      <w:pPr>
        <w:ind w:left="282" w:hanging="282"/>
        <w:spacing w:after="0"/>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“Quarterly Report” refers to our quarterly report on Form 10-Q for the quarterly period ended March 31, 2021, filed on May 3, 2021.</w:t>
      </w:r>
    </w:p>
    <w:p>
      <w:pPr>
        <w:spacing w:after="0" w:line="147"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“Series A Preferred Units” refers to the Series A preferred units of ZoomInfo OpCo outstanding immediately prior to the consummation of the IPO and the use of proceeds therefrom.</w:t>
      </w:r>
    </w:p>
    <w:p>
      <w:pPr>
        <w:spacing w:after="0" w:line="109" w:lineRule="exact"/>
        <w:rPr>
          <w:rFonts w:ascii="Arial" w:cs="Arial" w:eastAsia="Arial" w:hAnsi="Arial"/>
          <w:sz w:val="16"/>
          <w:szCs w:val="16"/>
          <w:color w:val="auto"/>
        </w:rPr>
      </w:pPr>
    </w:p>
    <w:p>
      <w:pPr>
        <w:ind w:left="282" w:hanging="282"/>
        <w:spacing w:after="0"/>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“Sponsors” refers, collectively, to TA Associates, Carlyle, and 22C Capital.</w:t>
      </w:r>
    </w:p>
    <w:p>
      <w:pPr>
        <w:spacing w:after="0" w:line="147" w:lineRule="exact"/>
        <w:rPr>
          <w:rFonts w:ascii="Arial" w:cs="Arial" w:eastAsia="Arial" w:hAnsi="Arial"/>
          <w:sz w:val="16"/>
          <w:szCs w:val="16"/>
          <w:color w:val="auto"/>
        </w:rPr>
      </w:pPr>
    </w:p>
    <w:p>
      <w:pPr>
        <w:ind w:left="282" w:hanging="282"/>
        <w:spacing w:after="0"/>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“TA Associates” refers to investment funds associated with TA Associates.</w:t>
      </w:r>
    </w:p>
    <w:p>
      <w:pPr>
        <w:spacing w:after="0" w:line="147" w:lineRule="exact"/>
        <w:rPr>
          <w:rFonts w:ascii="Arial" w:cs="Arial" w:eastAsia="Arial" w:hAnsi="Arial"/>
          <w:sz w:val="16"/>
          <w:szCs w:val="16"/>
          <w:color w:val="auto"/>
        </w:rPr>
      </w:pPr>
    </w:p>
    <w:p>
      <w:pPr>
        <w:jc w:val="both"/>
        <w:ind w:left="282" w:right="20" w:hanging="282"/>
        <w:spacing w:after="0" w:line="257"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“ZoomInfo,” the “Company,” “we,” “us,” and “our” refer, (1) prior to the consummation of the Reorganization Transactions and the IPO Transactions, to ZoomInfo OpCo and its consolidated subsidiaries and, (2) after the consummation of the Reorganization Transactions and the IPO Transactions, to ZoomInfo Technologies Inc. and its consolidated subsidiaries.</w:t>
      </w:r>
    </w:p>
    <w:p>
      <w:pPr>
        <w:spacing w:after="0" w:line="118" w:lineRule="exact"/>
        <w:rPr>
          <w:rFonts w:ascii="Arial" w:cs="Arial" w:eastAsia="Arial" w:hAnsi="Arial"/>
          <w:sz w:val="16"/>
          <w:szCs w:val="16"/>
          <w:color w:val="auto"/>
        </w:rPr>
      </w:pPr>
    </w:p>
    <w:p>
      <w:pPr>
        <w:ind w:left="282" w:hanging="282"/>
        <w:spacing w:after="0" w:line="268"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“ZoomInfo HoldCo” refers to ZoomInfo Intermediate Holdings LLC, a Delaware limited liability company, and a direct subsidiary of ZoomInfo Technologies Inc. following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8"/>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0982"/>
          </w:cols>
          <w:pgMar w:left="598" w:top="1262" w:right="319" w:bottom="1440" w:gutter="0" w:footer="0" w:header="0"/>
        </w:sectPr>
      </w:pPr>
    </w:p>
    <w:bookmarkStart w:id="39" w:name="page40"/>
    <w:bookmarkEnd w:id="39"/>
    <w:p>
      <w:pPr>
        <w:ind w:left="282" w:hanging="282"/>
        <w:spacing w:after="0" w:line="268" w:lineRule="auto"/>
        <w:tabs>
          <w:tab w:leader="none" w:pos="2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78"/>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0962"/>
          </w:cols>
          <w:pgMar w:left="598" w:top="1262" w:right="339" w:bottom="1440" w:gutter="0" w:footer="0" w:header="0"/>
        </w:sectPr>
      </w:pPr>
    </w:p>
    <w:bookmarkStart w:id="40" w:name="page41"/>
    <w:bookmarkEnd w:id="40"/>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5554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54545" cy="555498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6"/>
          <w:szCs w:val="16"/>
          <w:b w:val="1"/>
          <w:bCs w:val="1"/>
          <w:color w:val="auto"/>
        </w:rPr>
        <w:t>ZOOMINFO</w:t>
      </w:r>
    </w:p>
    <w:p>
      <w:pPr>
        <w:spacing w:after="0" w:line="14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Overview</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mission is to unlock actionable business information and insights to make organizations more successful.</w:t>
      </w:r>
    </w:p>
    <w:p>
      <w:pPr>
        <w:spacing w:after="0" w:line="147"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ZoomInfo is a leading go-to-market intelligence platform for sales and marketing teams. Our cloud-based go-to-market data and insights platform delivers comprehensive and high-quality intelligence and analytics to provide sales and marketing professionals accurate information and insights on the organizations and professionals they target enabling our customers to shorten sales cycles and increase win rates by enabling sellers and marketers to deliver the right message, to the right person, at the right time.</w:t>
      </w:r>
    </w:p>
    <w:p>
      <w:pPr>
        <w:spacing w:after="0" w:line="123"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ZoomInfo Technologies Inc. in November 2019 for the purposes of facilitating the IPO. On June 8, 2020, ZoomInfo completed the IPO.</w:t>
      </w:r>
    </w:p>
    <w:p>
      <w:pPr>
        <w:spacing w:after="0" w:line="123"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highlight w:val="white"/>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Organizational Structure</w:t>
      </w:r>
    </w:p>
    <w:p>
      <w:pPr>
        <w:spacing w:after="0" w:line="151"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and consolidates the financial results, of ZoomInfo OpCo through ZoomInfo HoldCo and, through ZoomInfo OpCo and its subsidiaries, conducts our business. Prior to the completion of the IPO:</w:t>
      </w:r>
    </w:p>
    <w:p>
      <w:pPr>
        <w:spacing w:after="0" w:line="123" w:lineRule="exact"/>
        <w:rPr>
          <w:sz w:val="20"/>
          <w:szCs w:val="20"/>
          <w:color w:val="auto"/>
        </w:rPr>
      </w:pPr>
    </w:p>
    <w:p>
      <w:pPr>
        <w:ind w:left="560" w:hanging="280"/>
        <w:spacing w:after="0"/>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ZoomInfo OpCo effected a four-for-one reverse unit split;</w:t>
      </w:r>
    </w:p>
    <w:p>
      <w:pPr>
        <w:spacing w:after="0" w:line="147" w:lineRule="exact"/>
        <w:rPr>
          <w:rFonts w:ascii="Arial" w:cs="Arial" w:eastAsia="Arial" w:hAnsi="Arial"/>
          <w:sz w:val="16"/>
          <w:szCs w:val="16"/>
          <w:color w:val="auto"/>
        </w:rPr>
      </w:pPr>
    </w:p>
    <w:p>
      <w:pPr>
        <w:jc w:val="both"/>
        <w:ind w:left="560" w:right="20" w:hanging="280"/>
        <w:spacing w:after="0" w:line="251"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public offering price of the Class A common stock in the IPO;</w:t>
      </w:r>
    </w:p>
    <w:p>
      <w:pPr>
        <w:spacing w:after="0" w:line="122" w:lineRule="exact"/>
        <w:rPr>
          <w:rFonts w:ascii="Arial" w:cs="Arial" w:eastAsia="Arial" w:hAnsi="Arial"/>
          <w:sz w:val="16"/>
          <w:szCs w:val="16"/>
          <w:color w:val="auto"/>
        </w:rPr>
      </w:pPr>
    </w:p>
    <w:p>
      <w:pPr>
        <w:jc w:val="both"/>
        <w:ind w:left="560" w:right="20" w:hanging="280"/>
        <w:spacing w:after="0" w:line="257"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18" w:lineRule="exact"/>
        <w:rPr>
          <w:rFonts w:ascii="Arial" w:cs="Arial" w:eastAsia="Arial" w:hAnsi="Arial"/>
          <w:sz w:val="16"/>
          <w:szCs w:val="16"/>
          <w:color w:val="auto"/>
        </w:rPr>
      </w:pPr>
    </w:p>
    <w:p>
      <w:pPr>
        <w:jc w:val="both"/>
        <w:ind w:left="560" w:hanging="280"/>
        <w:spacing w:after="0" w:line="253"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limited liability company agreements of each of ZoomInfo OpCo and ZoomInfo HoldCo were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380"/>
          </w:cols>
          <w:pgMar w:left="760" w:top="1440" w:right="759" w:bottom="1440" w:gutter="0" w:footer="0" w:header="0"/>
        </w:sectPr>
      </w:pPr>
    </w:p>
    <w:bookmarkStart w:id="41" w:name="page42"/>
    <w:bookmarkEnd w:id="41"/>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2250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54545" cy="2250440"/>
                    </a:xfrm>
                    <a:prstGeom prst="rect">
                      <a:avLst/>
                    </a:prstGeom>
                    <a:noFill/>
                  </pic:spPr>
                </pic:pic>
              </a:graphicData>
            </a:graphic>
          </wp:anchor>
        </w:drawing>
      </w:r>
    </w:p>
    <w:p>
      <w:pPr>
        <w:jc w:val="both"/>
        <w:ind w:right="20" w:firstLine="284"/>
        <w:spacing w:after="0" w:line="268" w:lineRule="auto"/>
        <w:rPr>
          <w:sz w:val="20"/>
          <w:szCs w:val="20"/>
          <w:color w:val="auto"/>
        </w:rPr>
      </w:pPr>
      <w:r>
        <w:rPr>
          <w:rFonts w:ascii="Arial" w:cs="Arial" w:eastAsia="Arial" w:hAnsi="Arial"/>
          <w:sz w:val="16"/>
          <w:szCs w:val="16"/>
          <w:color w:val="auto"/>
        </w:rPr>
        <w:t>We refer to the Reclassification, together with the Blocker Mergers and the ZoomInfo HoldCo Contributions, as the “Reorganization Transactions.” We refer to certain transactions effected in connection with the IPO as the “IPO Transactions.”</w:t>
      </w:r>
    </w:p>
    <w:p>
      <w:pPr>
        <w:spacing w:after="0" w:line="109" w:lineRule="exact"/>
        <w:rPr>
          <w:sz w:val="20"/>
          <w:szCs w:val="20"/>
          <w:color w:val="auto"/>
        </w:rPr>
      </w:pPr>
    </w:p>
    <w:p>
      <w:pPr>
        <w:jc w:val="both"/>
        <w:ind w:firstLine="284"/>
        <w:spacing w:after="0" w:line="287" w:lineRule="auto"/>
        <w:rPr>
          <w:sz w:val="20"/>
          <w:szCs w:val="20"/>
          <w:color w:val="auto"/>
        </w:rPr>
      </w:pPr>
      <w:r>
        <w:rPr>
          <w:rFonts w:ascii="Arial" w:cs="Arial" w:eastAsia="Arial" w:hAnsi="Arial"/>
          <w:sz w:val="14"/>
          <w:szCs w:val="14"/>
          <w:color w:val="auto"/>
        </w:rPr>
        <w:t>Our organizational structure is commonly referred to as an umbrella partnership-C-corporation (“UP-C”) structure. This organizational structure allows our Pre-IPO OpCo Unitholders to retain their equity ownership in ZoomInfo OpCo, an entity that is classified as a partnership for U.S. federal income tax purposes, in the form of OpCo Units. Investors in the offering from time to time of the shares of Class A common stock registered hereby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gives rise to any significant business or strategic benefit or detriment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380"/>
          </w:cols>
          <w:pgMar w:left="760" w:top="1440" w:right="759" w:bottom="1440" w:gutter="0" w:footer="0" w:header="0"/>
        </w:sectPr>
      </w:pPr>
    </w:p>
    <w:bookmarkStart w:id="42" w:name="page43"/>
    <w:bookmarkEnd w:id="42"/>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6410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54545" cy="6410960"/>
                    </a:xfrm>
                    <a:prstGeom prst="rect">
                      <a:avLst/>
                    </a:prstGeom>
                    <a:noFill/>
                  </pic:spPr>
                </pic:pic>
              </a:graphicData>
            </a:graphic>
          </wp:anchor>
        </w:drawing>
      </w:r>
    </w:p>
    <w:p>
      <w:pPr>
        <w:ind w:left="284"/>
        <w:spacing w:after="0"/>
        <w:rPr>
          <w:sz w:val="20"/>
          <w:szCs w:val="20"/>
          <w:color w:val="auto"/>
        </w:rPr>
      </w:pPr>
      <w:r>
        <w:rPr>
          <w:rFonts w:ascii="Arial" w:cs="Arial" w:eastAsia="Arial" w:hAnsi="Arial"/>
          <w:sz w:val="16"/>
          <w:szCs w:val="16"/>
          <w:color w:val="auto"/>
        </w:rPr>
        <w:t>The simplified diagram below depicts our organizational structure as of July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spacing w:after="0" w:line="2" w:lineRule="exact"/>
        <w:rPr>
          <w:sz w:val="20"/>
          <w:szCs w:val="20"/>
          <w:color w:val="auto"/>
        </w:rPr>
      </w:pPr>
    </w:p>
    <w:p>
      <w:pPr>
        <w:jc w:val="both"/>
        <w:ind w:left="284" w:hanging="284"/>
        <w:spacing w:after="0" w:line="227" w:lineRule="auto"/>
        <w:tabs>
          <w:tab w:leader="none" w:pos="277" w:val="left"/>
        </w:tabs>
        <w:numPr>
          <w:ilvl w:val="0"/>
          <w:numId w:val="26"/>
        </w:numPr>
        <w:rPr>
          <w:rFonts w:ascii="Arial" w:cs="Arial" w:eastAsia="Arial" w:hAnsi="Arial"/>
          <w:sz w:val="13"/>
          <w:szCs w:val="13"/>
          <w:color w:val="auto"/>
        </w:rPr>
      </w:pPr>
      <w:r>
        <w:rPr>
          <w:rFonts w:ascii="Arial" w:cs="Arial" w:eastAsia="Arial" w:hAnsi="Arial"/>
          <w:sz w:val="13"/>
          <w:szCs w:val="13"/>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As of July 23, 2021, the Pre-IPO OpCo Unitholders and the Pre-IPO HoldCo Unitholders held 187,087,609 and 3,309,293 shares of our Class B common stock, respectively, collectively representing 100% of our outstanding Class B common stock, and collectively held 68.0% of the voting power in ZoomInfo Technologies Inc. As of July 23, 2021, the holders of our Class B and Class C common stock collectively held 95.6% of the voting power in ZoomInfo Technologies Inc. For additional information, see “Description of Capital Stock—Common Stock—Class B Common Stock.”</w:t>
      </w:r>
    </w:p>
    <w:p>
      <w:pPr>
        <w:spacing w:after="0" w:line="3" w:lineRule="exact"/>
        <w:rPr>
          <w:rFonts w:ascii="Arial" w:cs="Arial" w:eastAsia="Arial" w:hAnsi="Arial"/>
          <w:sz w:val="13"/>
          <w:szCs w:val="13"/>
          <w:color w:val="auto"/>
        </w:rPr>
      </w:pPr>
    </w:p>
    <w:p>
      <w:pPr>
        <w:jc w:val="both"/>
        <w:ind w:left="284" w:hanging="284"/>
        <w:spacing w:after="0" w:line="230" w:lineRule="auto"/>
        <w:tabs>
          <w:tab w:leader="none" w:pos="277" w:val="left"/>
        </w:tabs>
        <w:numPr>
          <w:ilvl w:val="0"/>
          <w:numId w:val="26"/>
        </w:numPr>
        <w:rPr>
          <w:rFonts w:ascii="Arial" w:cs="Arial" w:eastAsia="Arial" w:hAnsi="Arial"/>
          <w:sz w:val="13"/>
          <w:szCs w:val="13"/>
          <w:color w:val="auto"/>
        </w:rPr>
      </w:pPr>
      <w:r>
        <w:rPr>
          <w:rFonts w:ascii="Arial" w:cs="Arial" w:eastAsia="Arial" w:hAnsi="Arial"/>
          <w:sz w:val="13"/>
          <w:szCs w:val="13"/>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of July 23, 2021, the Pre-IPO Blocker Holders held 77,338,315 shares of our Class C common stock, representing 100% of our Class C common stock, and would have collectively held 27.6% of the voting power in ZoomInfo Technologies Inc. As of July 23, 2021, the holders of our Class B and Class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384"/>
          </w:cols>
          <w:pgMar w:left="756" w:top="1440" w:right="759" w:bottom="1440" w:gutter="0" w:footer="0" w:header="0"/>
        </w:sectPr>
      </w:pPr>
    </w:p>
    <w:bookmarkStart w:id="43" w:name="page44"/>
    <w:bookmarkEnd w:id="43"/>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807085</wp:posOffset>
            </wp:positionV>
            <wp:extent cx="7154545" cy="5269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54545" cy="5269865"/>
                    </a:xfrm>
                    <a:prstGeom prst="rect">
                      <a:avLst/>
                    </a:prstGeom>
                    <a:noFill/>
                  </pic:spPr>
                </pic:pic>
              </a:graphicData>
            </a:graphic>
          </wp:anchor>
        </w:drawing>
      </w:r>
    </w:p>
    <w:p>
      <w:pPr>
        <w:ind w:left="284"/>
        <w:spacing w:after="0"/>
        <w:rPr>
          <w:sz w:val="20"/>
          <w:szCs w:val="20"/>
          <w:color w:val="auto"/>
        </w:rPr>
      </w:pPr>
      <w:r>
        <w:rPr>
          <w:rFonts w:ascii="Arial" w:cs="Arial" w:eastAsia="Arial" w:hAnsi="Arial"/>
          <w:sz w:val="12"/>
          <w:szCs w:val="12"/>
          <w:color w:val="auto"/>
        </w:rPr>
        <w:t>common stock collectively held 95.6% of the voting power in ZoomInfo Technologies Inc. For additional information, see “Description of Capital Stock—Common Stock—Class C Common Stock.”</w:t>
      </w:r>
    </w:p>
    <w:p>
      <w:pPr>
        <w:spacing w:after="0" w:line="14" w:lineRule="exact"/>
        <w:rPr>
          <w:sz w:val="20"/>
          <w:szCs w:val="20"/>
          <w:color w:val="auto"/>
        </w:rPr>
      </w:pPr>
    </w:p>
    <w:p>
      <w:pPr>
        <w:jc w:val="both"/>
        <w:ind w:left="284" w:right="260" w:hanging="284"/>
        <w:spacing w:after="0" w:line="246" w:lineRule="auto"/>
        <w:tabs>
          <w:tab w:leader="none" w:pos="277" w:val="left"/>
        </w:tabs>
        <w:numPr>
          <w:ilvl w:val="0"/>
          <w:numId w:val="27"/>
        </w:numPr>
        <w:rPr>
          <w:rFonts w:ascii="Arial" w:cs="Arial" w:eastAsia="Arial" w:hAnsi="Arial"/>
          <w:sz w:val="12"/>
          <w:szCs w:val="12"/>
          <w:color w:val="auto"/>
        </w:rPr>
      </w:pPr>
      <w:r>
        <w:rPr>
          <w:rFonts w:ascii="Arial" w:cs="Arial" w:eastAsia="Arial" w:hAnsi="Arial"/>
          <w:sz w:val="12"/>
          <w:szCs w:val="12"/>
          <w:color w:val="auto"/>
        </w:rPr>
        <w:t>Assuming such Class P Units are fully vested, as of July 23, 2021, 12,845,551 shares of Class A common stock (based on the closing price of our Class A common stock of $53.84 per share as reported on Nasdaq on July 23, 2021) would be issuable upon the exchange of 14,313,813 Class P Units that are held by the Continuing Class P Unitholders. For additional information, see “Transactions with Related Persons—ZoomInfo OpCo Amended and Restated Limited Liability Company Agreement” from our Proxy Statement incorporated by reference herein.</w:t>
      </w:r>
    </w:p>
    <w:p>
      <w:pPr>
        <w:spacing w:after="0" w:line="1" w:lineRule="exact"/>
        <w:rPr>
          <w:rFonts w:ascii="Arial" w:cs="Arial" w:eastAsia="Arial" w:hAnsi="Arial"/>
          <w:sz w:val="12"/>
          <w:szCs w:val="12"/>
          <w:color w:val="auto"/>
        </w:rPr>
      </w:pPr>
    </w:p>
    <w:p>
      <w:pPr>
        <w:ind w:left="284" w:right="280" w:hanging="284"/>
        <w:spacing w:after="0" w:line="234" w:lineRule="auto"/>
        <w:tabs>
          <w:tab w:leader="none" w:pos="277" w:val="left"/>
        </w:tabs>
        <w:numPr>
          <w:ilvl w:val="0"/>
          <w:numId w:val="27"/>
        </w:numPr>
        <w:rPr>
          <w:rFonts w:ascii="Arial" w:cs="Arial" w:eastAsia="Arial" w:hAnsi="Arial"/>
          <w:sz w:val="13"/>
          <w:szCs w:val="13"/>
          <w:color w:val="auto"/>
        </w:rPr>
      </w:pPr>
      <w:r>
        <w:rPr>
          <w:rFonts w:ascii="Arial" w:cs="Arial" w:eastAsia="Arial" w:hAnsi="Arial"/>
          <w:sz w:val="13"/>
          <w:szCs w:val="13"/>
          <w:color w:val="auto"/>
        </w:rPr>
        <w:t>ZoomInfo LLC (formerly known as DiscoverOrg, LLC) serves as the borrower under our first lien revolving credit facility and our first lien term loan facility, as amended (together, the “first lien credit facilities” or the “secured credit facilities”). See “Description of Certain Indebtedness.”</w:t>
      </w:r>
    </w:p>
    <w:p>
      <w:pPr>
        <w:spacing w:after="0" w:line="128" w:lineRule="exact"/>
        <w:rPr>
          <w:sz w:val="20"/>
          <w:szCs w:val="20"/>
          <w:color w:val="auto"/>
        </w:rPr>
      </w:pPr>
    </w:p>
    <w:p>
      <w:pPr>
        <w:jc w:val="both"/>
        <w:ind w:left="4" w:right="280" w:firstLine="284"/>
        <w:spacing w:after="0" w:line="257" w:lineRule="auto"/>
        <w:rPr>
          <w:sz w:val="20"/>
          <w:szCs w:val="20"/>
          <w:color w:val="auto"/>
        </w:rPr>
      </w:pPr>
      <w:r>
        <w:rPr>
          <w:rFonts w:ascii="Arial" w:cs="Arial" w:eastAsia="Arial" w:hAnsi="Arial"/>
          <w:sz w:val="16"/>
          <w:szCs w:val="16"/>
          <w:color w:val="auto"/>
        </w:rPr>
        <w:t>The following table presents the outstanding common stock, OpCo Units, and HoldCo Units, as of July 23, 2021, excluding the conversion of 14,313,813 Class P Units held by the Continuing Class P Unitholders, which are convertible for 12,845,551 shares of Class A common stock (based on the closing price of our Class A common stock of $53.84 per share as reported on Nasdaq on July 23, 2021) upon vesting:</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169"/>
        </w:trPr>
        <w:tc>
          <w:tcPr>
            <w:tcW w:w="27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ind w:left="840"/>
              <w:spacing w:after="0"/>
              <w:rPr>
                <w:sz w:val="20"/>
                <w:szCs w:val="20"/>
                <w:color w:val="auto"/>
              </w:rPr>
            </w:pPr>
            <w:r>
              <w:rPr>
                <w:rFonts w:ascii="Arial" w:cs="Arial" w:eastAsia="Arial" w:hAnsi="Arial"/>
                <w:sz w:val="13"/>
                <w:szCs w:val="13"/>
                <w:b w:val="1"/>
                <w:bCs w:val="1"/>
                <w:color w:val="auto"/>
              </w:rPr>
              <w:t>Common Stock</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bottom w:val="single" w:sz="8" w:color="auto"/>
            </w:tcBorders>
            <w:gridSpan w:val="3"/>
          </w:tcPr>
          <w:p>
            <w:pPr>
              <w:ind w:left="1120"/>
              <w:spacing w:after="0"/>
              <w:rPr>
                <w:sz w:val="20"/>
                <w:szCs w:val="20"/>
                <w:color w:val="auto"/>
              </w:rPr>
            </w:pPr>
            <w:r>
              <w:rPr>
                <w:rFonts w:ascii="Arial" w:cs="Arial" w:eastAsia="Arial" w:hAnsi="Arial"/>
                <w:sz w:val="13"/>
                <w:szCs w:val="13"/>
                <w:b w:val="1"/>
                <w:bCs w:val="1"/>
                <w:color w:val="auto"/>
              </w:rPr>
              <w:t>Units</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720" w:type="dxa"/>
            <w:vAlign w:val="bottom"/>
          </w:tcPr>
          <w:p>
            <w:pPr>
              <w:spacing w:after="0"/>
              <w:rPr>
                <w:sz w:val="9"/>
                <w:szCs w:val="9"/>
                <w:color w:val="auto"/>
              </w:rPr>
            </w:pPr>
          </w:p>
        </w:tc>
        <w:tc>
          <w:tcPr>
            <w:tcW w:w="128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85"/>
              </w:rPr>
              <w:t>Class A Common</w:t>
            </w:r>
          </w:p>
        </w:tc>
        <w:tc>
          <w:tcPr>
            <w:tcW w:w="130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87"/>
              </w:rPr>
              <w:t>Class B Common</w:t>
            </w:r>
          </w:p>
        </w:tc>
        <w:tc>
          <w:tcPr>
            <w:tcW w:w="128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87"/>
              </w:rPr>
              <w:t>Class C Common</w:t>
            </w:r>
          </w:p>
        </w:tc>
        <w:tc>
          <w:tcPr>
            <w:tcW w:w="128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Total</w:t>
            </w:r>
          </w:p>
        </w:tc>
        <w:tc>
          <w:tcPr>
            <w:tcW w:w="150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HoldCo Units</w:t>
            </w:r>
          </w:p>
        </w:tc>
        <w:tc>
          <w:tcPr>
            <w:tcW w:w="100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w w:val="97"/>
              </w:rPr>
              <w:t>OpCo Units</w:t>
            </w:r>
          </w:p>
        </w:tc>
        <w:tc>
          <w:tcPr>
            <w:tcW w:w="0" w:type="dxa"/>
            <w:vAlign w:val="bottom"/>
          </w:tcPr>
          <w:p>
            <w:pPr>
              <w:spacing w:after="0"/>
              <w:rPr>
                <w:sz w:val="1"/>
                <w:szCs w:val="1"/>
                <w:color w:val="auto"/>
              </w:rPr>
            </w:pPr>
          </w:p>
        </w:tc>
      </w:tr>
      <w:tr>
        <w:trPr>
          <w:trHeight w:val="165"/>
        </w:trPr>
        <w:tc>
          <w:tcPr>
            <w:tcW w:w="27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28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Public Stockholders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122,990,566</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122,990,566</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3"/>
                <w:szCs w:val="13"/>
                <w:color w:val="auto"/>
              </w:rPr>
              <w:t>Pre-IPO OpCo Unitholders</w:t>
            </w:r>
          </w:p>
        </w:tc>
        <w:tc>
          <w:tcPr>
            <w:tcW w:w="1200" w:type="dxa"/>
            <w:vAlign w:val="bottom"/>
          </w:tcPr>
          <w:p>
            <w:pPr>
              <w:jc w:val="right"/>
              <w:spacing w:after="0"/>
              <w:rPr>
                <w:sz w:val="20"/>
                <w:szCs w:val="20"/>
                <w:color w:val="auto"/>
              </w:rPr>
            </w:pPr>
            <w:r>
              <w:rPr>
                <w:rFonts w:ascii="Arial" w:cs="Arial" w:eastAsia="Arial" w:hAnsi="Arial"/>
                <w:sz w:val="13"/>
                <w:szCs w:val="13"/>
                <w:color w:val="auto"/>
              </w:rPr>
              <w:t>997,509</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187,087,609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188,085,118</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187,087,609</w:t>
            </w: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Pre-IPO HoldCo Unitholders</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3,309,293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3,309,293</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3,309,293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3"/>
                <w:szCs w:val="13"/>
                <w:color w:val="auto"/>
              </w:rPr>
              <w:t>Pre-IPO Blocker Holders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77,338,315</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77,338,315</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ZoomInfo Technologies Inc.</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201,326,390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ZoomInfo HoldCo</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204,635,683</w:t>
            </w:r>
          </w:p>
        </w:tc>
        <w:tc>
          <w:tcPr>
            <w:tcW w:w="0" w:type="dxa"/>
            <w:vAlign w:val="bottom"/>
          </w:tcPr>
          <w:p>
            <w:pPr>
              <w:spacing w:after="0"/>
              <w:rPr>
                <w:sz w:val="1"/>
                <w:szCs w:val="1"/>
                <w:color w:val="auto"/>
              </w:rPr>
            </w:pPr>
          </w:p>
        </w:tc>
      </w:tr>
      <w:tr>
        <w:trPr>
          <w:trHeight w:val="211"/>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outstanding</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123,988,075</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190,396,902</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77,338,315</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391,723,292</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204,635,683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391,723,292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both"/>
        <w:ind w:left="4" w:right="280" w:firstLine="284"/>
        <w:spacing w:after="0" w:line="257" w:lineRule="auto"/>
        <w:rPr>
          <w:sz w:val="20"/>
          <w:szCs w:val="20"/>
          <w:color w:val="auto"/>
        </w:rPr>
      </w:pPr>
      <w:r>
        <w:rPr>
          <w:rFonts w:ascii="Arial" w:cs="Arial" w:eastAsia="Arial" w:hAnsi="Arial"/>
          <w:sz w:val="16"/>
          <w:szCs w:val="16"/>
          <w:color w:val="auto"/>
        </w:rPr>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as of July 23, 2021:</w:t>
      </w:r>
    </w:p>
    <w:p>
      <w:pPr>
        <w:spacing w:after="0" w:line="136" w:lineRule="exact"/>
        <w:rPr>
          <w:sz w:val="20"/>
          <w:szCs w:val="20"/>
          <w:color w:val="auto"/>
        </w:rPr>
      </w:pPr>
    </w:p>
    <w:tbl>
      <w:tblPr>
        <w:tblLayout w:type="fixed"/>
        <w:tblInd w:w="284"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3"/>
                <w:szCs w:val="13"/>
                <w:b w:val="1"/>
                <w:bCs w:val="1"/>
                <w:color w:val="auto"/>
              </w:rPr>
              <w:t>Common Stock Owned</w:t>
            </w:r>
            <w:r>
              <w:rPr>
                <w:rFonts w:ascii="Arial" w:cs="Arial" w:eastAsia="Arial" w:hAnsi="Arial"/>
                <w:sz w:val="16"/>
                <w:szCs w:val="16"/>
                <w:b w:val="1"/>
                <w:bCs w:val="1"/>
                <w:color w:val="auto"/>
                <w:vertAlign w:val="superscript"/>
              </w:rPr>
              <w:t>(1)</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3"/>
                <w:szCs w:val="13"/>
                <w:b w:val="1"/>
                <w:bCs w:val="1"/>
                <w:color w:val="auto"/>
                <w:w w:val="83"/>
              </w:rPr>
              <w:t>Voting Power</w:t>
            </w:r>
            <w:r>
              <w:rPr>
                <w:rFonts w:ascii="Arial" w:cs="Arial" w:eastAsia="Arial" w:hAnsi="Arial"/>
                <w:sz w:val="16"/>
                <w:szCs w:val="16"/>
                <w:b w:val="1"/>
                <w:bCs w:val="1"/>
                <w:color w:val="auto"/>
                <w:w w:val="83"/>
                <w:vertAlign w:val="superscript"/>
              </w:rPr>
              <w:t>(2)</w:t>
            </w:r>
          </w:p>
        </w:tc>
        <w:tc>
          <w:tcPr>
            <w:tcW w:w="300" w:type="dxa"/>
            <w:vAlign w:val="bottom"/>
            <w:tcBorders>
              <w:bottom w:val="single" w:sz="8" w:color="auto"/>
            </w:tcBorders>
          </w:tcPr>
          <w:p>
            <w:pPr>
              <w:spacing w:after="0"/>
              <w:rPr>
                <w:sz w:val="16"/>
                <w:szCs w:val="16"/>
                <w:color w:val="auto"/>
              </w:rPr>
            </w:pPr>
          </w:p>
        </w:tc>
      </w:tr>
      <w:tr>
        <w:trPr>
          <w:trHeight w:val="157"/>
        </w:trPr>
        <w:tc>
          <w:tcPr>
            <w:tcW w:w="3800" w:type="dxa"/>
            <w:vAlign w:val="bottom"/>
          </w:tcPr>
          <w:p>
            <w:pPr>
              <w:spacing w:after="0"/>
              <w:rPr>
                <w:sz w:val="13"/>
                <w:szCs w:val="13"/>
                <w:color w:val="auto"/>
              </w:rPr>
            </w:pPr>
          </w:p>
        </w:tc>
        <w:tc>
          <w:tcPr>
            <w:tcW w:w="1480" w:type="dxa"/>
            <w:vAlign w:val="bottom"/>
            <w:gridSpan w:val="2"/>
          </w:tcPr>
          <w:p>
            <w:pPr>
              <w:ind w:left="660"/>
              <w:spacing w:after="0"/>
              <w:rPr>
                <w:sz w:val="20"/>
                <w:szCs w:val="20"/>
                <w:color w:val="auto"/>
              </w:rPr>
            </w:pPr>
            <w:r>
              <w:rPr>
                <w:rFonts w:ascii="Arial" w:cs="Arial" w:eastAsia="Arial" w:hAnsi="Arial"/>
                <w:sz w:val="13"/>
                <w:szCs w:val="13"/>
                <w:b w:val="1"/>
                <w:bCs w:val="1"/>
                <w:color w:val="auto"/>
              </w:rPr>
              <w:t>Shares</w:t>
            </w:r>
          </w:p>
        </w:tc>
        <w:tc>
          <w:tcPr>
            <w:tcW w:w="1440" w:type="dxa"/>
            <w:vAlign w:val="bottom"/>
          </w:tcPr>
          <w:p>
            <w:pPr>
              <w:jc w:val="right"/>
              <w:ind w:right="284"/>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284"/>
              <w:spacing w:after="0"/>
              <w:rPr>
                <w:sz w:val="20"/>
                <w:szCs w:val="20"/>
                <w:color w:val="auto"/>
              </w:rPr>
            </w:pPr>
            <w:r>
              <w:rPr>
                <w:rFonts w:ascii="Arial" w:cs="Arial" w:eastAsia="Arial" w:hAnsi="Arial"/>
                <w:sz w:val="13"/>
                <w:szCs w:val="13"/>
                <w:b w:val="1"/>
                <w:bCs w:val="1"/>
                <w:color w:val="auto"/>
              </w:rPr>
              <w:t>Votes</w:t>
            </w:r>
          </w:p>
        </w:tc>
        <w:tc>
          <w:tcPr>
            <w:tcW w:w="1580" w:type="dxa"/>
            <w:vAlign w:val="bottom"/>
            <w:gridSpan w:val="3"/>
          </w:tcPr>
          <w:p>
            <w:pPr>
              <w:jc w:val="right"/>
              <w:ind w:right="281"/>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r>
      <w:tr>
        <w:trPr>
          <w:trHeight w:val="193"/>
        </w:trPr>
        <w:tc>
          <w:tcPr>
            <w:tcW w:w="3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Sponsors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194,812,547</w:t>
            </w:r>
          </w:p>
        </w:tc>
        <w:tc>
          <w:tcPr>
            <w:tcW w:w="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49.7</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1,939,147,889</w:t>
            </w: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69.2</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3800" w:type="dxa"/>
            <w:vAlign w:val="bottom"/>
          </w:tcPr>
          <w:p>
            <w:pPr>
              <w:ind w:left="300"/>
              <w:spacing w:after="0" w:line="201" w:lineRule="exact"/>
              <w:rPr>
                <w:sz w:val="20"/>
                <w:szCs w:val="20"/>
                <w:color w:val="auto"/>
              </w:rPr>
            </w:pPr>
            <w:r>
              <w:rPr>
                <w:rFonts w:ascii="Arial" w:cs="Arial" w:eastAsia="Arial" w:hAnsi="Arial"/>
                <w:sz w:val="16"/>
                <w:szCs w:val="16"/>
                <w:color w:val="auto"/>
              </w:rPr>
              <w:t>Founders</w:t>
            </w:r>
            <w:r>
              <w:rPr>
                <w:rFonts w:ascii="Arial" w:cs="Arial" w:eastAsia="Arial" w:hAnsi="Arial"/>
                <w:sz w:val="20"/>
                <w:szCs w:val="20"/>
                <w:color w:val="auto"/>
                <w:vertAlign w:val="superscript"/>
              </w:rPr>
              <w:t>(3)</w:t>
            </w:r>
          </w:p>
        </w:tc>
        <w:tc>
          <w:tcPr>
            <w:tcW w:w="1400" w:type="dxa"/>
            <w:vAlign w:val="bottom"/>
          </w:tcPr>
          <w:p>
            <w:pPr>
              <w:jc w:val="right"/>
              <w:spacing w:after="0"/>
              <w:rPr>
                <w:sz w:val="20"/>
                <w:szCs w:val="20"/>
                <w:color w:val="auto"/>
              </w:rPr>
            </w:pPr>
            <w:r>
              <w:rPr>
                <w:rFonts w:ascii="Arial" w:cs="Arial" w:eastAsia="Arial" w:hAnsi="Arial"/>
                <w:sz w:val="16"/>
                <w:szCs w:val="16"/>
                <w:color w:val="auto"/>
              </w:rPr>
              <w:t>63,541,392</w:t>
            </w:r>
          </w:p>
        </w:tc>
        <w:tc>
          <w:tcPr>
            <w:tcW w:w="80" w:type="dxa"/>
            <w:vAlign w:val="bottom"/>
          </w:tcPr>
          <w:p>
            <w:pPr>
              <w:spacing w:after="0"/>
              <w:rPr>
                <w:sz w:val="17"/>
                <w:szCs w:val="17"/>
                <w:color w:val="auto"/>
              </w:rPr>
            </w:pPr>
          </w:p>
        </w:tc>
        <w:tc>
          <w:tcPr>
            <w:tcW w:w="1440" w:type="dxa"/>
            <w:vAlign w:val="bottom"/>
          </w:tcPr>
          <w:p>
            <w:pPr>
              <w:jc w:val="right"/>
              <w:ind w:right="84"/>
              <w:spacing w:after="0"/>
              <w:rPr>
                <w:sz w:val="20"/>
                <w:szCs w:val="20"/>
                <w:color w:val="auto"/>
              </w:rPr>
            </w:pPr>
            <w:r>
              <w:rPr>
                <w:rFonts w:ascii="Arial" w:cs="Arial" w:eastAsia="Arial" w:hAnsi="Arial"/>
                <w:sz w:val="16"/>
                <w:szCs w:val="16"/>
                <w:color w:val="auto"/>
              </w:rPr>
              <w:t>16.2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635,413,920</w:t>
            </w:r>
          </w:p>
        </w:tc>
        <w:tc>
          <w:tcPr>
            <w:tcW w:w="1580" w:type="dxa"/>
            <w:vAlign w:val="bottom"/>
            <w:gridSpan w:val="3"/>
          </w:tcPr>
          <w:p>
            <w:pPr>
              <w:jc w:val="right"/>
              <w:ind w:right="81"/>
              <w:spacing w:after="0"/>
              <w:rPr>
                <w:sz w:val="20"/>
                <w:szCs w:val="20"/>
                <w:color w:val="auto"/>
              </w:rPr>
            </w:pPr>
            <w:r>
              <w:rPr>
                <w:rFonts w:ascii="Arial" w:cs="Arial" w:eastAsia="Arial" w:hAnsi="Arial"/>
                <w:sz w:val="16"/>
                <w:szCs w:val="16"/>
                <w:color w:val="auto"/>
              </w:rPr>
              <w:t>22.7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Management and Others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10,378,787</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103,787,870</w:t>
            </w:r>
          </w:p>
        </w:tc>
        <w:tc>
          <w:tcPr>
            <w:tcW w:w="1580" w:type="dxa"/>
            <w:vAlign w:val="bottom"/>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3.7</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3800" w:type="dxa"/>
            <w:vAlign w:val="bottom"/>
          </w:tcPr>
          <w:p>
            <w:pPr>
              <w:ind w:left="300"/>
              <w:spacing w:after="0"/>
              <w:rPr>
                <w:sz w:val="20"/>
                <w:szCs w:val="20"/>
                <w:color w:val="auto"/>
              </w:rPr>
            </w:pPr>
            <w:r>
              <w:rPr>
                <w:rFonts w:ascii="Arial" w:cs="Arial" w:eastAsia="Arial" w:hAnsi="Arial"/>
                <w:sz w:val="16"/>
                <w:szCs w:val="16"/>
                <w:color w:val="auto"/>
              </w:rPr>
              <w:t>Public Stockholders</w:t>
            </w:r>
          </w:p>
        </w:tc>
        <w:tc>
          <w:tcPr>
            <w:tcW w:w="1400" w:type="dxa"/>
            <w:vAlign w:val="bottom"/>
          </w:tcPr>
          <w:p>
            <w:pPr>
              <w:jc w:val="right"/>
              <w:spacing w:after="0"/>
              <w:rPr>
                <w:sz w:val="20"/>
                <w:szCs w:val="20"/>
                <w:color w:val="auto"/>
              </w:rPr>
            </w:pPr>
            <w:r>
              <w:rPr>
                <w:rFonts w:ascii="Arial" w:cs="Arial" w:eastAsia="Arial" w:hAnsi="Arial"/>
                <w:sz w:val="16"/>
                <w:szCs w:val="16"/>
                <w:color w:val="auto"/>
              </w:rPr>
              <w:t>122,990,566</w:t>
            </w:r>
          </w:p>
        </w:tc>
        <w:tc>
          <w:tcPr>
            <w:tcW w:w="80" w:type="dxa"/>
            <w:vAlign w:val="bottom"/>
          </w:tcPr>
          <w:p>
            <w:pPr>
              <w:spacing w:after="0"/>
              <w:rPr>
                <w:sz w:val="17"/>
                <w:szCs w:val="17"/>
                <w:color w:val="auto"/>
              </w:rPr>
            </w:pPr>
          </w:p>
        </w:tc>
        <w:tc>
          <w:tcPr>
            <w:tcW w:w="1440" w:type="dxa"/>
            <w:vAlign w:val="bottom"/>
          </w:tcPr>
          <w:p>
            <w:pPr>
              <w:jc w:val="right"/>
              <w:ind w:right="84"/>
              <w:spacing w:after="0"/>
              <w:rPr>
                <w:sz w:val="20"/>
                <w:szCs w:val="20"/>
                <w:color w:val="auto"/>
              </w:rPr>
            </w:pPr>
            <w:r>
              <w:rPr>
                <w:rFonts w:ascii="Arial" w:cs="Arial" w:eastAsia="Arial" w:hAnsi="Arial"/>
                <w:sz w:val="16"/>
                <w:szCs w:val="16"/>
                <w:color w:val="auto"/>
              </w:rPr>
              <w:t>31.4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122,990,566</w:t>
            </w:r>
          </w:p>
        </w:tc>
        <w:tc>
          <w:tcPr>
            <w:tcW w:w="1580" w:type="dxa"/>
            <w:vAlign w:val="bottom"/>
            <w:gridSpan w:val="3"/>
          </w:tcPr>
          <w:p>
            <w:pPr>
              <w:jc w:val="right"/>
              <w:ind w:right="81"/>
              <w:spacing w:after="0"/>
              <w:rPr>
                <w:sz w:val="20"/>
                <w:szCs w:val="20"/>
                <w:color w:val="auto"/>
              </w:rPr>
            </w:pPr>
            <w:r>
              <w:rPr>
                <w:rFonts w:ascii="Arial" w:cs="Arial" w:eastAsia="Arial" w:hAnsi="Arial"/>
                <w:sz w:val="16"/>
                <w:szCs w:val="16"/>
                <w:color w:val="auto"/>
              </w:rPr>
              <w:t>4.4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38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391,723,292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100.0</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2,801,340,245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100.0</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__________________</w:t>
      </w:r>
    </w:p>
    <w:p>
      <w:pPr>
        <w:spacing w:after="0" w:line="2" w:lineRule="exact"/>
        <w:rPr>
          <w:sz w:val="20"/>
          <w:szCs w:val="20"/>
          <w:color w:val="auto"/>
        </w:rPr>
      </w:pPr>
    </w:p>
    <w:p>
      <w:pPr>
        <w:jc w:val="both"/>
        <w:ind w:left="284" w:right="280" w:hanging="284"/>
        <w:spacing w:after="0" w:line="227" w:lineRule="auto"/>
        <w:tabs>
          <w:tab w:leader="none" w:pos="277"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spacing w:after="0" w:line="1" w:lineRule="exact"/>
        <w:rPr>
          <w:rFonts w:ascii="Arial" w:cs="Arial" w:eastAsia="Arial" w:hAnsi="Arial"/>
          <w:sz w:val="13"/>
          <w:szCs w:val="13"/>
          <w:color w:val="auto"/>
        </w:rPr>
      </w:pPr>
    </w:p>
    <w:p>
      <w:pPr>
        <w:ind w:left="284" w:hanging="284"/>
        <w:spacing w:after="0"/>
        <w:tabs>
          <w:tab w:leader="none" w:pos="284"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beneficial ownership, reflects one vote per share of Class A common stock, ten votes per share of Class B common stock, and ten votes per share of Class C common stock.</w:t>
      </w:r>
    </w:p>
    <w:p>
      <w:pPr>
        <w:spacing w:after="0" w:line="3" w:lineRule="exact"/>
        <w:rPr>
          <w:rFonts w:ascii="Arial" w:cs="Arial" w:eastAsia="Arial" w:hAnsi="Arial"/>
          <w:sz w:val="12"/>
          <w:szCs w:val="12"/>
          <w:color w:val="auto"/>
        </w:rPr>
      </w:pPr>
    </w:p>
    <w:p>
      <w:pPr>
        <w:jc w:val="both"/>
        <w:ind w:left="284" w:right="260" w:hanging="284"/>
        <w:spacing w:after="0" w:line="274" w:lineRule="auto"/>
        <w:tabs>
          <w:tab w:leader="none" w:pos="277"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Reflects (i) Henry Schuck’s indirect economic interest in 6,130,996 OpCo Units and associated shares of Class B common stock held directly by HSKB Funds, LLC and 30,910,041 OpCo Units and associated shares of Class B common stock held directly by DO Holdings (WA), LLC; and (ii) Kirk Brown’s indirect economic interest in 25,267,837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6"/>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644"/>
          </w:cols>
          <w:pgMar w:left="756" w:top="1440" w:right="49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t>RISK FACTORS</w:t>
      </w:r>
    </w:p>
    <w:p>
      <w:pPr>
        <w:spacing w:after="0" w:line="151"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4"/>
          <w:szCs w:val="14"/>
          <w:color w:val="auto"/>
        </w:rPr>
        <w:t>Investing in our common stock involves risks. Before you make a decision to buy shares of our Class A common stock, in addition to the risks and uncertainties discussed below under “Forward-Looking Statements,” you should carefully read and consider the risks and uncertainties and the risk factors set forth under the caption “Risk Factors” in our Annual Report, which is incorporated by reference in this prospectus, and under the caption “Risk Factors” or any similar caption in the other documents and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Class A common stock pursuant to this prospectus. Additionally, the risks and uncertainties discussed in this prospectus or in any document incorporated by reference into this prospectus are not the only risks and uncertainties that we face, and our business, financial condition, liquidity and results of operations and the market price of any shares of common stock we may sell could be materially adversely affected by additional factors that apply to companies generally, as well as other risks that are not known to us or that we currently do not consider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258"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51"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25" w:lineRule="exact"/>
        <w:rPr>
          <w:sz w:val="20"/>
          <w:szCs w:val="20"/>
          <w:color w:val="auto"/>
        </w:rPr>
      </w:pPr>
    </w:p>
    <w:p>
      <w:pPr>
        <w:jc w:val="both"/>
        <w:ind w:firstLine="284"/>
        <w:spacing w:after="0" w:line="282" w:lineRule="auto"/>
        <w:rPr>
          <w:sz w:val="20"/>
          <w:szCs w:val="20"/>
          <w:color w:val="auto"/>
        </w:rPr>
      </w:pPr>
      <w:r>
        <w:rPr>
          <w:rFonts w:ascii="Arial" w:cs="Arial" w:eastAsia="Arial" w:hAnsi="Arial"/>
          <w:sz w:val="15"/>
          <w:szCs w:val="15"/>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02"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The following are some of the factors that could cause actual results to differ from those expressed or implied by our forward-looking statements, including forward-looking statements contained in this prospectus:</w:t>
      </w:r>
    </w:p>
    <w:p>
      <w:pPr>
        <w:spacing w:after="0" w:line="109" w:lineRule="exact"/>
        <w:rPr>
          <w:sz w:val="20"/>
          <w:szCs w:val="20"/>
          <w:color w:val="auto"/>
        </w:rPr>
      </w:pPr>
    </w:p>
    <w:p>
      <w:pPr>
        <w:ind w:left="560" w:right="20" w:hanging="282"/>
        <w:spacing w:after="0" w:line="268"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COVID-19 pandemic, including the global economic uncertainty and measures taken in response, could materially impact our business and future results of operations;</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larger well-funded companies may shift their existing business models to become more competitive with us;</w:t>
      </w:r>
    </w:p>
    <w:p>
      <w:pPr>
        <w:spacing w:after="0" w:line="147" w:lineRule="exact"/>
        <w:rPr>
          <w:rFonts w:ascii="Arial" w:cs="Arial" w:eastAsia="Arial" w:hAnsi="Arial"/>
          <w:sz w:val="16"/>
          <w:szCs w:val="16"/>
          <w:color w:val="auto"/>
        </w:rPr>
      </w:pPr>
    </w:p>
    <w:p>
      <w:pPr>
        <w:jc w:val="both"/>
        <w:ind w:left="560" w:right="20" w:hanging="282"/>
        <w:spacing w:after="0" w:line="257"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118" w:lineRule="exact"/>
        <w:rPr>
          <w:rFonts w:ascii="Arial" w:cs="Arial" w:eastAsia="Arial" w:hAnsi="Arial"/>
          <w:sz w:val="16"/>
          <w:szCs w:val="16"/>
          <w:color w:val="auto"/>
        </w:rPr>
      </w:pPr>
    </w:p>
    <w:p>
      <w:pPr>
        <w:ind w:left="560" w:hanging="282"/>
        <w:spacing w:after="0"/>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may experience competition from companies that more effectively cater to our customers by offering more tailored products or platforms at lower costs;</w:t>
      </w:r>
    </w:p>
    <w:p>
      <w:pPr>
        <w:spacing w:after="0" w:line="158" w:lineRule="exact"/>
        <w:rPr>
          <w:rFonts w:ascii="Arial" w:cs="Arial" w:eastAsia="Arial" w:hAnsi="Arial"/>
          <w:sz w:val="15"/>
          <w:szCs w:val="15"/>
          <w:color w:val="auto"/>
        </w:rPr>
      </w:pPr>
    </w:p>
    <w:p>
      <w:pPr>
        <w:ind w:left="560" w:hanging="282"/>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adverse general economic and market conditions may reduce spending on sales and marketing, which could harm our revenue, results of operations and cash flows;</w:t>
      </w:r>
    </w:p>
    <w:p>
      <w:pPr>
        <w:spacing w:after="0" w:line="170" w:lineRule="exact"/>
        <w:rPr>
          <w:rFonts w:ascii="Arial" w:cs="Arial" w:eastAsia="Arial" w:hAnsi="Arial"/>
          <w:sz w:val="14"/>
          <w:szCs w:val="14"/>
          <w:color w:val="auto"/>
        </w:rPr>
      </w:pPr>
    </w:p>
    <w:p>
      <w:pPr>
        <w:ind w:left="560" w:hanging="282"/>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decline in demand for sales and marketing subscription platforms could negatively impact our business;</w:t>
      </w:r>
    </w:p>
    <w:p>
      <w:pPr>
        <w:spacing w:after="0" w:line="147"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are unable to improve our technology and keep up with new processes for data collection, organization, and cleansing, competing products and services could surpass ours;</w:t>
      </w:r>
    </w:p>
    <w:p>
      <w:pPr>
        <w:spacing w:after="0" w:line="109"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provide a highly accurate, reliable, and comprehensive platform moving forward, which could cause a reduction in demand for our products and services;</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rely on third-party systems that we do not control to integrate with our system and we may be unable to continue to support integration;</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adequately fund research and development, which could limit introduction of new features, integrations, and enhancements, which may limit our ability to compete effectively;</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attract new customers and expand existing subscriptions, which could harm our revenue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320" w:top="1258" w:right="319" w:bottom="1440" w:gutter="0" w:footer="0" w:header="0"/>
        </w:sectPr>
      </w:pPr>
    </w:p>
    <w:bookmarkStart w:id="46" w:name="page47"/>
    <w:bookmarkEnd w:id="46"/>
    <w:p>
      <w:pPr>
        <w:ind w:left="560" w:hanging="282"/>
        <w:spacing w:after="0"/>
        <w:tabs>
          <w:tab w:leader="none" w:pos="5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decrease in participation in our contributory network or increased opt-out rates could lead to a deterioration in the depth, breadth, and accuracy of our platform;</w:t>
      </w:r>
    </w:p>
    <w:p>
      <w:pPr>
        <w:spacing w:after="0" w:line="158" w:lineRule="exact"/>
        <w:rPr>
          <w:rFonts w:ascii="Arial" w:cs="Arial" w:eastAsia="Arial" w:hAnsi="Arial"/>
          <w:sz w:val="15"/>
          <w:szCs w:val="15"/>
          <w:color w:val="auto"/>
        </w:rPr>
      </w:pPr>
    </w:p>
    <w:p>
      <w:pPr>
        <w:ind w:left="560" w:hanging="282"/>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fail to protect and maintain our brand, which could impair our ability to attract and retain customers;</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not achieve and maintain effective internal controls over financial reporting, which has impaired and could continue to impair our ability to produce timely and accurate financial statements;</w:t>
      </w:r>
    </w:p>
    <w:p>
      <w:pPr>
        <w:spacing w:after="0" w:line="109"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be unable to successfully integrate acquired businesses, services, databases, and technologies into our operations, which could have an adverse effect on our business;</w:t>
      </w:r>
    </w:p>
    <w:p>
      <w:pPr>
        <w:spacing w:after="0" w:line="109" w:lineRule="exact"/>
        <w:rPr>
          <w:rFonts w:ascii="Arial" w:cs="Arial" w:eastAsia="Arial" w:hAnsi="Arial"/>
          <w:sz w:val="16"/>
          <w:szCs w:val="16"/>
          <w:color w:val="auto"/>
        </w:rPr>
      </w:pPr>
    </w:p>
    <w:p>
      <w:pPr>
        <w:jc w:val="both"/>
        <w:ind w:left="560" w:hanging="282"/>
        <w:spacing w:after="0" w:line="257"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substantial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18" w:lineRule="exact"/>
        <w:rPr>
          <w:rFonts w:ascii="Arial" w:cs="Arial" w:eastAsia="Arial" w:hAnsi="Arial"/>
          <w:sz w:val="16"/>
          <w:szCs w:val="16"/>
          <w:color w:val="auto"/>
        </w:rPr>
      </w:pPr>
    </w:p>
    <w:p>
      <w:pPr>
        <w:ind w:left="560" w:hanging="282"/>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parties to our stockholders agreement control us and their interests may conflict with ours or yours in the future;</w:t>
      </w:r>
    </w:p>
    <w:p>
      <w:pPr>
        <w:spacing w:after="0" w:line="147" w:lineRule="exact"/>
        <w:rPr>
          <w:rFonts w:ascii="Arial" w:cs="Arial" w:eastAsia="Arial" w:hAnsi="Arial"/>
          <w:sz w:val="16"/>
          <w:szCs w:val="16"/>
          <w:color w:val="auto"/>
        </w:rPr>
      </w:pPr>
    </w:p>
    <w:p>
      <w:pPr>
        <w:ind w:left="560" w:hanging="282"/>
        <w:spacing w:after="0" w:line="340" w:lineRule="auto"/>
        <w:tabs>
          <w:tab w:leader="none" w:pos="5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are a “controlled company” within the meaning of the Nasdaq rules and, as a result, we qualify for exemptions from certain corporate governance requirements, as a result of which our stockholders will not have the same protections afforded to stockholders of companies that are subject to such requirements; and</w:t>
      </w:r>
    </w:p>
    <w:p>
      <w:pPr>
        <w:spacing w:after="0" w:line="64" w:lineRule="exact"/>
        <w:rPr>
          <w:rFonts w:ascii="Arial" w:cs="Arial" w:eastAsia="Arial" w:hAnsi="Arial"/>
          <w:sz w:val="14"/>
          <w:szCs w:val="14"/>
          <w:color w:val="auto"/>
        </w:rPr>
      </w:pPr>
    </w:p>
    <w:p>
      <w:pPr>
        <w:ind w:left="560" w:hanging="282"/>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factors described under “Risk Factors” included herein and “Risk Factors” in our Annual Report incorporated by reference herein.</w:t>
      </w:r>
    </w:p>
    <w:p>
      <w:pPr>
        <w:spacing w:after="0" w:line="147"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4"/>
          <w:szCs w:val="14"/>
          <w:color w:val="auto"/>
        </w:rPr>
        <w:t>These factors should not be construed as exhaustive and should be read in conjunction with the other cautionary statements that are described in the sections titled “Risk Factors” and “Management’s Discussion and Analysis of Financial Condition and Results of Operation” in our Annual Report, as such factors may be updated from time to time in our periodic filings with the SEC (which documents are incorporated by reference herein), as well as the other information contained or incorporated by reference in this prospectus or in any prospectus supplement hereto.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00"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Any forward-looking statement made by us in this prospectus speaks only as of the date of this prospectus.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20" w:top="1262"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MARKET AND INDUSTRY DATA</w:t>
      </w:r>
    </w:p>
    <w:p>
      <w:pPr>
        <w:spacing w:after="0" w:line="151" w:lineRule="exact"/>
        <w:rPr>
          <w:sz w:val="20"/>
          <w:szCs w:val="20"/>
          <w:color w:val="auto"/>
        </w:rPr>
      </w:pPr>
    </w:p>
    <w:p>
      <w:pPr>
        <w:jc w:val="both"/>
        <w:ind w:right="20" w:firstLine="284"/>
        <w:spacing w:after="0" w:line="311" w:lineRule="auto"/>
        <w:rPr>
          <w:sz w:val="20"/>
          <w:szCs w:val="20"/>
          <w:color w:val="auto"/>
        </w:rPr>
      </w:pPr>
      <w:r>
        <w:rPr>
          <w:rFonts w:ascii="Arial" w:cs="Arial" w:eastAsia="Arial" w:hAnsi="Arial"/>
          <w:sz w:val="14"/>
          <w:szCs w:val="14"/>
          <w:color w:val="auto"/>
        </w:rPr>
        <w:t>This prospectus includes market and industry data and forecasts that we have derived from independent consultant reports, publicly available information, various industry publications, other published industry sources,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84" w:lineRule="exact"/>
        <w:rPr>
          <w:sz w:val="20"/>
          <w:szCs w:val="20"/>
          <w:color w:val="auto"/>
        </w:rPr>
      </w:pPr>
    </w:p>
    <w:p>
      <w:pPr>
        <w:jc w:val="both"/>
        <w:ind w:firstLine="284"/>
        <w:spacing w:after="0" w:line="287" w:lineRule="auto"/>
        <w:rPr>
          <w:sz w:val="20"/>
          <w:szCs w:val="20"/>
          <w:color w:val="auto"/>
        </w:rPr>
      </w:pPr>
      <w:r>
        <w:rPr>
          <w:rFonts w:ascii="Arial" w:cs="Arial" w:eastAsia="Arial" w:hAnsi="Arial"/>
          <w:sz w:val="14"/>
          <w:szCs w:val="14"/>
          <w:color w:val="auto"/>
        </w:rPr>
        <w:t>Although we believe that these third-party sources are reliable, we do not guarantee the accuracy or completeness of this information, and we have not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or incorporated by reference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02" w:lineRule="exact"/>
        <w:rPr>
          <w:sz w:val="20"/>
          <w:szCs w:val="20"/>
          <w:color w:val="auto"/>
        </w:rPr>
      </w:pPr>
    </w:p>
    <w:p>
      <w:pPr>
        <w:jc w:val="both"/>
        <w:ind w:right="20" w:firstLine="284"/>
        <w:spacing w:after="0" w:line="340" w:lineRule="auto"/>
        <w:rPr>
          <w:sz w:val="20"/>
          <w:szCs w:val="20"/>
          <w:color w:val="auto"/>
        </w:rPr>
      </w:pPr>
      <w:r>
        <w:rPr>
          <w:rFonts w:ascii="Arial" w:cs="Arial" w:eastAsia="Arial" w:hAnsi="Arial"/>
          <w:sz w:val="14"/>
          <w:szCs w:val="14"/>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258" w:right="319" w:bottom="1440" w:gutter="0" w:footer="0" w:header="0"/>
        </w:sectPr>
      </w:pPr>
    </w:p>
    <w:bookmarkStart w:id="48" w:name="page49"/>
    <w:bookmarkEnd w:id="48"/>
    <w:p>
      <w:pPr>
        <w:ind w:left="4620"/>
        <w:spacing w:after="0"/>
        <w:rPr>
          <w:sz w:val="20"/>
          <w:szCs w:val="20"/>
          <w:color w:val="auto"/>
        </w:rPr>
      </w:pPr>
      <w:r>
        <w:rPr>
          <w:rFonts w:ascii="Arial" w:cs="Arial" w:eastAsia="Arial" w:hAnsi="Arial"/>
          <w:sz w:val="16"/>
          <w:szCs w:val="16"/>
          <w:b w:val="1"/>
          <w:bCs w:val="1"/>
          <w:color w:val="auto"/>
        </w:rPr>
        <w:t>USE OF PROCEEDS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We will not receive any cash proceeds from the sale of any shares of our Class A common stock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859"/>
          </w:cols>
          <w:pgMar w:left="600" w:top="1258"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SELLING STOCKHOLDERS</w:t>
      </w:r>
    </w:p>
    <w:p>
      <w:pPr>
        <w:spacing w:after="0" w:line="151" w:lineRule="exact"/>
        <w:rPr>
          <w:sz w:val="20"/>
          <w:szCs w:val="20"/>
          <w:color w:val="auto"/>
        </w:rPr>
      </w:pPr>
    </w:p>
    <w:p>
      <w:pPr>
        <w:ind w:firstLine="284"/>
        <w:spacing w:after="0" w:line="268" w:lineRule="auto"/>
        <w:rPr>
          <w:sz w:val="20"/>
          <w:szCs w:val="20"/>
          <w:color w:val="auto"/>
        </w:rPr>
      </w:pPr>
      <w:r>
        <w:rPr>
          <w:rFonts w:ascii="Arial" w:cs="Arial" w:eastAsia="Arial" w:hAnsi="Arial"/>
          <w:sz w:val="16"/>
          <w:szCs w:val="16"/>
          <w:color w:val="auto"/>
        </w:rPr>
        <w:t>Information about selling stockholders will be set forth in a prospectus supplement, in a post-effective amendment or in filings we will make with the SEC that are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320" w:top="1258"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DESCRIPTION OF CAPITAL STOCK</w:t>
      </w:r>
    </w:p>
    <w:p>
      <w:pPr>
        <w:spacing w:after="0" w:line="151"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of which is filed as an exhibit to the registration statement of which this prospectus forms a part. Under “Description of Capital Stock,” “we,” “us,” “our,” the “Company” and “our Company” refer to ZoomInfo Technologies Inc. and not to any of its subsidiaries.</w:t>
      </w:r>
    </w:p>
    <w:p>
      <w:pPr>
        <w:spacing w:after="0" w:line="119"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Our purpose is to engage in any lawful act or activity for which corporations may be organized under the DGCL. 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have been issued or are currently outstanding. Unless our board of directors determines otherwise, we will issue all shares of our capital stock in uncertificated form.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51" w:lineRule="exact"/>
        <w:rPr>
          <w:sz w:val="20"/>
          <w:szCs w:val="20"/>
          <w:color w:val="auto"/>
        </w:rPr>
      </w:pPr>
    </w:p>
    <w:p>
      <w:pPr>
        <w:jc w:val="both"/>
        <w:ind w:firstLine="284"/>
        <w:spacing w:after="0" w:line="287" w:lineRule="auto"/>
        <w:rPr>
          <w:sz w:val="20"/>
          <w:szCs w:val="20"/>
          <w:color w:val="auto"/>
        </w:rPr>
      </w:pPr>
      <w:r>
        <w:rPr>
          <w:rFonts w:ascii="Arial" w:cs="Arial" w:eastAsia="Arial" w:hAnsi="Arial"/>
          <w:sz w:val="14"/>
          <w:szCs w:val="14"/>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Stock</w:t>
      </w:r>
    </w:p>
    <w:p>
      <w:pPr>
        <w:spacing w:after="0" w:line="147" w:lineRule="exact"/>
        <w:rPr>
          <w:sz w:val="20"/>
          <w:szCs w:val="20"/>
          <w:color w:val="auto"/>
        </w:rPr>
      </w:pPr>
    </w:p>
    <w:p>
      <w:pPr>
        <w:jc w:val="both"/>
        <w:ind w:right="20" w:firstLine="284"/>
        <w:spacing w:after="0" w:line="302" w:lineRule="auto"/>
        <w:rPr>
          <w:sz w:val="20"/>
          <w:szCs w:val="20"/>
          <w:color w:val="auto"/>
        </w:rPr>
      </w:pPr>
      <w:r>
        <w:rPr>
          <w:rFonts w:ascii="Arial" w:cs="Arial" w:eastAsia="Arial" w:hAnsi="Arial"/>
          <w:sz w:val="15"/>
          <w:szCs w:val="15"/>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86"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23"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320" w:top="1258" w:right="319" w:bottom="1440" w:gutter="0" w:footer="0" w:header="0"/>
        </w:sectPr>
      </w:pPr>
    </w:p>
    <w:bookmarkStart w:id="51" w:name="page52"/>
    <w:bookmarkEnd w:id="51"/>
    <w:p>
      <w:pPr>
        <w:jc w:val="both"/>
        <w:ind w:right="20" w:firstLine="284"/>
        <w:spacing w:after="0" w:line="252" w:lineRule="auto"/>
        <w:rPr>
          <w:sz w:val="20"/>
          <w:szCs w:val="20"/>
          <w:color w:val="auto"/>
        </w:rPr>
      </w:pPr>
      <w:r>
        <w:rPr>
          <w:rFonts w:ascii="Arial" w:cs="Arial" w:eastAsia="Arial" w:hAnsi="Arial"/>
          <w:sz w:val="16"/>
          <w:szCs w:val="16"/>
          <w:color w:val="auto"/>
        </w:rPr>
        <w:t>All shares of our Class A common stock that will be outstanding at the time of the completion of the offering to which this prospectus relates will be fully paid and non-assessable. 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 Common Stock</w:t>
      </w:r>
    </w:p>
    <w:p>
      <w:pPr>
        <w:spacing w:after="0" w:line="147"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“Transactions with Related Persons” from our Proxy Statement incorporated by reference herein.</w:t>
      </w:r>
    </w:p>
    <w:p>
      <w:pPr>
        <w:spacing w:after="0" w:line="125"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19"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C Common Stock</w:t>
      </w:r>
    </w:p>
    <w:p>
      <w:pPr>
        <w:spacing w:after="0" w:line="147"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109" w:lineRule="exact"/>
        <w:rPr>
          <w:sz w:val="20"/>
          <w:szCs w:val="20"/>
          <w:color w:val="auto"/>
        </w:rPr>
      </w:pPr>
    </w:p>
    <w:p>
      <w:pPr>
        <w:jc w:val="both"/>
        <w:ind w:firstLine="284"/>
        <w:spacing w:after="0" w:line="293" w:lineRule="auto"/>
        <w:rPr>
          <w:sz w:val="20"/>
          <w:szCs w:val="20"/>
          <w:color w:val="auto"/>
        </w:rPr>
      </w:pPr>
      <w:r>
        <w:rPr>
          <w:rFonts w:ascii="Arial" w:cs="Arial" w:eastAsia="Arial" w:hAnsi="Arial"/>
          <w:sz w:val="14"/>
          <w:szCs w:val="14"/>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98" w:lineRule="exact"/>
        <w:rPr>
          <w:sz w:val="20"/>
          <w:szCs w:val="20"/>
          <w:color w:val="auto"/>
        </w:rPr>
      </w:pPr>
    </w:p>
    <w:p>
      <w:pPr>
        <w:jc w:val="both"/>
        <w:ind w:firstLine="284"/>
        <w:spacing w:after="0" w:line="273" w:lineRule="auto"/>
        <w:rPr>
          <w:sz w:val="20"/>
          <w:szCs w:val="20"/>
          <w:color w:val="auto"/>
        </w:rPr>
      </w:pPr>
      <w:r>
        <w:rPr>
          <w:rFonts w:ascii="Arial" w:cs="Arial" w:eastAsia="Arial" w:hAnsi="Arial"/>
          <w:sz w:val="15"/>
          <w:szCs w:val="15"/>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20" w:top="1262" w:right="319" w:bottom="1440" w:gutter="0" w:footer="0" w:header="0"/>
        </w:sectPr>
      </w:pPr>
    </w:p>
    <w:bookmarkStart w:id="52" w:name="page53"/>
    <w:bookmarkEnd w:id="52"/>
    <w:p>
      <w:pPr>
        <w:spacing w:after="0"/>
        <w:rPr>
          <w:sz w:val="20"/>
          <w:szCs w:val="20"/>
          <w:color w:val="auto"/>
        </w:rPr>
      </w:pPr>
      <w:r>
        <w:rPr>
          <w:rFonts w:ascii="Arial" w:cs="Arial" w:eastAsia="Arial" w:hAnsi="Arial"/>
          <w:sz w:val="15"/>
          <w:szCs w:val="15"/>
          <w:color w:val="auto"/>
        </w:rPr>
        <w:t>common stock is less than 5% of our outstanding shares of common stock. Once converted into Class A common stock, Class C common stock will not be reissued.</w:t>
      </w:r>
    </w:p>
    <w:p>
      <w:pPr>
        <w:spacing w:after="0" w:line="159"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All outstanding shares of our Class C common stock are fully paid and non-assessable. 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51"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22" w:lineRule="exact"/>
        <w:rPr>
          <w:sz w:val="20"/>
          <w:szCs w:val="20"/>
          <w:color w:val="auto"/>
        </w:rPr>
      </w:pPr>
    </w:p>
    <w:p>
      <w:pPr>
        <w:ind w:left="560" w:hanging="282"/>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designation of the series;</w:t>
      </w:r>
    </w:p>
    <w:p>
      <w:pPr>
        <w:spacing w:after="0" w:line="147" w:lineRule="exact"/>
        <w:rPr>
          <w:rFonts w:ascii="Arial" w:cs="Arial" w:eastAsia="Arial" w:hAnsi="Arial"/>
          <w:sz w:val="16"/>
          <w:szCs w:val="16"/>
          <w:color w:val="auto"/>
        </w:rPr>
      </w:pPr>
    </w:p>
    <w:p>
      <w:pPr>
        <w:ind w:left="560" w:hanging="282"/>
        <w:spacing w:after="0" w:line="268" w:lineRule="auto"/>
        <w:tabs>
          <w:tab w:leader="none" w:pos="5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109" w:lineRule="exact"/>
        <w:rPr>
          <w:rFonts w:ascii="Arial" w:cs="Arial" w:eastAsia="Arial" w:hAnsi="Arial"/>
          <w:sz w:val="16"/>
          <w:szCs w:val="16"/>
          <w:color w:val="auto"/>
        </w:rPr>
      </w:pPr>
    </w:p>
    <w:p>
      <w:pPr>
        <w:ind w:left="560" w:hanging="282"/>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dividends, if any, will be cumulative or non-cumulative and the dividend rate of the series;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dates at which dividends, if any, will be payable on shares of such series;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redemption rights and price or prices, if any, for shares of the series;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amounts payable on shares of the series in the event of any voluntary or involuntary liquidation, dissolution, or winding-up of our affairs or other event;</w:t>
      </w:r>
    </w:p>
    <w:p>
      <w:pPr>
        <w:spacing w:after="0" w:line="158" w:lineRule="exact"/>
        <w:rPr>
          <w:rFonts w:ascii="Arial" w:cs="Arial" w:eastAsia="Arial" w:hAnsi="Arial"/>
          <w:sz w:val="15"/>
          <w:szCs w:val="15"/>
          <w:color w:val="auto"/>
        </w:rPr>
      </w:pPr>
    </w:p>
    <w:p>
      <w:pPr>
        <w:jc w:val="both"/>
        <w:ind w:left="560" w:right="20" w:hanging="282"/>
        <w:spacing w:after="0" w:line="257" w:lineRule="auto"/>
        <w:tabs>
          <w:tab w:leader="none" w:pos="5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8" w:lineRule="exact"/>
        <w:rPr>
          <w:rFonts w:ascii="Arial" w:cs="Arial" w:eastAsia="Arial" w:hAnsi="Arial"/>
          <w:sz w:val="16"/>
          <w:szCs w:val="16"/>
          <w:color w:val="auto"/>
        </w:rPr>
      </w:pPr>
    </w:p>
    <w:p>
      <w:pPr>
        <w:ind w:left="560" w:hanging="282"/>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restrictions on the issuance of shares of the same series or of any other class or series of our capital stock; and</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voting rights, if any, of the holders of the series.</w:t>
      </w:r>
    </w:p>
    <w:p>
      <w:pPr>
        <w:spacing w:after="0" w:line="147"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262"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Dividends</w:t>
      </w:r>
    </w:p>
    <w:p>
      <w:pPr>
        <w:spacing w:after="0" w:line="151" w:lineRule="exact"/>
        <w:rPr>
          <w:sz w:val="20"/>
          <w:szCs w:val="20"/>
          <w:color w:val="auto"/>
        </w:rPr>
      </w:pPr>
    </w:p>
    <w:p>
      <w:pPr>
        <w:jc w:val="both"/>
        <w:ind w:right="20" w:firstLine="284"/>
        <w:spacing w:after="0" w:line="271" w:lineRule="auto"/>
        <w:rPr>
          <w:sz w:val="20"/>
          <w:szCs w:val="20"/>
          <w:color w:val="auto"/>
        </w:rPr>
      </w:pPr>
      <w:r>
        <w:rPr>
          <w:rFonts w:ascii="Arial" w:cs="Arial" w:eastAsia="Arial" w:hAnsi="Arial"/>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Stockholder Meetings</w:t>
      </w:r>
    </w:p>
    <w:p>
      <w:pPr>
        <w:spacing w:after="0" w:line="151"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Our Amended and Restated Certificate of Incorporation and Amended and Restated Bylaws and Certain Provisions of Delaware Law</w:t>
      </w:r>
    </w:p>
    <w:p>
      <w:pPr>
        <w:spacing w:after="0" w:line="163" w:lineRule="exact"/>
        <w:rPr>
          <w:sz w:val="20"/>
          <w:szCs w:val="20"/>
          <w:color w:val="auto"/>
        </w:rPr>
      </w:pPr>
    </w:p>
    <w:p>
      <w:pPr>
        <w:jc w:val="both"/>
        <w:ind w:firstLine="284"/>
        <w:spacing w:after="0" w:line="271" w:lineRule="auto"/>
        <w:rPr>
          <w:sz w:val="20"/>
          <w:szCs w:val="20"/>
          <w:color w:val="auto"/>
        </w:rPr>
      </w:pPr>
      <w:r>
        <w:rPr>
          <w:rFonts w:ascii="Arial" w:cs="Arial" w:eastAsia="Arial" w:hAnsi="Arial"/>
          <w:sz w:val="15"/>
          <w:szCs w:val="15"/>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Authorized but Unissued Capital Stock</w:t>
      </w:r>
    </w:p>
    <w:p>
      <w:pPr>
        <w:spacing w:after="0" w:line="147"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Multi-Class Structure</w:t>
      </w:r>
    </w:p>
    <w:p>
      <w:pPr>
        <w:spacing w:after="0" w:line="147" w:lineRule="exact"/>
        <w:rPr>
          <w:sz w:val="20"/>
          <w:szCs w:val="20"/>
          <w:color w:val="auto"/>
        </w:rPr>
      </w:pPr>
    </w:p>
    <w:p>
      <w:pPr>
        <w:jc w:val="both"/>
        <w:ind w:firstLine="284"/>
        <w:spacing w:after="0" w:line="271" w:lineRule="auto"/>
        <w:rPr>
          <w:sz w:val="20"/>
          <w:szCs w:val="20"/>
          <w:color w:val="auto"/>
        </w:rPr>
      </w:pPr>
      <w:r>
        <w:rPr>
          <w:rFonts w:ascii="Arial" w:cs="Arial" w:eastAsia="Arial" w:hAnsi="Arial"/>
          <w:sz w:val="15"/>
          <w:szCs w:val="15"/>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 of Directors</w:t>
      </w:r>
    </w:p>
    <w:p>
      <w:pPr>
        <w:spacing w:after="0" w:line="147"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Our amended and restated certificate of incorporation provides that, subject to the rights of holders of any series of preferred stock, our board of directors is divided into three classes of directors, as nearly equal in number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320" w:top="1258" w:right="319" w:bottom="1440" w:gutter="0" w:footer="0" w:header="0"/>
        </w:sectPr>
      </w:pPr>
    </w:p>
    <w:bookmarkStart w:id="54" w:name="page55"/>
    <w:bookmarkEnd w:id="54"/>
    <w:p>
      <w:pPr>
        <w:jc w:val="both"/>
        <w:spacing w:after="0" w:line="252" w:lineRule="auto"/>
        <w:rPr>
          <w:sz w:val="20"/>
          <w:szCs w:val="20"/>
          <w:color w:val="auto"/>
        </w:rPr>
      </w:pPr>
      <w:r>
        <w:rPr>
          <w:rFonts w:ascii="Arial" w:cs="Arial" w:eastAsia="Arial" w:hAnsi="Arial"/>
          <w:sz w:val="16"/>
          <w:szCs w:val="16"/>
          <w:color w:val="auto"/>
        </w:rPr>
        <w:t>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47" w:lineRule="exact"/>
        <w:rPr>
          <w:sz w:val="20"/>
          <w:szCs w:val="20"/>
          <w:color w:val="auto"/>
        </w:rPr>
      </w:pPr>
    </w:p>
    <w:p>
      <w:pPr>
        <w:jc w:val="both"/>
        <w:ind w:firstLine="284"/>
        <w:spacing w:after="0" w:line="340" w:lineRule="auto"/>
        <w:rPr>
          <w:sz w:val="20"/>
          <w:szCs w:val="20"/>
          <w:color w:val="auto"/>
        </w:rPr>
      </w:pPr>
      <w:r>
        <w:rPr>
          <w:rFonts w:ascii="Arial" w:cs="Arial" w:eastAsia="Arial" w:hAnsi="Arial"/>
          <w:sz w:val="14"/>
          <w:szCs w:val="14"/>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64" w:lineRule="exact"/>
        <w:rPr>
          <w:sz w:val="20"/>
          <w:szCs w:val="20"/>
          <w:color w:val="auto"/>
        </w:rPr>
      </w:pPr>
    </w:p>
    <w:p>
      <w:pPr>
        <w:ind w:left="560" w:hanging="282"/>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prior to such time, our board of directors approved either the business combination or the transaction that resulted in the stockholder becoming an interested stockholder;</w:t>
      </w:r>
    </w:p>
    <w:p>
      <w:pPr>
        <w:spacing w:after="0" w:line="170" w:lineRule="exact"/>
        <w:rPr>
          <w:rFonts w:ascii="Arial" w:cs="Arial" w:eastAsia="Arial" w:hAnsi="Arial"/>
          <w:sz w:val="14"/>
          <w:szCs w:val="14"/>
          <w:color w:val="auto"/>
        </w:rPr>
      </w:pPr>
    </w:p>
    <w:p>
      <w:pPr>
        <w:ind w:left="560" w:right="20" w:hanging="282"/>
        <w:spacing w:after="0" w:line="268"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1" w:lineRule="exact"/>
        <w:rPr>
          <w:rFonts w:ascii="Arial" w:cs="Arial" w:eastAsia="Arial" w:hAnsi="Arial"/>
          <w:sz w:val="16"/>
          <w:szCs w:val="16"/>
          <w:color w:val="auto"/>
        </w:rPr>
      </w:pPr>
    </w:p>
    <w:p>
      <w:pPr>
        <w:ind w:left="560" w:right="20" w:hanging="282"/>
        <w:spacing w:after="0" w:line="304" w:lineRule="auto"/>
        <w:tabs>
          <w:tab w:leader="none" w:pos="5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82" w:lineRule="exact"/>
        <w:rPr>
          <w:sz w:val="20"/>
          <w:szCs w:val="20"/>
          <w:color w:val="auto"/>
        </w:rPr>
      </w:pPr>
    </w:p>
    <w:p>
      <w:pPr>
        <w:jc w:val="both"/>
        <w:ind w:right="20" w:firstLine="284"/>
        <w:spacing w:after="0" w:line="282" w:lineRule="auto"/>
        <w:rPr>
          <w:sz w:val="20"/>
          <w:szCs w:val="20"/>
          <w:color w:val="auto"/>
        </w:rPr>
      </w:pPr>
      <w:r>
        <w:rPr>
          <w:rFonts w:ascii="Arial" w:cs="Arial" w:eastAsia="Arial" w:hAnsi="Arial"/>
          <w:sz w:val="15"/>
          <w:szCs w:val="15"/>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02"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22"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 Vacancies and Newly Created Directorships</w:t>
      </w:r>
    </w:p>
    <w:p>
      <w:pPr>
        <w:spacing w:after="0" w:line="147" w:lineRule="exact"/>
        <w:rPr>
          <w:sz w:val="20"/>
          <w:szCs w:val="20"/>
          <w:color w:val="auto"/>
        </w:rPr>
      </w:pPr>
    </w:p>
    <w:p>
      <w:pPr>
        <w:jc w:val="both"/>
        <w:ind w:right="20" w:firstLine="284"/>
        <w:spacing w:after="0" w:line="269" w:lineRule="auto"/>
        <w:rPr>
          <w:sz w:val="20"/>
          <w:szCs w:val="20"/>
          <w:color w:val="auto"/>
        </w:rPr>
      </w:pPr>
      <w:r>
        <w:rPr>
          <w:rFonts w:ascii="Arial" w:cs="Arial" w:eastAsia="Arial" w:hAnsi="Arial"/>
          <w:sz w:val="15"/>
          <w:szCs w:val="15"/>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0"/>
          </w:cols>
          <w:pgMar w:left="320" w:top="1262" w:right="31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5"/>
          <w:szCs w:val="15"/>
          <w:color w:val="auto"/>
        </w:rPr>
        <w:t>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147"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Stockholder Meetings</w:t>
      </w:r>
    </w:p>
    <w:p>
      <w:pPr>
        <w:spacing w:after="0" w:line="147" w:lineRule="exact"/>
        <w:rPr>
          <w:sz w:val="20"/>
          <w:szCs w:val="20"/>
          <w:color w:val="auto"/>
        </w:rPr>
      </w:pPr>
    </w:p>
    <w:p>
      <w:pPr>
        <w:jc w:val="both"/>
        <w:ind w:firstLine="284"/>
        <w:spacing w:after="0" w:line="296" w:lineRule="auto"/>
        <w:rPr>
          <w:sz w:val="20"/>
          <w:szCs w:val="20"/>
          <w:color w:val="auto"/>
        </w:rPr>
      </w:pPr>
      <w:r>
        <w:rPr>
          <w:rFonts w:ascii="Arial" w:cs="Arial" w:eastAsia="Arial" w:hAnsi="Arial"/>
          <w:sz w:val="14"/>
          <w:szCs w:val="14"/>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 Nominations and Stockholder Proposals</w:t>
      </w:r>
    </w:p>
    <w:p>
      <w:pPr>
        <w:spacing w:after="0" w:line="147"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5"/>
          <w:szCs w:val="15"/>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by Written Consent</w:t>
      </w:r>
    </w:p>
    <w:p>
      <w:pPr>
        <w:spacing w:after="0" w:line="147"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262" w:right="31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Supermajority Provisions</w:t>
      </w:r>
    </w:p>
    <w:p>
      <w:pPr>
        <w:spacing w:after="0" w:line="147" w:lineRule="exact"/>
        <w:rPr>
          <w:sz w:val="20"/>
          <w:szCs w:val="20"/>
          <w:color w:val="auto"/>
        </w:rPr>
      </w:pPr>
    </w:p>
    <w:p>
      <w:pPr>
        <w:jc w:val="both"/>
        <w:ind w:firstLine="284"/>
        <w:spacing w:after="0" w:line="303"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72" w:lineRule="exact"/>
        <w:rPr>
          <w:sz w:val="20"/>
          <w:szCs w:val="20"/>
          <w:color w:val="auto"/>
        </w:rPr>
      </w:pPr>
    </w:p>
    <w:p>
      <w:pPr>
        <w:jc w:val="both"/>
        <w:ind w:firstLine="284"/>
        <w:spacing w:after="0" w:line="303" w:lineRule="auto"/>
        <w:rPr>
          <w:sz w:val="20"/>
          <w:szCs w:val="20"/>
          <w:color w:val="auto"/>
        </w:rPr>
      </w:pPr>
      <w:r>
        <w:rPr>
          <w:rFonts w:ascii="Arial" w:cs="Arial" w:eastAsia="Arial" w:hAnsi="Arial"/>
          <w:sz w:val="14"/>
          <w:szCs w:val="14"/>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44" w:lineRule="exact"/>
        <w:rPr>
          <w:sz w:val="20"/>
          <w:szCs w:val="20"/>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 requiring a 66⅔% supermajority vote for stockholders to amend our amended and restated bylaws;</w:t>
      </w:r>
    </w:p>
    <w:p>
      <w:pPr>
        <w:spacing w:after="0" w:line="174"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providing for a classified board of directors (the election and term of our directors);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resignation and removal of directors;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competition and corporate opportunities;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entering into business combinations with interested stockholders;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stockholder action by written consent;</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calling special meetings of stockholders;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regarding filling vacancies on our board of directors and newly created directorships;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provisions eliminating monetary damages for breaches of fiduciary duty by a director;</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provision regarding forum selection; and</w:t>
      </w:r>
    </w:p>
    <w:p>
      <w:pPr>
        <w:spacing w:after="0" w:line="119"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amendment provision requiring that the above provisions be amended only with a 66⅔% supermajority vote.</w:t>
      </w:r>
    </w:p>
    <w:p>
      <w:pPr>
        <w:spacing w:after="0" w:line="175" w:lineRule="exact"/>
        <w:rPr>
          <w:sz w:val="20"/>
          <w:szCs w:val="20"/>
          <w:color w:val="auto"/>
        </w:rPr>
      </w:pPr>
    </w:p>
    <w:p>
      <w:pPr>
        <w:jc w:val="both"/>
        <w:ind w:firstLine="284"/>
        <w:spacing w:after="0" w:line="311" w:lineRule="auto"/>
        <w:rPr>
          <w:sz w:val="20"/>
          <w:szCs w:val="20"/>
          <w:color w:val="auto"/>
        </w:rPr>
      </w:pPr>
      <w:r>
        <w:rPr>
          <w:rFonts w:ascii="Arial" w:cs="Arial" w:eastAsia="Arial" w:hAnsi="Arial"/>
          <w:sz w:val="14"/>
          <w:szCs w:val="14"/>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4" w:lineRule="exact"/>
        <w:rPr>
          <w:sz w:val="20"/>
          <w:szCs w:val="20"/>
          <w:color w:val="auto"/>
        </w:rPr>
      </w:pPr>
    </w:p>
    <w:p>
      <w:pPr>
        <w:jc w:val="both"/>
        <w:ind w:firstLine="284"/>
        <w:spacing w:after="0" w:line="273" w:lineRule="auto"/>
        <w:rPr>
          <w:sz w:val="20"/>
          <w:szCs w:val="20"/>
          <w:color w:val="auto"/>
        </w:rPr>
      </w:pPr>
      <w:r>
        <w:rPr>
          <w:rFonts w:ascii="Arial" w:cs="Arial" w:eastAsia="Arial" w:hAnsi="Arial"/>
          <w:sz w:val="15"/>
          <w:szCs w:val="15"/>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320" w:top="1262" w:right="319" w:bottom="1440" w:gutter="0" w:footer="0" w:header="0"/>
        </w:sectPr>
      </w:pPr>
    </w:p>
    <w:bookmarkStart w:id="57" w:name="page58"/>
    <w:bookmarkEnd w:id="57"/>
    <w:p>
      <w:pPr>
        <w:jc w:val="both"/>
        <w:ind w:right="20"/>
        <w:spacing w:after="0" w:line="268" w:lineRule="auto"/>
        <w:rPr>
          <w:sz w:val="20"/>
          <w:szCs w:val="20"/>
          <w:color w:val="auto"/>
        </w:rPr>
      </w:pPr>
      <w:r>
        <w:rPr>
          <w:rFonts w:ascii="Arial" w:cs="Arial" w:eastAsia="Arial" w:hAnsi="Arial"/>
          <w:sz w:val="16"/>
          <w:szCs w:val="16"/>
          <w:color w:val="auto"/>
        </w:rPr>
        <w:t>fluctuations in the market price of our shares that could result from actual or rumored takeover attempts. Such provisions may also have the effect of preventing changes in management.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Dissenters’ Rights of Appraisal and Payment</w:t>
      </w:r>
    </w:p>
    <w:p>
      <w:pPr>
        <w:spacing w:after="0" w:line="151"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Derivative Actions</w:t>
      </w:r>
    </w:p>
    <w:p>
      <w:pPr>
        <w:spacing w:after="0" w:line="151"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Forum</w:t>
      </w:r>
    </w:p>
    <w:p>
      <w:pPr>
        <w:spacing w:after="0" w:line="151"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4"/>
          <w:szCs w:val="14"/>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Conflicts of Interest</w:t>
      </w:r>
    </w:p>
    <w:p>
      <w:pPr>
        <w:spacing w:after="0" w:line="151" w:lineRule="exact"/>
        <w:rPr>
          <w:sz w:val="20"/>
          <w:szCs w:val="20"/>
          <w:color w:val="auto"/>
        </w:rPr>
      </w:pPr>
    </w:p>
    <w:p>
      <w:pPr>
        <w:jc w:val="both"/>
        <w:ind w:firstLine="284"/>
        <w:spacing w:after="0" w:line="266" w:lineRule="auto"/>
        <w:rPr>
          <w:sz w:val="20"/>
          <w:szCs w:val="20"/>
          <w:color w:val="auto"/>
        </w:rPr>
      </w:pPr>
      <w:r>
        <w:rPr>
          <w:rFonts w:ascii="Arial" w:cs="Arial" w:eastAsia="Arial" w:hAnsi="Arial"/>
          <w:sz w:val="15"/>
          <w:szCs w:val="15"/>
          <w:color w:val="auto"/>
        </w:rPr>
        <w:t>Delaware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has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262" w:right="31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6"/>
          <w:szCs w:val="16"/>
          <w:color w:val="auto"/>
        </w:rPr>
        <w:t>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Liability and Indemnification of Officers and Directors</w:t>
      </w:r>
    </w:p>
    <w:p>
      <w:pPr>
        <w:spacing w:after="0" w:line="151" w:lineRule="exact"/>
        <w:rPr>
          <w:sz w:val="20"/>
          <w:szCs w:val="20"/>
          <w:color w:val="auto"/>
        </w:rPr>
      </w:pPr>
    </w:p>
    <w:p>
      <w:pPr>
        <w:jc w:val="both"/>
        <w:ind w:firstLine="284"/>
        <w:spacing w:after="0" w:line="269" w:lineRule="auto"/>
        <w:rPr>
          <w:sz w:val="20"/>
          <w:szCs w:val="20"/>
          <w:color w:val="auto"/>
        </w:rPr>
      </w:pPr>
      <w:r>
        <w:rPr>
          <w:rFonts w:ascii="Arial" w:cs="Arial" w:eastAsia="Arial" w:hAnsi="Arial"/>
          <w:sz w:val="15"/>
          <w:szCs w:val="15"/>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13" w:lineRule="exact"/>
        <w:rPr>
          <w:sz w:val="20"/>
          <w:szCs w:val="20"/>
          <w:color w:val="auto"/>
        </w:rPr>
      </w:pPr>
    </w:p>
    <w:p>
      <w:pPr>
        <w:jc w:val="both"/>
        <w:ind w:firstLine="284"/>
        <w:spacing w:after="0" w:line="311" w:lineRule="auto"/>
        <w:rPr>
          <w:sz w:val="20"/>
          <w:szCs w:val="20"/>
          <w:color w:val="auto"/>
        </w:rPr>
      </w:pPr>
      <w:r>
        <w:rPr>
          <w:rFonts w:ascii="Arial" w:cs="Arial" w:eastAsia="Arial" w:hAnsi="Arial"/>
          <w:sz w:val="14"/>
          <w:szCs w:val="14"/>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84"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is currently no pending material litigation or proceeding involving any of our directors, officers or employees for which indemnification is sought.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transfer agent and registrar for shares of our Class A common stock is Equiniti Trust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51"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Our Class A common stock is listed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1262" w:right="319" w:bottom="1440" w:gutter="0" w:footer="0" w:header="0"/>
        </w:sectPr>
      </w:pPr>
    </w:p>
    <w:bookmarkStart w:id="59" w:name="page60"/>
    <w:bookmarkEnd w:id="59"/>
    <w:p>
      <w:pPr>
        <w:ind w:left="4680"/>
        <w:spacing w:after="0"/>
        <w:rPr>
          <w:sz w:val="20"/>
          <w:szCs w:val="20"/>
          <w:color w:val="auto"/>
        </w:rPr>
      </w:pPr>
      <w:r>
        <w:rPr>
          <w:rFonts w:ascii="Arial" w:cs="Arial" w:eastAsia="Arial" w:hAnsi="Arial"/>
          <w:sz w:val="16"/>
          <w:szCs w:val="16"/>
          <w:b w:val="1"/>
          <w:bCs w:val="1"/>
          <w:color w:val="auto"/>
        </w:rPr>
        <w:t>PLAN OF DISTRIBUTION</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selling stockholders may sell the shares of our Class A common stock covered by this prospectus in any of the following ways (or in any combination):</w:t>
      </w:r>
    </w:p>
    <w:p>
      <w:pPr>
        <w:spacing w:after="0" w:line="147" w:lineRule="exact"/>
        <w:rPr>
          <w:sz w:val="20"/>
          <w:szCs w:val="20"/>
          <w:color w:val="auto"/>
        </w:rPr>
      </w:pPr>
    </w:p>
    <w:p>
      <w:pPr>
        <w:ind w:left="1120" w:hanging="274"/>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or through underwriters, brokers or dealers (acting as agent or principal);</w:t>
      </w:r>
    </w:p>
    <w:p>
      <w:pPr>
        <w:spacing w:after="0" w:line="147" w:lineRule="exact"/>
        <w:rPr>
          <w:rFonts w:ascii="Arial" w:cs="Arial" w:eastAsia="Arial" w:hAnsi="Arial"/>
          <w:sz w:val="16"/>
          <w:szCs w:val="16"/>
          <w:color w:val="auto"/>
        </w:rPr>
      </w:pPr>
    </w:p>
    <w:p>
      <w:pPr>
        <w:ind w:left="560" w:firstLine="286"/>
        <w:spacing w:after="0" w:line="268" w:lineRule="auto"/>
        <w:tabs>
          <w:tab w:leader="none" w:pos="112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109" w:lineRule="exact"/>
        <w:rPr>
          <w:rFonts w:ascii="Arial" w:cs="Arial" w:eastAsia="Arial" w:hAnsi="Arial"/>
          <w:sz w:val="16"/>
          <w:szCs w:val="16"/>
          <w:color w:val="auto"/>
        </w:rPr>
      </w:pPr>
    </w:p>
    <w:p>
      <w:pPr>
        <w:ind w:left="1120" w:hanging="274"/>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directly to one or more purchasers, including through a specific bidding or auction process or otherwise;</w:t>
      </w:r>
    </w:p>
    <w:p>
      <w:pPr>
        <w:spacing w:after="0" w:line="147" w:lineRule="exact"/>
        <w:rPr>
          <w:rFonts w:ascii="Arial" w:cs="Arial" w:eastAsia="Arial" w:hAnsi="Arial"/>
          <w:sz w:val="16"/>
          <w:szCs w:val="16"/>
          <w:color w:val="auto"/>
        </w:rPr>
      </w:pPr>
    </w:p>
    <w:p>
      <w:pPr>
        <w:ind w:left="1120" w:hanging="274"/>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directly to or through agents;</w:t>
      </w:r>
    </w:p>
    <w:p>
      <w:pPr>
        <w:spacing w:after="0" w:line="147" w:lineRule="exact"/>
        <w:rPr>
          <w:rFonts w:ascii="Arial" w:cs="Arial" w:eastAsia="Arial" w:hAnsi="Arial"/>
          <w:sz w:val="16"/>
          <w:szCs w:val="16"/>
          <w:color w:val="auto"/>
        </w:rPr>
      </w:pPr>
    </w:p>
    <w:p>
      <w:pPr>
        <w:ind w:left="1120" w:hanging="274"/>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“at the market offerings,” within the meaning of Rule 415(a)(4) of the Securities Act; or</w:t>
      </w:r>
    </w:p>
    <w:p>
      <w:pPr>
        <w:spacing w:after="0" w:line="147" w:lineRule="exact"/>
        <w:rPr>
          <w:rFonts w:ascii="Arial" w:cs="Arial" w:eastAsia="Arial" w:hAnsi="Arial"/>
          <w:sz w:val="16"/>
          <w:szCs w:val="16"/>
          <w:color w:val="auto"/>
        </w:rPr>
      </w:pPr>
    </w:p>
    <w:p>
      <w:pPr>
        <w:ind w:left="1120" w:hanging="274"/>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through a combination of any of these methods of sale.</w:t>
      </w:r>
    </w:p>
    <w:p>
      <w:pPr>
        <w:spacing w:after="0" w:line="147" w:lineRule="exact"/>
        <w:rPr>
          <w:sz w:val="20"/>
          <w:szCs w:val="20"/>
          <w:color w:val="auto"/>
        </w:rPr>
      </w:pPr>
    </w:p>
    <w:p>
      <w:pPr>
        <w:ind w:right="20" w:firstLine="284"/>
        <w:spacing w:after="0" w:line="268" w:lineRule="auto"/>
        <w:rPr>
          <w:sz w:val="20"/>
          <w:szCs w:val="20"/>
          <w:color w:val="auto"/>
        </w:rPr>
      </w:pPr>
      <w:r>
        <w:rPr>
          <w:rFonts w:ascii="Arial" w:cs="Arial" w:eastAsia="Arial" w:hAnsi="Arial"/>
          <w:sz w:val="16"/>
          <w:szCs w:val="16"/>
          <w:color w:val="auto"/>
        </w:rPr>
        <w:t>The distribution of securities may be effected from time to time in one or more transactions, including block transactions and transactions on Nasdaq or any other organized market where the securities may be traded.</w:t>
      </w:r>
    </w:p>
    <w:p>
      <w:pPr>
        <w:spacing w:after="0" w:line="109" w:lineRule="exact"/>
        <w:rPr>
          <w:sz w:val="20"/>
          <w:szCs w:val="20"/>
          <w:color w:val="auto"/>
        </w:rPr>
      </w:pPr>
    </w:p>
    <w:p>
      <w:pPr>
        <w:ind w:right="20" w:firstLine="284"/>
        <w:spacing w:after="0" w:line="268" w:lineRule="auto"/>
        <w:rPr>
          <w:sz w:val="20"/>
          <w:szCs w:val="20"/>
          <w:color w:val="auto"/>
        </w:rPr>
      </w:pPr>
      <w:r>
        <w:rPr>
          <w:rFonts w:ascii="Arial" w:cs="Arial" w:eastAsia="Arial" w:hAnsi="Arial"/>
          <w:sz w:val="16"/>
          <w:szCs w:val="16"/>
          <w:color w:val="auto"/>
        </w:rPr>
        <w:t>Each time that the selling stockholders sell shares of our Class A common stock covered by this prospectus, we will provide a prospectus supplement that will describe the method of distribution and set forth the terms and conditions of the offering of such shares, including:</w:t>
      </w:r>
    </w:p>
    <w:p>
      <w:pPr>
        <w:spacing w:after="0" w:line="109" w:lineRule="exact"/>
        <w:rPr>
          <w:sz w:val="20"/>
          <w:szCs w:val="20"/>
          <w:color w:val="auto"/>
        </w:rPr>
      </w:pPr>
    </w:p>
    <w:p>
      <w:pPr>
        <w:ind w:left="1120" w:hanging="274"/>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name or names of any underwriters, dealers, brokers or agents and the amounts of shares underwritten or purchased by each of them;</w:t>
      </w:r>
    </w:p>
    <w:p>
      <w:pPr>
        <w:spacing w:after="0" w:line="147" w:lineRule="exact"/>
        <w:rPr>
          <w:rFonts w:ascii="Arial" w:cs="Arial" w:eastAsia="Arial" w:hAnsi="Arial"/>
          <w:sz w:val="16"/>
          <w:szCs w:val="16"/>
          <w:color w:val="auto"/>
        </w:rPr>
      </w:pPr>
    </w:p>
    <w:p>
      <w:pPr>
        <w:ind w:left="560" w:right="20" w:firstLine="286"/>
        <w:spacing w:after="0" w:line="302" w:lineRule="auto"/>
        <w:tabs>
          <w:tab w:leader="none" w:pos="1124"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offering price of the shares and the proceeds to the selling stockholders, and any underwriting discounts, commissions, concessions or agency fees allowed or reallowed or paid to dealers, and other items constituting underwriters’, dealers’, brokers’ or agents’ compensation, as applicable;</w:t>
      </w:r>
    </w:p>
    <w:p>
      <w:pPr>
        <w:spacing w:after="0" w:line="86" w:lineRule="exact"/>
        <w:rPr>
          <w:rFonts w:ascii="Arial" w:cs="Arial" w:eastAsia="Arial" w:hAnsi="Arial"/>
          <w:sz w:val="15"/>
          <w:szCs w:val="15"/>
          <w:color w:val="auto"/>
        </w:rPr>
      </w:pPr>
    </w:p>
    <w:p>
      <w:pPr>
        <w:ind w:left="1120" w:hanging="274"/>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options under which underwriters may purchase additional shares from the selling stockholders; and</w:t>
      </w:r>
    </w:p>
    <w:p>
      <w:pPr>
        <w:spacing w:after="0" w:line="147" w:lineRule="exact"/>
        <w:rPr>
          <w:rFonts w:ascii="Arial" w:cs="Arial" w:eastAsia="Arial" w:hAnsi="Arial"/>
          <w:sz w:val="16"/>
          <w:szCs w:val="16"/>
          <w:color w:val="auto"/>
        </w:rPr>
      </w:pPr>
    </w:p>
    <w:p>
      <w:pPr>
        <w:ind w:left="1120" w:hanging="274"/>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securities exchange or market on which the shares may be listed or traded.</w:t>
      </w:r>
    </w:p>
    <w:p>
      <w:pPr>
        <w:spacing w:after="0" w:line="147"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Any offering price and any discounts, commissions, concessions or agency fees allowed or reallowed or paid to dealers may be changed from time to time. The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123" w:lineRule="exact"/>
        <w:rPr>
          <w:sz w:val="20"/>
          <w:szCs w:val="20"/>
          <w:color w:val="auto"/>
        </w:rPr>
      </w:pPr>
    </w:p>
    <w:p>
      <w:pPr>
        <w:jc w:val="both"/>
        <w:ind w:right="20" w:firstLine="284"/>
        <w:spacing w:after="0" w:line="302" w:lineRule="auto"/>
        <w:rPr>
          <w:sz w:val="20"/>
          <w:szCs w:val="20"/>
          <w:color w:val="auto"/>
        </w:rPr>
      </w:pPr>
      <w:r>
        <w:rPr>
          <w:rFonts w:ascii="Arial" w:cs="Arial" w:eastAsia="Arial" w:hAnsi="Arial"/>
          <w:sz w:val="15"/>
          <w:szCs w:val="15"/>
          <w:color w:val="auto"/>
        </w:rPr>
        <w:t>If the selling stockholders sell securities to a dealer acting as a principal, the dealer may resell such securities at varying prices to be determined by such dealer in its discretion at the time of resale without consulting with the selling stockholders and such resale prices may not be disclosed in the applicable prospectus supplement.</w:t>
      </w:r>
    </w:p>
    <w:p>
      <w:pPr>
        <w:spacing w:after="0" w:line="86"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The selling stockholders may distribute the shares of Class A common stock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119" w:lineRule="exact"/>
        <w:rPr>
          <w:sz w:val="20"/>
          <w:szCs w:val="20"/>
          <w:color w:val="auto"/>
        </w:rPr>
      </w:pPr>
    </w:p>
    <w:p>
      <w:pPr>
        <w:jc w:val="both"/>
        <w:ind w:right="20" w:firstLine="284"/>
        <w:spacing w:after="0" w:line="257" w:lineRule="auto"/>
        <w:rPr>
          <w:sz w:val="20"/>
          <w:szCs w:val="20"/>
          <w:color w:val="auto"/>
        </w:rPr>
      </w:pPr>
      <w:r>
        <w:rPr>
          <w:rFonts w:ascii="Arial" w:cs="Arial" w:eastAsia="Arial" w:hAnsi="Arial"/>
          <w:sz w:val="16"/>
          <w:szCs w:val="16"/>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0"/>
          </w:cols>
          <w:pgMar w:left="320" w:top="1258" w:right="31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4"/>
          <w:szCs w:val="14"/>
          <w:color w:val="auto"/>
        </w:rPr>
        <w:t>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 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The underwriter(s) may be granted an option, exercisable for a period of time after the date of the applicable prospectus supplement, to purchase additional shares from the selling stockholders. In connection with an underwritten offering, we, our directors and officers, and/or other holders of our capital stock may agree with the underwriter(s), subject to certain exceptions, not to dispose of or hedge any Class A common stock or securities convertible into or exchangeable for shares of Class A common stock for a period of time after such offering.</w:t>
      </w:r>
    </w:p>
    <w:p>
      <w:pPr>
        <w:spacing w:after="0" w:line="100"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6"/>
          <w:szCs w:val="16"/>
          <w:color w:val="auto"/>
        </w:rPr>
        <w:t>The selling stockholders may use underwriters with whom we have a material relationship. We will describe the nature of any such relationship in the prospectus supplement, naming the underwriter or underwriters.</w:t>
      </w:r>
    </w:p>
    <w:p>
      <w:pPr>
        <w:spacing w:after="0" w:line="109"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4"/>
          <w:szCs w:val="14"/>
          <w:color w:val="auto"/>
        </w:rPr>
        <w:t>The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The selling stockholders may engage in at-the-market offerings into an existing trading market in accordance with Rule 415(a)(4) under the Securities Act. The selling stockholders may authorize underwriters, dealers, brokers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dealers, brokers and agents that participate in the distribution of the shares of Class A common stock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100"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Offered shares of Class A common stock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123"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109"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5"/>
          <w:szCs w:val="15"/>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common stock is listed on the Nasdaq under the symbol “ZI”.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320" w:top="1262" w:right="319" w:bottom="1440" w:gutter="0" w:footer="0" w:header="0"/>
        </w:sectPr>
      </w:pPr>
    </w:p>
    <w:bookmarkStart w:id="61" w:name="page62"/>
    <w:bookmarkEnd w:id="61"/>
    <w:p>
      <w:pPr>
        <w:ind w:right="20" w:firstLine="284"/>
        <w:spacing w:after="0" w:line="268" w:lineRule="auto"/>
        <w:rPr>
          <w:sz w:val="20"/>
          <w:szCs w:val="20"/>
          <w:color w:val="auto"/>
        </w:rPr>
      </w:pPr>
      <w:r>
        <w:rPr>
          <w:rFonts w:ascii="Arial" w:cs="Arial" w:eastAsia="Arial" w:hAnsi="Arial"/>
          <w:sz w:val="16"/>
          <w:szCs w:val="16"/>
          <w:color w:val="auto"/>
        </w:rPr>
        <w:t>If at the time of any offering made under this prospectus a member of FINRA participating in the offering has a “conflict of interest” as defined in FINRA’s Rule 5121 (“Rule 5121”), that offering will be conducted in accordance with the relevant provisions of Rule 5121.</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can be no assurance that the selling stockholders will sell all or any of the shares of common stock offered by this prospectus.</w:t>
      </w:r>
    </w:p>
    <w:p>
      <w:pPr>
        <w:spacing w:after="0" w:line="147" w:lineRule="exact"/>
        <w:rPr>
          <w:sz w:val="20"/>
          <w:szCs w:val="20"/>
          <w:color w:val="auto"/>
        </w:rPr>
      </w:pPr>
    </w:p>
    <w:p>
      <w:pPr>
        <w:ind w:firstLine="284"/>
        <w:spacing w:after="0" w:line="268" w:lineRule="auto"/>
        <w:rPr>
          <w:sz w:val="20"/>
          <w:szCs w:val="20"/>
          <w:color w:val="auto"/>
        </w:rPr>
      </w:pPr>
      <w:r>
        <w:rPr>
          <w:rFonts w:ascii="Arial" w:cs="Arial" w:eastAsia="Arial" w:hAnsi="Arial"/>
          <w:sz w:val="16"/>
          <w:szCs w:val="16"/>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09" w:lineRule="exact"/>
        <w:rPr>
          <w:sz w:val="20"/>
          <w:szCs w:val="20"/>
          <w:color w:val="auto"/>
        </w:rPr>
      </w:pPr>
    </w:p>
    <w:p>
      <w:pPr>
        <w:ind w:firstLine="284"/>
        <w:spacing w:after="0" w:line="302" w:lineRule="auto"/>
        <w:rPr>
          <w:sz w:val="20"/>
          <w:szCs w:val="20"/>
          <w:color w:val="auto"/>
        </w:rPr>
      </w:pPr>
      <w:r>
        <w:rPr>
          <w:rFonts w:ascii="Arial" w:cs="Arial" w:eastAsia="Arial" w:hAnsi="Arial"/>
          <w:sz w:val="15"/>
          <w:szCs w:val="15"/>
          <w:color w:val="auto"/>
        </w:rPr>
        <w:t>Agents, dealers, brokers and underwriters may be entitled to indemnification by us and the selling stockholders, against certain civil liabilities, including liabilities under the Securities Act, or to contribution with respect to payments which the agents, dealers, brokers or underwriters may be required to make in respect thereof.</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specific terms of the lock-up provisions in respect of any given offering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1262" w:right="319" w:bottom="1440" w:gutter="0" w:footer="0" w:header="0"/>
        </w:sectPr>
      </w:pPr>
    </w:p>
    <w:bookmarkStart w:id="62" w:name="page63"/>
    <w:bookmarkEnd w:id="62"/>
    <w:p>
      <w:pPr>
        <w:ind w:left="4940"/>
        <w:spacing w:after="0"/>
        <w:rPr>
          <w:sz w:val="20"/>
          <w:szCs w:val="20"/>
          <w:color w:val="auto"/>
        </w:rPr>
      </w:pPr>
      <w:r>
        <w:rPr>
          <w:rFonts w:ascii="Arial" w:cs="Arial" w:eastAsia="Arial" w:hAnsi="Arial"/>
          <w:sz w:val="16"/>
          <w:szCs w:val="16"/>
          <w:b w:val="1"/>
          <w:bCs w:val="1"/>
          <w:color w:val="auto"/>
        </w:rPr>
        <w:t>LEGAL MATTERS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validity of the shares of Class A common stock will be passed upon for us by Simpson Thacher &amp; Bartlett LLP, New York, New York.</w:t>
      </w:r>
    </w:p>
    <w:p>
      <w:pPr>
        <w:spacing w:after="0" w:line="14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EXPERTS</w:t>
      </w:r>
    </w:p>
    <w:p>
      <w:pPr>
        <w:spacing w:after="0" w:line="151"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color w:val="auto"/>
        </w:rPr>
        <w:t xml:space="preserve">The consolidated financial statements of ZoomInfo Technologies Inc. as of December 31, 2020 and 2019, and for each of the years in the three-year period ended December 31, 2020, have been incorporated by reference herein in reliance upon the reports of KPMG LLP, independent registered public accounting firm, incorporated by reference herein, and upon the authority of said firm as experts in accounting and auditing. The audit report covering the December 31, 2020 financial statements refers to a change in the method of accounting for leases due to the adoption of Accounting Standards Codification Topic 842, </w:t>
      </w:r>
      <w:r>
        <w:rPr>
          <w:rFonts w:ascii="Arial" w:cs="Arial" w:eastAsia="Arial" w:hAnsi="Arial"/>
          <w:sz w:val="15"/>
          <w:szCs w:val="15"/>
          <w:i w:val="1"/>
          <w:iCs w:val="1"/>
          <w:color w:val="auto"/>
        </w:rPr>
        <w:t>Leas</w:t>
      </w:r>
      <w:r>
        <w:rPr>
          <w:rFonts w:ascii="Arial" w:cs="Arial" w:eastAsia="Arial" w:hAnsi="Arial"/>
          <w:sz w:val="15"/>
          <w:szCs w:val="15"/>
          <w:color w:val="auto"/>
        </w:rPr>
        <w:t>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151" w:lineRule="exact"/>
        <w:rPr>
          <w:sz w:val="20"/>
          <w:szCs w:val="20"/>
          <w:color w:val="auto"/>
        </w:rPr>
      </w:pPr>
    </w:p>
    <w:p>
      <w:pPr>
        <w:jc w:val="both"/>
        <w:ind w:firstLine="284"/>
        <w:spacing w:after="0" w:line="293" w:lineRule="auto"/>
        <w:rPr>
          <w:sz w:val="20"/>
          <w:szCs w:val="20"/>
          <w:color w:val="auto"/>
        </w:rPr>
      </w:pPr>
      <w:r>
        <w:rPr>
          <w:rFonts w:ascii="Arial" w:cs="Arial" w:eastAsia="Arial" w:hAnsi="Arial"/>
          <w:sz w:val="14"/>
          <w:szCs w:val="14"/>
          <w:color w:val="auto"/>
        </w:rPr>
        <w:t xml:space="preserve">We have filed with the SEC a registration statement on Form S-3 under the Securities Act with respect to the shares of Class A common stock to be sold pursuant to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4"/>
          <w:szCs w:val="14"/>
          <w:i w:val="1"/>
          <w:iCs w:val="1"/>
          <w:color w:val="auto"/>
        </w:rPr>
        <w:t>http://www.sec.gov.</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xml:space="preserve">We maintain an internet site at </w:t>
      </w:r>
      <w:r>
        <w:rPr>
          <w:rFonts w:ascii="Arial" w:cs="Arial" w:eastAsia="Arial" w:hAnsi="Arial"/>
          <w:sz w:val="15"/>
          <w:szCs w:val="15"/>
          <w:i w:val="1"/>
          <w:iCs w:val="1"/>
          <w:color w:val="auto"/>
        </w:rPr>
        <w:t>http://www.zoominfo.com</w:t>
      </w:r>
      <w:r>
        <w:rPr>
          <w:rFonts w:ascii="Arial" w:cs="Arial" w:eastAsia="Arial" w:hAnsi="Arial"/>
          <w:sz w:val="15"/>
          <w:szCs w:val="15"/>
          <w:color w:val="auto"/>
        </w:rPr>
        <w:t>. The information on, or accessible from, our website is not part of this prospectus by reference or otherwise.</w:t>
      </w:r>
    </w:p>
    <w:p>
      <w:pPr>
        <w:spacing w:after="0" w:line="159"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 xml:space="preserve">We are subject to the informational requirements of the Exchange Act and are required to file reports and other information with the SEC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You may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151"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and information that we file in the future with the SEC will automatically update and supersede, as appropriate, this information. We incorporate by reference the documents listed below and all documents that we subsequently file with the SEC under Sections 13(a), 13(c), 14 or 15(d) of the Exchange Act prior to the termination of the offering of shares by means of this prospectus will also be incorporated by reference into this prospectus and deemed to be part of this prospectus, from their respective filing dates (in each case, other than any portions thereof, which under the Exchange Act, and applicable SEC rules, are not deemed “filed” under the Exchange Act):</w:t>
      </w:r>
    </w:p>
    <w:p>
      <w:pPr>
        <w:spacing w:after="0" w:line="125" w:lineRule="exact"/>
        <w:rPr>
          <w:sz w:val="20"/>
          <w:szCs w:val="20"/>
          <w:color w:val="auto"/>
        </w:rPr>
      </w:pPr>
    </w:p>
    <w:p>
      <w:pPr>
        <w:ind w:left="560" w:hanging="282"/>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our Annual Report on </w:t>
      </w:r>
      <w:hyperlink r:id="rId18">
        <w:r>
          <w:rPr>
            <w:rFonts w:ascii="Arial" w:cs="Arial" w:eastAsia="Arial" w:hAnsi="Arial"/>
            <w:sz w:val="16"/>
            <w:szCs w:val="16"/>
            <w:u w:val="single" w:color="auto"/>
            <w:color w:val="0000FF"/>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2020, filed on February 26, 2021;</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our Quarterly Reports on Form 10-Q for the quarterly periods ended March 31, 2021, filed on </w:t>
      </w:r>
      <w:hyperlink r:id="rId19">
        <w:r>
          <w:rPr>
            <w:rFonts w:ascii="Arial" w:cs="Arial" w:eastAsia="Arial" w:hAnsi="Arial"/>
            <w:sz w:val="16"/>
            <w:szCs w:val="16"/>
            <w:u w:val="single" w:color="auto"/>
            <w:color w:val="0000FF"/>
          </w:rPr>
          <w:t>May 3, 2021</w:t>
        </w:r>
      </w:hyperlink>
      <w:r>
        <w:rPr>
          <w:rFonts w:ascii="Arial" w:cs="Arial" w:eastAsia="Arial" w:hAnsi="Arial"/>
          <w:sz w:val="16"/>
          <w:szCs w:val="16"/>
          <w:color w:val="auto"/>
        </w:rPr>
        <w:t xml:space="preserve">, and June 30, 2021, filed on </w:t>
      </w:r>
      <w:hyperlink r:id="rId20">
        <w:r>
          <w:rPr>
            <w:rFonts w:ascii="Arial" w:cs="Arial" w:eastAsia="Arial" w:hAnsi="Arial"/>
            <w:sz w:val="16"/>
            <w:szCs w:val="16"/>
            <w:u w:val="single" w:color="auto"/>
            <w:color w:val="0000FF"/>
          </w:rPr>
          <w:t>August 2, 2021</w:t>
        </w:r>
      </w:hyperlink>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560" w:right="20" w:hanging="282"/>
        <w:spacing w:after="0" w:line="268" w:lineRule="auto"/>
        <w:tabs>
          <w:tab w:leader="none" w:pos="5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those portions of our definitive proxy statement on </w:t>
      </w:r>
      <w:hyperlink r:id="rId21">
        <w:r>
          <w:rPr>
            <w:rFonts w:ascii="Arial" w:cs="Arial" w:eastAsia="Arial" w:hAnsi="Arial"/>
            <w:sz w:val="16"/>
            <w:szCs w:val="16"/>
            <w:u w:val="single" w:color="auto"/>
            <w:color w:val="0000FF"/>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March 16, 2021, in connection with our 2021 annual meeting of stockholders that are incorporated by reference into our Annual Report Form 10-K for the fiscal year ended December 31,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1258" w:right="319" w:bottom="1440" w:gutter="0" w:footer="0" w:header="0"/>
        </w:sectPr>
      </w:pPr>
    </w:p>
    <w:bookmarkStart w:id="63" w:name="page64"/>
    <w:bookmarkEnd w:id="63"/>
    <w:p>
      <w:pPr>
        <w:ind w:left="560" w:hanging="282"/>
        <w:spacing w:after="0" w:line="268" w:lineRule="auto"/>
        <w:tabs>
          <w:tab w:leader="none" w:pos="556" w:val="left"/>
        </w:tabs>
        <w:numPr>
          <w:ilvl w:val="0"/>
          <w:numId w:val="37"/>
        </w:numPr>
        <w:rPr>
          <w:rFonts w:ascii="Arial" w:cs="Arial" w:eastAsia="Arial" w:hAnsi="Arial"/>
          <w:sz w:val="16"/>
          <w:szCs w:val="16"/>
          <w:color w:val="0000FF"/>
        </w:rPr>
      </w:pPr>
      <w:hyperlink r:id="rId22">
        <w:r>
          <w:rPr>
            <w:rFonts w:ascii="Arial" w:cs="Arial" w:eastAsia="Arial" w:hAnsi="Arial"/>
            <w:sz w:val="16"/>
            <w:szCs w:val="16"/>
            <w:color w:val="auto"/>
          </w:rPr>
          <w:t xml:space="preserve">our Current Reports on Form 8-K filed on </w:t>
        </w:r>
        <w:r>
          <w:rPr>
            <w:rFonts w:ascii="Arial" w:cs="Arial" w:eastAsia="Arial" w:hAnsi="Arial"/>
            <w:sz w:val="16"/>
            <w:szCs w:val="16"/>
            <w:u w:val="single" w:color="auto"/>
            <w:color w:val="0000FF"/>
          </w:rPr>
          <w:t>January 25,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February 2,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February 22,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April 28,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June 10,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June 30,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July 13, 2021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July 15,</w:t>
        </w:r>
      </w:hyperlink>
      <w:r>
        <w:rPr>
          <w:rFonts w:ascii="Arial" w:cs="Arial" w:eastAsia="Arial" w:hAnsi="Arial"/>
          <w:sz w:val="16"/>
          <w:szCs w:val="16"/>
          <w:color w:val="auto"/>
        </w:rPr>
        <w:t xml:space="preserve"> </w:t>
      </w:r>
      <w:hyperlink r:id="rId22">
        <w:r>
          <w:rPr>
            <w:rFonts w:ascii="Arial" w:cs="Arial" w:eastAsia="Arial" w:hAnsi="Arial"/>
            <w:sz w:val="16"/>
            <w:szCs w:val="16"/>
            <w:u w:val="single" w:color="auto"/>
            <w:color w:val="0000FF"/>
          </w:rPr>
          <w:t>2021</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hyperlink>
      <w:hyperlink r:id="rId23">
        <w:r>
          <w:rPr>
            <w:rFonts w:ascii="Arial" w:cs="Arial" w:eastAsia="Arial" w:hAnsi="Arial"/>
            <w:sz w:val="16"/>
            <w:szCs w:val="16"/>
            <w:u w:val="single" w:color="auto"/>
            <w:color w:val="0000FF"/>
          </w:rPr>
          <w:t>July 20, 2021</w:t>
        </w:r>
      </w:hyperlink>
      <w:hyperlink r:id="rId22">
        <w:r>
          <w:rPr>
            <w:rFonts w:ascii="Arial" w:cs="Arial" w:eastAsia="Arial" w:hAnsi="Arial"/>
            <w:sz w:val="16"/>
            <w:szCs w:val="16"/>
            <w:color w:val="000000"/>
          </w:rPr>
          <w:t>;</w:t>
        </w:r>
      </w:hyperlink>
    </w:p>
    <w:p>
      <w:pPr>
        <w:spacing w:after="0" w:line="109" w:lineRule="exact"/>
        <w:rPr>
          <w:rFonts w:ascii="Arial" w:cs="Arial" w:eastAsia="Arial" w:hAnsi="Arial"/>
          <w:sz w:val="16"/>
          <w:szCs w:val="16"/>
          <w:color w:val="0000FF"/>
        </w:rPr>
      </w:pPr>
    </w:p>
    <w:p>
      <w:pPr>
        <w:ind w:left="560" w:right="20" w:hanging="282"/>
        <w:spacing w:after="0" w:line="268"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24">
        <w:r>
          <w:rPr>
            <w:rFonts w:ascii="Arial" w:cs="Arial" w:eastAsia="Arial" w:hAnsi="Arial"/>
            <w:sz w:val="16"/>
            <w:szCs w:val="16"/>
            <w:u w:val="single" w:color="auto"/>
            <w:color w:val="0000FF"/>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June 3, 2020, including all amendments and reports filed for the purpose of updating such description.</w:t>
      </w:r>
    </w:p>
    <w:p>
      <w:pPr>
        <w:spacing w:after="0" w:line="109" w:lineRule="exact"/>
        <w:rPr>
          <w:rFonts w:ascii="Arial" w:cs="Arial" w:eastAsia="Arial" w:hAnsi="Arial"/>
          <w:sz w:val="16"/>
          <w:szCs w:val="16"/>
          <w:color w:val="0000FF"/>
        </w:rPr>
      </w:pPr>
    </w:p>
    <w:p>
      <w:pPr>
        <w:jc w:val="both"/>
        <w:ind w:firstLine="284"/>
        <w:spacing w:after="0" w:line="253" w:lineRule="auto"/>
        <w:rPr>
          <w:sz w:val="20"/>
          <w:szCs w:val="20"/>
          <w:color w:val="auto"/>
        </w:rPr>
      </w:pPr>
      <w:r>
        <w:rPr>
          <w:rFonts w:ascii="Arial" w:cs="Arial" w:eastAsia="Arial" w:hAnsi="Arial"/>
          <w:sz w:val="16"/>
          <w:szCs w:val="16"/>
          <w:color w:val="auto"/>
        </w:rPr>
        <w:t>Any statement contained in a document incorporated by reference in this prospectus shall be deemed to be modified or superseded for purposes of this prospectus to the extent that a statement contained herein or in any other subsequently filed document that also is incorporated by reference in this prospectus modifies or supersedes such statement. Any statement so modified or superseded shall not be deemed, except as so modified or superseded, to constitute a part of this prospectus or any prospectus supplement.</w:t>
      </w:r>
    </w:p>
    <w:p>
      <w:pPr>
        <w:spacing w:after="0" w:line="123" w:lineRule="exact"/>
        <w:rPr>
          <w:rFonts w:ascii="Arial" w:cs="Arial" w:eastAsia="Arial" w:hAnsi="Arial"/>
          <w:sz w:val="16"/>
          <w:szCs w:val="16"/>
          <w:color w:val="0000FF"/>
        </w:rPr>
      </w:pPr>
    </w:p>
    <w:p>
      <w:pPr>
        <w:jc w:val="both"/>
        <w:ind w:firstLine="284"/>
        <w:spacing w:after="0" w:line="276" w:lineRule="auto"/>
        <w:rPr>
          <w:sz w:val="20"/>
          <w:szCs w:val="20"/>
          <w:color w:val="auto"/>
        </w:rPr>
      </w:pPr>
      <w:r>
        <w:rPr>
          <w:rFonts w:ascii="Arial" w:cs="Arial" w:eastAsia="Arial" w:hAnsi="Arial"/>
          <w:sz w:val="15"/>
          <w:szCs w:val="15"/>
          <w:color w:val="auto"/>
        </w:rPr>
        <w:t xml:space="preserve">You can obtain any of the filings incorporated by reference into this prospectus through us or from the SEC through the SEC’s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requests for those documents to ZoomInfo Technologies Inc., 805 Broadway Street, Suite 900, Vancouver, Washington 98660; Attention: Corporate Secretary (telephone: (800) 914-1220).</w:t>
      </w:r>
    </w:p>
    <w:p>
      <w:pPr>
        <w:spacing w:after="0" w:line="105" w:lineRule="exact"/>
        <w:rPr>
          <w:rFonts w:ascii="Arial" w:cs="Arial" w:eastAsia="Arial" w:hAnsi="Arial"/>
          <w:sz w:val="16"/>
          <w:szCs w:val="16"/>
          <w:color w:val="0000FF"/>
        </w:rPr>
      </w:pPr>
    </w:p>
    <w:p>
      <w:pPr>
        <w:ind w:left="280"/>
        <w:spacing w:after="0"/>
        <w:rPr>
          <w:sz w:val="20"/>
          <w:szCs w:val="20"/>
          <w:color w:val="auto"/>
        </w:rPr>
      </w:pPr>
      <w:r>
        <w:rPr>
          <w:rFonts w:ascii="Arial" w:cs="Arial" w:eastAsia="Arial" w:hAnsi="Arial"/>
          <w:sz w:val="14"/>
          <w:szCs w:val="14"/>
          <w:color w:val="auto"/>
        </w:rPr>
        <w:t>Exhibits to any documents incorporated by reference in this prospectus will not be sent, however, unless those exhibits have been specifically referenced in this prospectus.</w:t>
      </w: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74"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6"/>
          <w:szCs w:val="16"/>
          <w:color w:val="auto"/>
        </w:rPr>
        <w:t>24</w:t>
      </w:r>
    </w:p>
    <w:sectPr>
      <w:pgSz w:w="11900" w:h="16838" w:orient="portrait"/>
      <w:cols w:equalWidth="0" w:num="1">
        <w:col w:w="11260"/>
      </w:cols>
      <w:pgMar w:left="320" w:top="126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lvl w:ilvl="1">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jpe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18" Type="http://schemas.openxmlformats.org/officeDocument/2006/relationships/hyperlink" Target="https://www.sec.gov/ix?doc=/Archives/edgar/data/0001794515/000179451521000061/zi-20201231.htm" TargetMode="External"/><Relationship Id="rId19" Type="http://schemas.openxmlformats.org/officeDocument/2006/relationships/hyperlink" Target="https://www.sec.gov/ix?doc=/Archives/edgar/data/1794515/000179451521000122/zi-20210331.htm" TargetMode="External"/><Relationship Id="rId20" Type="http://schemas.openxmlformats.org/officeDocument/2006/relationships/hyperlink" Target="https://www.sec.gov/ix?doc=/Archives/edgar/data/1794515/000179451521000194/zi-20210630.htm" TargetMode="External"/><Relationship Id="rId21" Type="http://schemas.openxmlformats.org/officeDocument/2006/relationships/hyperlink" Target="https://www.sec.gov/Archives/edgar/data/0001794515/000179451521000094/zi-def14a20210316.htm" TargetMode="External"/><Relationship Id="rId22" Type="http://schemas.openxmlformats.org/officeDocument/2006/relationships/hyperlink" Target="https://www.sec.gov/Archives/edgar/data/1794515/000179451521000174/zi-8kx20210715.htm" TargetMode="External"/><Relationship Id="rId23" Type="http://schemas.openxmlformats.org/officeDocument/2006/relationships/hyperlink" Target="https://www.sec.gov/Archives/edgar/data/1794515/000179451521000183/zi-8kx20210720.htm" TargetMode="External"/><Relationship Id="rId24" Type="http://schemas.openxmlformats.org/officeDocument/2006/relationships/hyperlink" Target="https://www.sec.gov/Archives/edgar/data/0001794515/000162828020008946/zoominfo8-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2021-08-04T05:34:58Z</dcterms:created>
  <dcterms:modified xsi:type="dcterms:W3CDTF">2021-08-04T05:34:58Z</dcterms:modified>
</cp:coreProperties>
</file>