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P. O'Connor</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200 Clarendon Street, 59th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 850-7500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HighSage Ventures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14,479,835.00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14,479,835.00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14,479,835.00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 percentage of Common Stock (as defined herein) beneficially owned by the Reporting Person is based on</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294,718,034 shares of Common Stock outstanding as of April 30, 2026, as reported in the Issuer's (as defined herein)</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quarterly report on Form 10-Q for the fiscal quarter ended March 31, 2026, filed with the Securities and Exchange</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Commission (the "Commission") on May 11,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Jennifer Stier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20,410,148.00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20,410,148.00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20,410,148.00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1"/>
          <w:szCs w:val="21"/>
          <w:color w:val="auto"/>
        </w:rPr>
        <w:t>The percentage of Common Stock beneficially owned by the Reporting Person is based on 294,718,034 shares of</w:t>
      </w:r>
    </w:p>
    <w:tbl>
      <w:tblPr>
        <w:tblLayout w:type="fixed"/>
        <w:tblInd w:w="0" w:type="dxa"/>
        <w:tblCellMar>
          <w:top w:w="0" w:type="dxa"/>
          <w:left w:w="0" w:type="dxa"/>
          <w:bottom w:w="0" w:type="dxa"/>
          <w:right w:w="0" w:type="dxa"/>
        </w:tblCellMar>
      </w:tblPr>
      <w:tr>
        <w:trPr>
          <w:trHeight w:val="221"/>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60" w:type="dxa"/>
            <w:vAlign w:val="bottom"/>
          </w:tcPr>
          <w:p>
            <w:pPr>
              <w:ind w:left="240"/>
              <w:spacing w:after="0" w:line="221" w:lineRule="exact"/>
              <w:rPr>
                <w:sz w:val="20"/>
                <w:szCs w:val="20"/>
                <w:color w:val="auto"/>
              </w:rPr>
            </w:pPr>
            <w:r>
              <w:rPr>
                <w:rFonts w:ascii="Times New Roman" w:cs="Times New Roman" w:eastAsia="Times New Roman" w:hAnsi="Times New Roman"/>
                <w:sz w:val="22"/>
                <w:szCs w:val="22"/>
                <w:color w:val="auto"/>
                <w:w w:val="99"/>
              </w:rPr>
              <w:t>Common Stock outstanding as of April 30, 2026, as reported in the Issuer's quarterly report on Form 10-Q for the</w:t>
            </w: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60" w:type="dxa"/>
            <w:vAlign w:val="bottom"/>
          </w:tcPr>
          <w:p>
            <w:pPr>
              <w:ind w:left="240"/>
              <w:spacing w:after="0" w:line="240" w:lineRule="exact"/>
              <w:rPr>
                <w:sz w:val="20"/>
                <w:szCs w:val="20"/>
                <w:color w:val="auto"/>
              </w:rPr>
            </w:pPr>
            <w:r>
              <w:rPr>
                <w:rFonts w:ascii="Times New Roman" w:cs="Times New Roman" w:eastAsia="Times New Roman" w:hAnsi="Times New Roman"/>
                <w:sz w:val="22"/>
                <w:szCs w:val="22"/>
                <w:color w:val="auto"/>
              </w:rPr>
              <w:t>fiscal quarter ended March 31, 2026, filed with the Commission on May 11, 2026.</w:t>
            </w:r>
          </w:p>
        </w:tc>
      </w:tr>
      <w:tr>
        <w:trPr>
          <w:trHeight w:val="257"/>
        </w:trPr>
        <w:tc>
          <w:tcPr>
            <w:tcW w:w="1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330 W Columbia Way, Floor 8, Vancouver, WASHINGTON , 98660.</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("Amendment No. 2")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originally filed with the United States Securities and Exchange Commission on August 21, 2025 (as amended to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"Schedule 13D"), relating to the common stock, par value $0.01 per share (the "Common Stock"), of ZoomInfo Technologies Inc. (the "Issuer"). Except as specifically provided herein, this Amendment No. 2 does not modify any of the information previously reported in the Schedule 13D. Capitalized terms used herein without definition shall</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have the meanings set forth 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60"/>
        <w:spacing w:after="0" w:line="246"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General The Reporting Persons acquired the securities described in this Schedule 13D for investment purposes and they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may acquire additional (or potentially all) securities of the Issuer, or retain or sell all or a portion of the securities then held, in the open market or in privately negotiated transactions. The Reporting Persons may also enter into financial instruments or other agreements, such as the Cash-Settled Swap (as defined below), with institutional or other counterparties that would increase or decrease the Reporting Persons'</w:t>
      </w:r>
    </w:p>
    <w:p>
      <w:pPr>
        <w:sectPr>
          <w:pgSz w:w="11900" w:h="16838" w:orient="portrait"/>
          <w:cols w:equalWidth="0" w:num="1">
            <w:col w:w="11240"/>
          </w:cols>
          <w:pgMar w:left="320" w:top="111" w:right="339" w:bottom="0" w:gutter="0" w:footer="0" w:header="0"/>
        </w:sectPr>
      </w:pPr>
    </w:p>
    <w:bookmarkStart w:id="3" w:name="page4"/>
    <w:bookmarkEnd w:id="3"/>
    <w:p>
      <w:pPr>
        <w:ind w:left="920" w:right="40"/>
        <w:spacing w:after="0" w:line="232" w:lineRule="auto"/>
        <w:rPr>
          <w:sz w:val="20"/>
          <w:szCs w:val="20"/>
          <w:color w:val="auto"/>
        </w:rPr>
      </w:pPr>
      <w:r>
        <w:rPr>
          <w:rFonts w:ascii="Times New Roman" w:cs="Times New Roman" w:eastAsia="Times New Roman" w:hAnsi="Times New Roman"/>
          <w:sz w:val="22"/>
          <w:szCs w:val="22"/>
          <w:color w:val="auto"/>
        </w:rPr>
        <w:t>economic exposure with respect to their investment in the Issuer, which instruments or agreements may or may not affect the Reporting Persons' beneficial ownership in securities of the Issuer. In addition, the Reporting Persons may engage in discussions with management, the Issuer's board of directors (the "Board"), other securityholders of the Issuer and other relevant parties, or encourage, cause or seek to cause the Issuer or such persons to consider or explore extraordinary corporate transactions, including, for example a merger, reorganization or other corporate transaction that could result in the de-listing or de-registration of the Common Stock; a transaction in which the Reporting Persons, either independently or as part of a consortium with one or more other sources of equity capital, would acquire additional (or potentially all) of the equity or assets of the Issuer;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On June 12, 2026, entities managed directly or indirectly by the Reporting Persons (the "Swap Purchasers") entered into a cash-settled total return swap (the "Cash-Settled Swap") with an unaffiliated third-party financial institution, which provides the Swap Purchasers with economic exposure to an aggregate of 2,500,000 shares of Common Stock, and has a five-year maturity date and a reference price of $2.8088. The Cash-Settled Swap provides the Swap Purchasers with economic results that are comparable to the economic results of ownership, but does not provide the Swap Purchasers with the power to vote or direct the voting or dispose of or direct the disposition of the shares that are the subject of the Cash-Settled Swap. The Swap Purchasers also do not have the right to convert the foregoing Cash-Settled Swap into shares of Common Stock at any time. As such, the Reporting Persons and the Swap Purchasers disclaim beneficial ownership of the shares subject to the Cash-Settled Swap.</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HighSage Ventures LLC</w:t>
      </w:r>
    </w:p>
    <w:p>
      <w:pPr>
        <w:spacing w:after="0" w:line="152" w:lineRule="exact"/>
        <w:rPr>
          <w:sz w:val="20"/>
          <w:szCs w:val="20"/>
          <w:color w:val="auto"/>
        </w:rPr>
      </w:pPr>
    </w:p>
    <w:p>
      <w:pPr>
        <w:ind w:left="49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P. O'Connor</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Matthew P. O'Connor, Chief Legal Officer</w:t>
      </w:r>
    </w:p>
    <w:p>
      <w:pPr>
        <w:spacing w:after="0" w:line="44" w:lineRule="exact"/>
        <w:rPr>
          <w:sz w:val="20"/>
          <w:szCs w:val="20"/>
          <w:color w:val="auto"/>
        </w:rPr>
      </w:pPr>
    </w:p>
    <w:p>
      <w:pPr>
        <w:ind w:left="4940"/>
        <w:spacing w:after="0"/>
        <w:tabs>
          <w:tab w:leader="none" w:pos="6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Jennifer Stier</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Stier</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Jennifer Stier</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2026-06-16T16:46:56Z</dcterms:created>
  <dcterms:modified xsi:type="dcterms:W3CDTF">2026-06-16T16:46:56Z</dcterms:modified>
</cp:coreProperties>
</file>